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ACCURAY INCORPORATED</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tbl>
      <w:tblPr>
        <w:tblLayout w:type="fixed"/>
        <w:tblInd w:w="760" w:type="dxa"/>
        <w:tblCellMar>
          <w:top w:w="0" w:type="dxa"/>
          <w:left w:w="0" w:type="dxa"/>
          <w:bottom w:w="0" w:type="dxa"/>
          <w:right w:w="0" w:type="dxa"/>
        </w:tblCellMar>
      </w:tblPr>
      <w:tr>
        <w:trPr>
          <w:trHeight w:val="240"/>
        </w:trPr>
        <w:tc>
          <w:tcPr>
            <w:tcW w:w="3160" w:type="dxa"/>
            <w:vAlign w:val="bottom"/>
          </w:tcPr>
          <w:p>
            <w:pPr>
              <w:jc w:val="center"/>
              <w:ind w:right="632"/>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620" w:type="dxa"/>
            <w:vAlign w:val="bottom"/>
          </w:tcPr>
          <w:p>
            <w:pPr>
              <w:jc w:val="right"/>
              <w:ind w:right="1450"/>
              <w:spacing w:after="0"/>
              <w:rPr>
                <w:sz w:val="20"/>
                <w:szCs w:val="20"/>
                <w:color w:val="auto"/>
              </w:rPr>
            </w:pPr>
            <w:r>
              <w:rPr>
                <w:rFonts w:ascii="Times New Roman" w:cs="Times New Roman" w:eastAsia="Times New Roman" w:hAnsi="Times New Roman"/>
                <w:sz w:val="20"/>
                <w:szCs w:val="20"/>
                <w:b w:val="1"/>
                <w:bCs w:val="1"/>
                <w:color w:val="auto"/>
              </w:rPr>
              <w:t>001-33301</w:t>
            </w: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20"/>
                <w:szCs w:val="20"/>
                <w:b w:val="1"/>
                <w:bCs w:val="1"/>
                <w:color w:val="auto"/>
                <w:w w:val="97"/>
              </w:rPr>
              <w:t>20-8370041</w:t>
            </w:r>
          </w:p>
        </w:tc>
      </w:tr>
      <w:tr>
        <w:trPr>
          <w:trHeight w:val="203"/>
        </w:trPr>
        <w:tc>
          <w:tcPr>
            <w:tcW w:w="3160" w:type="dxa"/>
            <w:vAlign w:val="bottom"/>
          </w:tcPr>
          <w:p>
            <w:pPr>
              <w:jc w:val="center"/>
              <w:ind w:right="632"/>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3620" w:type="dxa"/>
            <w:vAlign w:val="bottom"/>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160" w:type="dxa"/>
            <w:vAlign w:val="bottom"/>
          </w:tcPr>
          <w:p>
            <w:pPr>
              <w:jc w:val="center"/>
              <w:ind w:right="632"/>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620" w:type="dxa"/>
            <w:vAlign w:val="bottom"/>
          </w:tcPr>
          <w:p>
            <w:pPr>
              <w:spacing w:after="0"/>
              <w:rPr>
                <w:sz w:val="18"/>
                <w:szCs w:val="18"/>
                <w:color w:val="auto"/>
              </w:rPr>
            </w:pP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25"/>
        </w:trPr>
        <w:tc>
          <w:tcPr>
            <w:tcW w:w="3160" w:type="dxa"/>
            <w:vAlign w:val="bottom"/>
          </w:tcPr>
          <w:p>
            <w:pPr>
              <w:jc w:val="center"/>
              <w:ind w:right="612"/>
              <w:spacing w:after="0"/>
              <w:rPr>
                <w:sz w:val="20"/>
                <w:szCs w:val="20"/>
                <w:color w:val="auto"/>
              </w:rPr>
            </w:pPr>
            <w:r>
              <w:rPr>
                <w:rFonts w:ascii="Times New Roman" w:cs="Times New Roman" w:eastAsia="Times New Roman" w:hAnsi="Times New Roman"/>
                <w:sz w:val="20"/>
                <w:szCs w:val="20"/>
                <w:b w:val="1"/>
                <w:bCs w:val="1"/>
                <w:color w:val="auto"/>
                <w:w w:val="98"/>
              </w:rPr>
              <w:t>1240 Deming Way</w:t>
            </w:r>
          </w:p>
        </w:tc>
        <w:tc>
          <w:tcPr>
            <w:tcW w:w="3620" w:type="dxa"/>
            <w:vAlign w:val="bottom"/>
          </w:tcPr>
          <w:p>
            <w:pPr>
              <w:spacing w:after="0"/>
              <w:rPr>
                <w:sz w:val="24"/>
                <w:szCs w:val="24"/>
                <w:color w:val="auto"/>
              </w:rPr>
            </w:pP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20"/>
                <w:szCs w:val="20"/>
                <w:b w:val="1"/>
                <w:bCs w:val="1"/>
                <w:color w:val="auto"/>
                <w:w w:val="97"/>
              </w:rPr>
              <w:t>53717-1954</w:t>
            </w:r>
          </w:p>
        </w:tc>
      </w:tr>
      <w:tr>
        <w:trPr>
          <w:trHeight w:val="232"/>
        </w:trPr>
        <w:tc>
          <w:tcPr>
            <w:tcW w:w="3160" w:type="dxa"/>
            <w:vAlign w:val="bottom"/>
          </w:tcPr>
          <w:p>
            <w:pPr>
              <w:jc w:val="center"/>
              <w:ind w:right="612"/>
              <w:spacing w:after="0"/>
              <w:rPr>
                <w:sz w:val="20"/>
                <w:szCs w:val="20"/>
                <w:color w:val="auto"/>
              </w:rPr>
            </w:pPr>
            <w:r>
              <w:rPr>
                <w:rFonts w:ascii="Times New Roman" w:cs="Times New Roman" w:eastAsia="Times New Roman" w:hAnsi="Times New Roman"/>
                <w:sz w:val="20"/>
                <w:szCs w:val="20"/>
                <w:b w:val="1"/>
                <w:bCs w:val="1"/>
                <w:color w:val="auto"/>
                <w:w w:val="98"/>
              </w:rPr>
              <w:t>Madison, Wisconsin</w:t>
            </w:r>
          </w:p>
        </w:tc>
        <w:tc>
          <w:tcPr>
            <w:tcW w:w="3620" w:type="dxa"/>
            <w:vAlign w:val="bottom"/>
          </w:tcPr>
          <w:p>
            <w:pPr>
              <w:spacing w:after="0"/>
              <w:rPr>
                <w:sz w:val="20"/>
                <w:szCs w:val="20"/>
                <w:color w:val="auto"/>
              </w:rPr>
            </w:pP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190"/>
        </w:trPr>
        <w:tc>
          <w:tcPr>
            <w:tcW w:w="3160" w:type="dxa"/>
            <w:vAlign w:val="bottom"/>
          </w:tcPr>
          <w:p>
            <w:pPr>
              <w:jc w:val="center"/>
              <w:ind w:right="61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(608) 824-2800</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62"/>
        <w:spacing w:after="0" w:line="502"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7"/>
                <w:szCs w:val="17"/>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120" w:type="dxa"/>
            <w:vAlign w:val="bottom"/>
          </w:tcPr>
          <w:p>
            <w:pPr>
              <w:spacing w:after="0"/>
              <w:rPr>
                <w:sz w:val="18"/>
                <w:szCs w:val="18"/>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3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ARAY</w:t>
            </w:r>
          </w:p>
        </w:tc>
        <w:tc>
          <w:tcPr>
            <w:tcW w:w="1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June 1, 2026, the remaining outstanding aggregate principal amount of 3.75% Convertible Senior Notes due 2026 (the “Notes”) issued by Accuray Incorporated (the “Company”), pursuant to the Indenture, dated as of May 13, 2021 (the “Indenture”), by and among the Company and The Bank of New York Mellon Trust Company, N.A., as trustee (the “Trustee”), matured and were repaid in full by the Company, together with accrued and unpaid interest thereon.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conjunction with the full and final repayment of the Notes, the Indenture was satisfied and discharged in accordance with its terms and the Trustee acknowledged such satisfaction and discharge. As a result of the satisfaction and discharge of the Indenture, the Company was released from its remaining obligations under the Indenture except those provisions of the Indenture that, by their terms, survive the satisfaction and discharge of the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June 1, 2026, the Company retired the Notes in accordance with their terms. The Company repaid the remaining outstanding aggregate principal amount of $18,000,000, together with accrued and unpaid interest thereon of $337,500. The Notes were issued on May 13, 2021 and matured on June 1, 2026.</w:t>
      </w:r>
    </w:p>
    <w:p>
      <w:pPr>
        <w:spacing w:after="0" w:line="1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3"/>
          </w:tcPr>
          <w:p>
            <w:pPr>
              <w:ind w:left="2200"/>
              <w:spacing w:after="0"/>
              <w:rPr>
                <w:sz w:val="20"/>
                <w:szCs w:val="20"/>
                <w:color w:val="auto"/>
              </w:rPr>
            </w:pPr>
            <w:r>
              <w:rPr>
                <w:rFonts w:ascii="Times New Roman" w:cs="Times New Roman" w:eastAsia="Times New Roman" w:hAnsi="Times New Roman"/>
                <w:sz w:val="18"/>
                <w:szCs w:val="18"/>
                <w:b w:val="1"/>
                <w:bCs w:val="1"/>
                <w:color w:val="auto"/>
              </w:rPr>
              <w:t>ACCURAY INCORPORATED</w:t>
            </w:r>
          </w:p>
        </w:tc>
      </w:tr>
      <w:tr>
        <w:trPr>
          <w:trHeight w:val="64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756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rPr>
              <w:t>By: /s/ Ali Pervaiz</w:t>
            </w:r>
          </w:p>
        </w:tc>
      </w:tr>
      <w:tr>
        <w:trPr>
          <w:trHeight w:val="191"/>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Ali Pervaiz</w:t>
            </w:r>
          </w:p>
        </w:tc>
      </w:tr>
      <w:tr>
        <w:trPr>
          <w:trHeight w:val="234"/>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SVP, Chief Financial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2026-06-04T15:03:45Z</dcterms:created>
  <dcterms:modified xsi:type="dcterms:W3CDTF">2026-06-04T15:03:45Z</dcterms:modified>
</cp:coreProperties>
</file>