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2098_s3a.htm"/>
      <w:bookmarkStart w:id="1" w:name="ksdp252098_s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21, 2026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333-297855</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2"/>
        </w:rPr>
        <w:t>Amendment No. 1 to</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ACCURAY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930"/>
        <w:gridCol w:w="60"/>
        <w:gridCol w:w="2195"/>
      </w:tblGrid>
      <w:tr>
        <w:trPr/>
        <w:tc>
          <w:tcPr>
            <w:tcW w:w="293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r>
              <w:rPr>
                <w:b/>
              </w:rPr>
              <w:t>20-8370041</w:t>
            </w:r>
          </w:p>
        </w:tc>
      </w:tr>
      <w:tr>
        <w:trPr/>
        <w:tc>
          <w:tcPr>
            <w:tcW w:w="2930" w:type="dxa"/>
            <w:tcBorders/>
            <w:vAlign w:val="center"/>
          </w:tcPr>
          <w:p>
            <w:pPr>
              <w:pStyle w:val="TableContents"/>
              <w:bidi w:val="0"/>
              <w:spacing w:before="0" w:after="283"/>
              <w:jc w:val="center"/>
              <w:rPr/>
            </w:pPr>
            <w:r>
              <w:rPr/>
              <w:t>(State or Other Jurisdiction of</w:t>
              <w:br/>
              <w:t>Incorporation or Organization)</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Wisconsin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La Neve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Shin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1240 Deming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Madison, WI 53717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 824-2800</w:t>
      </w:r>
    </w:p>
    <w:p>
      <w:pPr>
        <w:pStyle w:val="TextBody"/>
        <w:bidi w:val="0"/>
        <w:spacing w:before="60" w:after="60"/>
        <w:ind w:left="0" w:right="0" w:firstLine="3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5810"/>
        <w:gridCol w:w="2510"/>
      </w:tblGrid>
      <w:tr>
        <w:trPr/>
        <w:tc>
          <w:tcPr>
            <w:tcW w:w="5810" w:type="dxa"/>
            <w:tcBorders/>
            <w:vAlign w:val="center"/>
          </w:tcPr>
          <w:p>
            <w:pPr>
              <w:pStyle w:val="TableContents"/>
              <w:bidi w:val="0"/>
              <w:spacing w:before="0" w:after="283"/>
              <w:ind w:left="0" w:right="0" w:hanging="0"/>
              <w:jc w:val="left"/>
              <w:rPr>
                <w:sz w:val="20"/>
              </w:rPr>
            </w:pPr>
            <w:r>
              <w:rPr>
                <w:sz w:val="20"/>
              </w:rPr>
              <w:t>Large accelerated filer  ☐</w:t>
            </w:r>
          </w:p>
        </w:tc>
        <w:tc>
          <w:tcPr>
            <w:tcW w:w="2510" w:type="dxa"/>
            <w:tcBorders/>
            <w:vAlign w:val="center"/>
          </w:tcPr>
          <w:p>
            <w:pPr>
              <w:pStyle w:val="TableContents"/>
              <w:bidi w:val="0"/>
              <w:spacing w:before="0" w:after="283"/>
              <w:ind w:left="0" w:right="0" w:hanging="0"/>
              <w:jc w:val="left"/>
              <w:rPr>
                <w:sz w:val="20"/>
              </w:rPr>
            </w:pPr>
            <w:r>
              <w:rPr>
                <w:sz w:val="20"/>
              </w:rPr>
              <w:t>Accelerated filer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ind w:left="0" w:right="0" w:hanging="0"/>
              <w:jc w:val="left"/>
              <w:rPr/>
            </w:pPr>
            <w:r>
              <w:rPr/>
              <w:t> </w:t>
            </w:r>
          </w:p>
        </w:tc>
      </w:tr>
      <w:tr>
        <w:trPr/>
        <w:tc>
          <w:tcPr>
            <w:tcW w:w="5810" w:type="dxa"/>
            <w:tcBorders/>
            <w:vAlign w:val="center"/>
          </w:tcPr>
          <w:p>
            <w:pPr>
              <w:pStyle w:val="TableContents"/>
              <w:bidi w:val="0"/>
              <w:spacing w:before="0" w:after="283"/>
              <w:ind w:left="0" w:right="0" w:hanging="0"/>
              <w:jc w:val="left"/>
              <w:rPr>
                <w:sz w:val="20"/>
              </w:rPr>
            </w:pPr>
            <w:r>
              <w:rPr>
                <w:sz w:val="20"/>
              </w:rPr>
              <w:t>Non-accelerated filer  ☐  (Do not check if a smaller reporting company)</w:t>
            </w:r>
          </w:p>
        </w:tc>
        <w:tc>
          <w:tcPr>
            <w:tcW w:w="2510" w:type="dxa"/>
            <w:tcBorders/>
            <w:vAlign w:val="center"/>
          </w:tcPr>
          <w:p>
            <w:pPr>
              <w:pStyle w:val="TableContents"/>
              <w:bidi w:val="0"/>
              <w:spacing w:before="0" w:after="283"/>
              <w:ind w:left="0" w:right="0" w:hanging="0"/>
              <w:jc w:val="left"/>
              <w:rPr>
                <w:sz w:val="20"/>
              </w:rPr>
            </w:pPr>
            <w:r>
              <w:rPr>
                <w:sz w:val="20"/>
              </w:rPr>
              <w:t>Smaller reporting company  ☒</w:t>
            </w:r>
          </w:p>
        </w:tc>
      </w:tr>
      <w:tr>
        <w:trPr/>
        <w:tc>
          <w:tcPr>
            <w:tcW w:w="5810" w:type="dxa"/>
            <w:tcBorders/>
            <w:vAlign w:val="center"/>
          </w:tcPr>
          <w:p>
            <w:pPr>
              <w:pStyle w:val="TableContents"/>
              <w:bidi w:val="0"/>
              <w:spacing w:before="0" w:after="283"/>
              <w:ind w:left="0" w:right="0" w:hanging="0"/>
              <w:jc w:val="left"/>
              <w:rPr/>
            </w:pPr>
            <w:r>
              <w:rPr/>
              <w:t> </w:t>
            </w:r>
          </w:p>
        </w:tc>
        <w:tc>
          <w:tcPr>
            <w:tcW w:w="251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20"/>
              </w:rPr>
            </w:pPr>
            <w:r>
              <w:rPr>
                <w:sz w:val="20"/>
              </w:rPr>
              <w:t>Emerging growth company  ☐</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CC062A"/>
          <w:sz w:val="20"/>
        </w:rPr>
      </w:pPr>
      <w:r>
        <w:rPr>
          <w:rFonts w:ascii="Times New Roman;Times;Serif" w:hAnsi="Times New Roman;Times;Serif"/>
          <w:b/>
          <w:i w:val="false"/>
          <w:caps w:val="false"/>
          <w:smallCaps w:val="false"/>
          <w:color w:val="CC062A"/>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CC062A"/>
        </w:rPr>
      </w:pPr>
      <w:r>
        <w:rPr>
          <w:caps w:val="false"/>
          <w:smallCaps w:val="false"/>
          <w:color w:val="CC062A"/>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CC062A"/>
          <w:sz w:val="20"/>
        </w:rPr>
      </w:pPr>
      <w:r>
        <w:rPr>
          <w:rFonts w:ascii="Times New Roman;Times;Serif" w:hAnsi="Times New Roman;Times;Serif"/>
          <w:b/>
          <w:i w:val="false"/>
          <w:caps w:val="false"/>
          <w:smallCaps w:val="false"/>
          <w:color w:val="CC062A"/>
          <w:sz w:val="20"/>
        </w:rPr>
        <w:t>Subject to completion, dated August 21, 2026</w:t>
      </w:r>
      <w:r>
        <w:rPr>
          <w:rFonts w:ascii="Times New Roman;Times;Serif" w:hAnsi="Times New Roman;Times;Serif"/>
          <w:b w:val="false"/>
          <w:i w:val="false"/>
          <w:caps w:val="false"/>
          <w:smallCaps w:val="false"/>
          <w:color w:val="CC062A"/>
          <w:sz w:val="20"/>
        </w:rPr>
        <w:t xml:space="preserve"> </w:t>
      </w:r>
    </w:p>
    <w:p>
      <w:pPr>
        <w:pStyle w:val="TextBody"/>
        <w:bidi w:val="0"/>
        <w:spacing w:before="0" w:after="0"/>
        <w:ind w:left="0" w:right="0" w:hanging="0"/>
        <w:jc w:val="center"/>
        <w:rPr>
          <w:caps w:val="false"/>
          <w:smallCaps w:val="false"/>
          <w:color w:val="CC062A"/>
        </w:rPr>
      </w:pPr>
      <w:r>
        <w:rPr>
          <w:caps w:val="false"/>
          <w:smallCaps w:val="false"/>
          <w:color w:val="CC062A"/>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Accuray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6,834,308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(the “Selling Stockholders”) identified herein, from time to time in one or more offerings, of up to 6,834,308 shares of our common stock, par value $0.001 per share, which consists of (i) an aggregate of 2,990,010 shares of our common stock issuable upon exercise of warrants (the “Super Premium Warrants”) that we issued to the Selling Stockholders pursuant to the Financing Agreement (as defined below), (ii) an aggregate of 2,135,721 shares of our common stock issuable upon exercise of warrants (the “Premium Warrants”) that we issued to the Selling Stockholders pursuant to the Financing Agreement and (iii) an aggregate of 1,708,577 shares of our common stock issuable upon exercise of warrants (the “Penny Warrants” and, together with the Super Premium Warrants and the Premium Warrants, the “Warrants”) that we issued to the Selling Stockholders pursuant to the Financing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entered into a senior secured financing agreement (as amended by Amendment No. 1 to the Financing Agreement, dated as of December 12, 2025 (“Amendment No. 1”), as further amended by Amendment No. 2 to the Financing Agreement, dated as of December 15, 2025 (“Amendment No. 2”), as further amended by Amendment No. 3 to the Financing Agreement, dated as of July 29, 2026 (“Amendment No. 3”), and as further amended, restated, amended and restated, modified or otherwise supplemented, the “Financing Agreement”) by and among Accuray Incorporated, as borrower, certain lenders from time to time party thereto, TCW Asset Management Company LLC, as collateral agent and administrative agent for the lenders, Wingspire Capital LLC, as servicing agent and certain other parties thereto, pursuant to which, among other facilities provided thereunder, the lenders provided a $18.25 million delayed draw term loan facility (the “the DDTL Facility”).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drew $18.25 million from the DDTL Facility (the “DDTL Funding”). In connection with the DDTL Funding, we issued to the Selling Stockholders (i) the Super Premium Warrants at an exercise price of $1.50 per share, (ii) the Premium Warrants at an exercise price of $1.25 per share and (iii) the Penny Warrants at an exercise price of $0.01 per share. The exercise period for the Super Premium Warrants and the Premium Warrants begins on November 19, 2027 and ends on May 18, 2033, and the exercise period for the Penny Warrants began on May 18, 2026 and ends on May 18, 2033. Pursuant to the terms of the Warrants, we agreed to provide customary shelf registration rights to the Selling Stockholders covering the resale of the shares of our common stock issuable upon exercise of the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our common stock under this prospectus and will not receive any proceeds from the sale of shares of common stock by the Selling Stockholders. However, we will receive proceeds from any cash exercise of the Warrants.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was previously listed on The Nasdaq Global Select Market under the symbol “ARAY.” Effective August 6, 2026, we transferred the listing of our common stock from The Nasdaq Global Select Market to Nasdaq Capital Markets, where we continue to trade under the same symbol “ARAY.” On August 20, 2026, the last reported sale price of our common stock on Nasdaq Capital Markets was $0.29 per share.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(including the documents incorporated by reference herein) and any amendments or supplements carefully before you make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common stock involves a high degree of risk. You should review carefully the risks and uncertainties described under the heading “Risk Factors” beginning on page 4 of this prospectus, and under similar headings in the documents that are incorporated by reference into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5495"/>
        <w:gridCol w:w="275"/>
      </w:tblGrid>
      <w:tr>
        <w:trPr/>
        <w:tc>
          <w:tcPr>
            <w:tcW w:w="5495" w:type="dxa"/>
            <w:tcBorders/>
            <w:vAlign w:val="center"/>
          </w:tcPr>
          <w:p>
            <w:pPr>
              <w:pStyle w:val="TableContents"/>
              <w:bidi w:val="0"/>
              <w:spacing w:before="0" w:after="283"/>
              <w:jc w:val="left"/>
              <w:rPr/>
            </w:pPr>
            <w:hyperlink w:anchor="a_001">
              <w:r>
                <w:rPr>
                  <w:rStyle w:val="InternetLink"/>
                </w:rPr>
                <w:t>About this Prospectus</w:t>
              </w:r>
            </w:hyperlink>
          </w:p>
        </w:tc>
        <w:tc>
          <w:tcPr>
            <w:tcW w:w="275" w:type="dxa"/>
            <w:tcBorders/>
            <w:vAlign w:val="center"/>
          </w:tcPr>
          <w:p>
            <w:pPr>
              <w:pStyle w:val="TableContents"/>
              <w:bidi w:val="0"/>
              <w:spacing w:before="0" w:after="283"/>
              <w:jc w:val="right"/>
              <w:rPr/>
            </w:pPr>
            <w:hyperlink w:anchor="a_001">
              <w:r>
                <w:rPr>
                  <w:rStyle w:val="InternetLink"/>
                </w:rPr>
                <w:t>1</w:t>
              </w:r>
            </w:hyperlink>
          </w:p>
        </w:tc>
      </w:tr>
      <w:tr>
        <w:trPr/>
        <w:tc>
          <w:tcPr>
            <w:tcW w:w="5495" w:type="dxa"/>
            <w:tcBorders/>
            <w:vAlign w:val="center"/>
          </w:tcPr>
          <w:p>
            <w:pPr>
              <w:pStyle w:val="TableContents"/>
              <w:bidi w:val="0"/>
              <w:spacing w:before="0" w:after="283"/>
              <w:jc w:val="left"/>
              <w:rPr/>
            </w:pPr>
            <w:hyperlink w:anchor="a_002">
              <w:r>
                <w:rPr>
                  <w:rStyle w:val="InternetLink"/>
                </w:rPr>
                <w:t>Trademarks</w:t>
              </w:r>
            </w:hyperlink>
          </w:p>
        </w:tc>
        <w:tc>
          <w:tcPr>
            <w:tcW w:w="275" w:type="dxa"/>
            <w:tcBorders/>
            <w:vAlign w:val="center"/>
          </w:tcPr>
          <w:p>
            <w:pPr>
              <w:pStyle w:val="TableContents"/>
              <w:bidi w:val="0"/>
              <w:spacing w:before="0" w:after="283"/>
              <w:jc w:val="right"/>
              <w:rPr/>
            </w:pPr>
            <w:hyperlink w:anchor="a_002">
              <w:r>
                <w:rPr>
                  <w:rStyle w:val="InternetLink"/>
                </w:rPr>
                <w:t>1</w:t>
              </w:r>
            </w:hyperlink>
          </w:p>
        </w:tc>
      </w:tr>
      <w:tr>
        <w:trPr/>
        <w:tc>
          <w:tcPr>
            <w:tcW w:w="549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a_003">
              <w:r>
                <w:rPr>
                  <w:rStyle w:val="InternetLink"/>
                </w:rPr>
                <w:t>2</w:t>
              </w:r>
            </w:hyperlink>
          </w:p>
        </w:tc>
      </w:tr>
      <w:tr>
        <w:trPr/>
        <w:tc>
          <w:tcPr>
            <w:tcW w:w="5495" w:type="dxa"/>
            <w:tcBorders/>
            <w:vAlign w:val="center"/>
          </w:tcPr>
          <w:p>
            <w:pPr>
              <w:pStyle w:val="TableContents"/>
              <w:bidi w:val="0"/>
              <w:spacing w:before="0" w:after="283"/>
              <w:jc w:val="left"/>
              <w:rPr/>
            </w:pPr>
            <w:hyperlink w:anchor="a_004">
              <w:r>
                <w:rPr>
                  <w:rStyle w:val="InternetLink"/>
                </w:rPr>
                <w:t>Prospectus Summary</w:t>
              </w:r>
            </w:hyperlink>
          </w:p>
        </w:tc>
        <w:tc>
          <w:tcPr>
            <w:tcW w:w="275" w:type="dxa"/>
            <w:tcBorders/>
            <w:vAlign w:val="center"/>
          </w:tcPr>
          <w:p>
            <w:pPr>
              <w:pStyle w:val="TableContents"/>
              <w:bidi w:val="0"/>
              <w:spacing w:before="0" w:after="283"/>
              <w:jc w:val="right"/>
              <w:rPr/>
            </w:pPr>
            <w:hyperlink w:anchor="a_004">
              <w:r>
                <w:rPr>
                  <w:rStyle w:val="InternetLink"/>
                </w:rPr>
                <w:t>3</w:t>
              </w:r>
            </w:hyperlink>
          </w:p>
        </w:tc>
      </w:tr>
      <w:tr>
        <w:trPr/>
        <w:tc>
          <w:tcPr>
            <w:tcW w:w="5495" w:type="dxa"/>
            <w:tcBorders/>
            <w:vAlign w:val="center"/>
          </w:tcPr>
          <w:p>
            <w:pPr>
              <w:pStyle w:val="TableContents"/>
              <w:bidi w:val="0"/>
              <w:spacing w:before="0" w:after="283"/>
              <w:jc w:val="left"/>
              <w:rPr/>
            </w:pPr>
            <w:hyperlink w:anchor="a_005">
              <w:r>
                <w:rPr>
                  <w:rStyle w:val="InternetLink"/>
                </w:rPr>
                <w:t>Risk Factors</w:t>
              </w:r>
            </w:hyperlink>
          </w:p>
        </w:tc>
        <w:tc>
          <w:tcPr>
            <w:tcW w:w="275" w:type="dxa"/>
            <w:tcBorders/>
            <w:vAlign w:val="center"/>
          </w:tcPr>
          <w:p>
            <w:pPr>
              <w:pStyle w:val="TableContents"/>
              <w:bidi w:val="0"/>
              <w:spacing w:before="0" w:after="283"/>
              <w:jc w:val="right"/>
              <w:rPr/>
            </w:pPr>
            <w:hyperlink w:anchor="a_005">
              <w:r>
                <w:rPr>
                  <w:rStyle w:val="InternetLink"/>
                </w:rPr>
                <w:t>4</w:t>
              </w:r>
            </w:hyperlink>
          </w:p>
        </w:tc>
      </w:tr>
      <w:tr>
        <w:trPr/>
        <w:tc>
          <w:tcPr>
            <w:tcW w:w="5495" w:type="dxa"/>
            <w:tcBorders/>
            <w:vAlign w:val="center"/>
          </w:tcPr>
          <w:p>
            <w:pPr>
              <w:pStyle w:val="TableContents"/>
              <w:bidi w:val="0"/>
              <w:spacing w:before="0" w:after="283"/>
              <w:jc w:val="left"/>
              <w:rPr/>
            </w:pPr>
            <w:hyperlink w:anchor="a_006">
              <w:r>
                <w:rPr>
                  <w:rStyle w:val="InternetLink"/>
                </w:rPr>
                <w:t>Use of Proceeds</w:t>
              </w:r>
            </w:hyperlink>
          </w:p>
        </w:tc>
        <w:tc>
          <w:tcPr>
            <w:tcW w:w="275" w:type="dxa"/>
            <w:tcBorders/>
            <w:vAlign w:val="center"/>
          </w:tcPr>
          <w:p>
            <w:pPr>
              <w:pStyle w:val="TableContents"/>
              <w:bidi w:val="0"/>
              <w:spacing w:before="0" w:after="283"/>
              <w:jc w:val="right"/>
              <w:rPr/>
            </w:pPr>
            <w:hyperlink w:anchor="a_006">
              <w:r>
                <w:rPr>
                  <w:rStyle w:val="InternetLink"/>
                </w:rPr>
                <w:t>5</w:t>
              </w:r>
            </w:hyperlink>
          </w:p>
        </w:tc>
      </w:tr>
      <w:tr>
        <w:trPr/>
        <w:tc>
          <w:tcPr>
            <w:tcW w:w="5495" w:type="dxa"/>
            <w:tcBorders/>
            <w:vAlign w:val="center"/>
          </w:tcPr>
          <w:p>
            <w:pPr>
              <w:pStyle w:val="TableContents"/>
              <w:bidi w:val="0"/>
              <w:spacing w:before="0" w:after="283"/>
              <w:jc w:val="left"/>
              <w:rPr/>
            </w:pPr>
            <w:hyperlink w:anchor="a_007">
              <w:r>
                <w:rPr>
                  <w:rStyle w:val="InternetLink"/>
                </w:rPr>
                <w:t>Description of Securities</w:t>
              </w:r>
            </w:hyperlink>
          </w:p>
        </w:tc>
        <w:tc>
          <w:tcPr>
            <w:tcW w:w="275" w:type="dxa"/>
            <w:tcBorders/>
            <w:vAlign w:val="center"/>
          </w:tcPr>
          <w:p>
            <w:pPr>
              <w:pStyle w:val="TableContents"/>
              <w:bidi w:val="0"/>
              <w:spacing w:before="0" w:after="283"/>
              <w:jc w:val="right"/>
              <w:rPr/>
            </w:pPr>
            <w:hyperlink w:anchor="a_007">
              <w:r>
                <w:rPr>
                  <w:rStyle w:val="InternetLink"/>
                </w:rPr>
                <w:t>6</w:t>
              </w:r>
            </w:hyperlink>
          </w:p>
        </w:tc>
      </w:tr>
      <w:tr>
        <w:trPr/>
        <w:tc>
          <w:tcPr>
            <w:tcW w:w="5495" w:type="dxa"/>
            <w:tcBorders/>
            <w:vAlign w:val="center"/>
          </w:tcPr>
          <w:p>
            <w:pPr>
              <w:pStyle w:val="TableContents"/>
              <w:bidi w:val="0"/>
              <w:spacing w:before="0" w:after="283"/>
              <w:jc w:val="left"/>
              <w:rPr/>
            </w:pPr>
            <w:hyperlink w:anchor="a_008">
              <w:r>
                <w:rPr>
                  <w:rStyle w:val="InternetLink"/>
                </w:rPr>
                <w:t>Selling Stockholders.</w:t>
              </w:r>
            </w:hyperlink>
          </w:p>
        </w:tc>
        <w:tc>
          <w:tcPr>
            <w:tcW w:w="275" w:type="dxa"/>
            <w:tcBorders/>
            <w:vAlign w:val="center"/>
          </w:tcPr>
          <w:p>
            <w:pPr>
              <w:pStyle w:val="TableContents"/>
              <w:bidi w:val="0"/>
              <w:spacing w:before="0" w:after="283"/>
              <w:jc w:val="right"/>
              <w:rPr/>
            </w:pPr>
            <w:hyperlink w:anchor="a_008">
              <w:r>
                <w:rPr>
                  <w:rStyle w:val="InternetLink"/>
                </w:rPr>
                <w:t>11</w:t>
              </w:r>
            </w:hyperlink>
          </w:p>
        </w:tc>
      </w:tr>
      <w:tr>
        <w:trPr/>
        <w:tc>
          <w:tcPr>
            <w:tcW w:w="5495" w:type="dxa"/>
            <w:tcBorders/>
            <w:vAlign w:val="center"/>
          </w:tcPr>
          <w:p>
            <w:pPr>
              <w:pStyle w:val="TableContents"/>
              <w:bidi w:val="0"/>
              <w:spacing w:before="0" w:after="283"/>
              <w:jc w:val="left"/>
              <w:rPr/>
            </w:pPr>
            <w:hyperlink w:anchor="a_009">
              <w:r>
                <w:rPr>
                  <w:rStyle w:val="InternetLink"/>
                </w:rPr>
                <w:t>Plan of Distribution</w:t>
              </w:r>
            </w:hyperlink>
          </w:p>
        </w:tc>
        <w:tc>
          <w:tcPr>
            <w:tcW w:w="275" w:type="dxa"/>
            <w:tcBorders/>
            <w:vAlign w:val="center"/>
          </w:tcPr>
          <w:p>
            <w:pPr>
              <w:pStyle w:val="TableContents"/>
              <w:bidi w:val="0"/>
              <w:spacing w:before="0" w:after="283"/>
              <w:jc w:val="right"/>
              <w:rPr/>
            </w:pPr>
            <w:hyperlink w:anchor="a_009">
              <w:r>
                <w:rPr>
                  <w:rStyle w:val="InternetLink"/>
                </w:rPr>
                <w:t>15</w:t>
              </w:r>
            </w:hyperlink>
          </w:p>
        </w:tc>
      </w:tr>
      <w:tr>
        <w:trPr/>
        <w:tc>
          <w:tcPr>
            <w:tcW w:w="5495" w:type="dxa"/>
            <w:tcBorders/>
            <w:vAlign w:val="center"/>
          </w:tcPr>
          <w:p>
            <w:pPr>
              <w:pStyle w:val="TableContents"/>
              <w:bidi w:val="0"/>
              <w:spacing w:before="0" w:after="283"/>
              <w:jc w:val="left"/>
              <w:rPr/>
            </w:pPr>
            <w:hyperlink w:anchor="a_010">
              <w:r>
                <w:rPr>
                  <w:rStyle w:val="InternetLink"/>
                </w:rPr>
                <w:t>Legal Matters</w:t>
              </w:r>
            </w:hyperlink>
          </w:p>
        </w:tc>
        <w:tc>
          <w:tcPr>
            <w:tcW w:w="275" w:type="dxa"/>
            <w:tcBorders/>
            <w:vAlign w:val="center"/>
          </w:tcPr>
          <w:p>
            <w:pPr>
              <w:pStyle w:val="TableContents"/>
              <w:bidi w:val="0"/>
              <w:spacing w:before="0" w:after="283"/>
              <w:jc w:val="right"/>
              <w:rPr/>
            </w:pPr>
            <w:hyperlink w:anchor="a_010">
              <w:r>
                <w:rPr>
                  <w:rStyle w:val="InternetLink"/>
                </w:rPr>
                <w:t>18</w:t>
              </w:r>
            </w:hyperlink>
          </w:p>
        </w:tc>
      </w:tr>
      <w:tr>
        <w:trPr/>
        <w:tc>
          <w:tcPr>
            <w:tcW w:w="5495" w:type="dxa"/>
            <w:tcBorders/>
            <w:vAlign w:val="center"/>
          </w:tcPr>
          <w:p>
            <w:pPr>
              <w:pStyle w:val="TableContents"/>
              <w:bidi w:val="0"/>
              <w:spacing w:before="0" w:after="283"/>
              <w:jc w:val="left"/>
              <w:rPr/>
            </w:pPr>
            <w:hyperlink w:anchor="a_011">
              <w:r>
                <w:rPr>
                  <w:rStyle w:val="InternetLink"/>
                </w:rPr>
                <w:t>Experts</w:t>
              </w:r>
            </w:hyperlink>
          </w:p>
        </w:tc>
        <w:tc>
          <w:tcPr>
            <w:tcW w:w="275" w:type="dxa"/>
            <w:tcBorders/>
            <w:vAlign w:val="center"/>
          </w:tcPr>
          <w:p>
            <w:pPr>
              <w:pStyle w:val="TableContents"/>
              <w:bidi w:val="0"/>
              <w:spacing w:before="0" w:after="283"/>
              <w:jc w:val="right"/>
              <w:rPr/>
            </w:pPr>
            <w:hyperlink w:anchor="a_011">
              <w:r>
                <w:rPr>
                  <w:rStyle w:val="InternetLink"/>
                </w:rPr>
                <w:t>18</w:t>
              </w:r>
            </w:hyperlink>
          </w:p>
        </w:tc>
      </w:tr>
      <w:tr>
        <w:trPr/>
        <w:tc>
          <w:tcPr>
            <w:tcW w:w="549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a_012">
              <w:r>
                <w:rPr>
                  <w:rStyle w:val="InternetLink"/>
                </w:rPr>
                <w:t>18</w:t>
              </w:r>
            </w:hyperlink>
          </w:p>
        </w:tc>
      </w:tr>
      <w:tr>
        <w:trPr/>
        <w:tc>
          <w:tcPr>
            <w:tcW w:w="5495" w:type="dxa"/>
            <w:tcBorders/>
            <w:vAlign w:val="center"/>
          </w:tcPr>
          <w:p>
            <w:pPr>
              <w:pStyle w:val="TableContents"/>
              <w:bidi w:val="0"/>
              <w:spacing w:before="0" w:after="283"/>
              <w:jc w:val="left"/>
              <w:rPr/>
            </w:pPr>
            <w:hyperlink w:anchor="a_013">
              <w:r>
                <w:rPr>
                  <w:rStyle w:val="InternetLink"/>
                </w:rPr>
                <w:t>Information Incorporated by Reference</w:t>
              </w:r>
            </w:hyperlink>
          </w:p>
        </w:tc>
        <w:tc>
          <w:tcPr>
            <w:tcW w:w="275" w:type="dxa"/>
            <w:tcBorders/>
            <w:vAlign w:val="center"/>
          </w:tcPr>
          <w:p>
            <w:pPr>
              <w:pStyle w:val="TableContents"/>
              <w:bidi w:val="0"/>
              <w:spacing w:before="0" w:after="283"/>
              <w:jc w:val="right"/>
              <w:rPr/>
            </w:pPr>
            <w:hyperlink w:anchor="a_013">
              <w:r>
                <w:rPr>
                  <w:rStyle w:val="InternetLink"/>
                </w:rPr>
                <w:t>18</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the Securities Act of 1933, as amended (“Securities Act”). Under this shelf registration process, the Selling Stockholders named in this prospectus may offer or sell shares of our common stock in one or more offerings from time to time. Each time the Selling Stockholders named in this prospectus (or in any supplement to this prospectus) sell shares of our common stock under the registration statement of which this prospectus is a part, such Selling Stockholders must provide a copy of this prospectus and any applicable prospectus supplement to a potential purchaser, as required by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You should read both this prospectus and any prospectus supplement, including all documents incorporated herein or therein by reference,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 other person to provide you with information other than the information contained or incorporated by reference in this prospectus and any accompanying prospectus supplement. If anyone provides you with different or inconsistent information, you should not rely on it. Neither we nor any of the Selling Stockholders will make an offer to sell our common stock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the terms “Accuray,” “Company,” “Registrant,” “we,” “us,” and “our” as used in this prospectus refer to Accuray Incorporated and our subsidiaries, and the term “common stock” refers to our common stock, par value $0.001 per share. The phrase “this prospectus” refers to this prospectus and any applicable prospectus supplement, unless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Trademarks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or the documents incorporated by reference herein contain references to trademarks and service marks belonging to us or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 symbols, but such references are not intended to indicate, in any way, that the applicable licensor will not assert, to the fullest extent under applicable law, its rights to these trademarks and trade names. We do not intend the use or display of other companies’ trade names, trademarks or service marks to imply a relationship with, or endorsement or sponsorship of it by, any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certain information incorporated herein by reference contain forward-looking statements within the “safe harbor” provisions of the Private Securities Litigation Reform Act of 1995. All statements included or incorporated by reference in this registration statement, other than statements that are purely historical, are forward-looking statements. Words such as “anticipates,” “believes,” “estimates,” “expects,” “intends,” “plans,” “predicts,” “projects,” “may,” “will be,” “will continue,” “will likely result,” and similar expressions also identify forward-looking statements. Those statements appear in this prospectus and the documents incorporated herein and therein by reference, particularly in the sections titled “Risk Factors” and “Management’s Discussion and Analysis of Financial Condition and Results of Operations” and “Business,” and include statements regarding the intent, belief or current expectations of our management that are subject to known and unknown risks, uncertainties and assumptions, and other factors that could cause actual results and the timing of certain events to differ materially from future results expressed or implied by such forward-looking statements. We refer you to the risks discussed in our other filings with the SEC incorporated by reference herein, which identify important risks and uncertainties that could cause actual results to differ materially from those contained in the forward-looking statements. The discussion of risks and uncertainties set forth in those filings should not be construed as exhaustive and should be read with the other cautionary statements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beliefs, objectives, intentions and strategies regarding future results are not guarantees of future performance and are subject to risks and uncertainties that could cause actual results to differ materially from results contemplated by our forward-looking statements. We assume no obligation to update any forward-looking statements, whether as a result of new information, future events or otherwise, except as required by applicable law. You are cautioned not to place undue reliance on forward-looking statements, which speak only as of the date of the filing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bookmarkStart w:id="5" w:name="a_004"/>
      <w:bookmarkEnd w:id="5"/>
      <w:r>
        <w:rPr>
          <w:rFonts w:ascii="Times New Roman;Times;Serif" w:hAnsi="Times New Roman;Times;Serif"/>
          <w:b/>
          <w:i w:val="false"/>
          <w:caps/>
          <w:sz w:val="20"/>
          <w:bdr w:val="single" w:sz="8" w:space="4" w:color="000000"/>
        </w:rPr>
        <w:t>Prospectus summary</w:t>
      </w:r>
    </w:p>
    <w:p>
      <w:pPr>
        <w:pStyle w:val="TextBody"/>
        <w:bidi w:val="0"/>
        <w:spacing w:before="0" w:after="0"/>
        <w:ind w:left="0" w:right="0" w:hanging="0"/>
        <w:jc w:val="center"/>
        <w:rPr>
          <w:caps/>
          <w:bdr w:val="single" w:sz="8" w:space="4" w:color="000000"/>
        </w:rPr>
      </w:pPr>
      <w:r>
        <w:rPr>
          <w:caps/>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selected information and does not contain all of the information that is important to you. This summary is qualified in its entirety by the more detailed information included or incorporated by reference in this prospectus. Before making your investment decision with respect to our securities, you should carefully read this entire prospectus, any applicable prospectus supplement and the documents referred to in “Where You Can Find More Information”.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Company</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innovative technologies, the CyberKnife</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and TomoTherapy</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platforms, including the Radixact</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 xml:space="preserve">We were incorporated in California in 1990 and commenced operations in 1992. We reincorporated in Delaware in 2007. Our principal offices in the United States are located in Madison, Wisconsin and Santa Clara, California, and our telephone number is (608) 824-2800. Our main corporate website address is </w:t>
      </w:r>
      <w:r>
        <w:rPr>
          <w:rFonts w:ascii="Times New Roman;Times;Serif" w:hAnsi="Times New Roman;Times;Serif"/>
          <w:b w:val="false"/>
          <w:i/>
          <w:caps w:val="false"/>
          <w:smallCaps w:val="false"/>
          <w:sz w:val="20"/>
          <w:bdr w:val="single" w:sz="8" w:space="4" w:color="000000"/>
        </w:rPr>
        <w:t>www.accuray.com</w:t>
      </w:r>
      <w:r>
        <w:rPr>
          <w:rFonts w:ascii="Times New Roman;Times;Serif" w:hAnsi="Times New Roman;Times;Serif"/>
          <w:b w:val="false"/>
          <w:i w:val="false"/>
          <w:caps w:val="false"/>
          <w:smallCaps w:val="false"/>
          <w:sz w:val="20"/>
          <w:bdr w:val="single" w:sz="8" w:space="4" w:color="000000"/>
        </w:rPr>
        <w:t>. The information on our website is not a part of nor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making an investment decision, you should carefully consider the risks and uncertainties described under “Part I. Item 1A. Risk Factors” in our Annual Report on Form 10-K/A for the fiscal year ended June 30, 2025 and our Quarterly Reports on Form 10-Q (including any amendments thereto on Form 10-Q/A) for the quarters ended September 30, 2025, December 31, 2025, and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The risks and uncertainties described are not the only ones we face. Additional risks and uncertainties not presently known to us or that we currently deem immaterial may also impair our business operations and financial results and the value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the Selling Stockholders. However, we will receive proceeds from any cash exercise of the Warrants. There can be no assurance that any of the Warrants will be exercised by the Selling Stockholders or that they will exercise the Warrants for cash instead of using the cashless exercise feature. We intend to use the net proceeds, if any, from any cash exercise of the Warrants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and are referenced in the exhibits to our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us to issue up to 200,000,000 shares of common stock, $0.001 par value per share, and 5,000,000 shares of preferred stock, $0.001 par value per share. As of May 31, 2026, we had approximately 118,963,696 shares of common stock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shares of preferred stock outstanding at the time, the holders of outstanding shares of our common stock are entitled to receive dividends out of funds legally available at the times and in the amounts that our board of directors may determine.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or redemption. There are no sinking fund provisions applicable to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dissolution or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is able to elect all of our directors. Our amended and restated certificate of incorporation and amended and restated bylaws provide that all stockholder action must be effected at a duly called meeting of stockholders and not by a consent in writing, and that only our chairperson of the board of directors, chief executive officer, president, secretary or a majority of the authorized number of directors may call a special meeting of stockholders.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a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changes in our control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before such date, the board of directors of the corporation approved either the business combination or the transaction that resulted in the stockholder becoming an interested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or after such date, the business combination is approved by the board of directors and authorized at an annual or special meeting of the stockholders, and not by written consent, by the affirmative vote of at least 66</w:t>
            </w:r>
            <w:r>
              <w:rPr>
                <w:position w:val="8"/>
                <w:sz w:val="19"/>
              </w:rPr>
              <w:t>2</w:t>
            </w:r>
            <w:r>
              <w:rPr/>
              <w:t>/3% of the outstanding voting stock that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sale, transfer, pledge or other disposition of 10% or more of the assets of the corporation involving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certain exceptions, any transaction that results in the issuance or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receipt by the interested stockholder of the benefit of any loss, advances, guarantees, pledges or other financial benefits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any of our predecessors.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outstanding warrants to purchase shares of our common stock, as of July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3557"/>
        <w:gridCol w:w="2880"/>
        <w:gridCol w:w="1404"/>
        <w:gridCol w:w="2364"/>
      </w:tblGrid>
      <w:tr>
        <w:trPr/>
        <w:tc>
          <w:tcPr>
            <w:tcW w:w="3557"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Exercisable for Common Stock </w:t>
            </w:r>
          </w:p>
        </w:tc>
        <w:tc>
          <w:tcPr>
            <w:tcW w:w="28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Issuable Upon Exercise of the Warrants </w:t>
            </w:r>
          </w:p>
        </w:tc>
        <w:tc>
          <w:tcPr>
            <w:tcW w:w="140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 Share </w:t>
            </w:r>
          </w:p>
        </w:tc>
        <w:tc>
          <w:tcPr>
            <w:tcW w:w="236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Period </w:t>
            </w:r>
          </w:p>
        </w:tc>
      </w:tr>
      <w:tr>
        <w:trPr/>
        <w:tc>
          <w:tcPr>
            <w:tcW w:w="3557" w:type="dxa"/>
            <w:tcBorders/>
            <w:vAlign w:val="center"/>
          </w:tcPr>
          <w:p>
            <w:pPr>
              <w:pStyle w:val="TableContents"/>
              <w:bidi w:val="0"/>
              <w:spacing w:before="0" w:after="283"/>
              <w:jc w:val="left"/>
              <w:rPr/>
            </w:pPr>
            <w:r>
              <w:rPr/>
              <w:t>June 2025 Penny Warrants held by the Selling Stockholders</w:t>
              <w:tab/>
            </w:r>
          </w:p>
        </w:tc>
        <w:tc>
          <w:tcPr>
            <w:tcW w:w="2880" w:type="dxa"/>
            <w:tcBorders/>
            <w:vAlign w:val="center"/>
          </w:tcPr>
          <w:p>
            <w:pPr>
              <w:pStyle w:val="TableContents"/>
              <w:bidi w:val="0"/>
              <w:spacing w:before="0" w:after="283"/>
              <w:jc w:val="right"/>
              <w:rPr/>
            </w:pPr>
            <w:r>
              <w:rPr/>
              <w:t>6,247,531</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June 6, 2025 – June 6, 2032</w:t>
            </w:r>
          </w:p>
        </w:tc>
      </w:tr>
      <w:tr>
        <w:trPr/>
        <w:tc>
          <w:tcPr>
            <w:tcW w:w="3557" w:type="dxa"/>
            <w:tcBorders/>
            <w:vAlign w:val="center"/>
          </w:tcPr>
          <w:p>
            <w:pPr>
              <w:pStyle w:val="TableContents"/>
              <w:bidi w:val="0"/>
              <w:spacing w:before="0" w:after="283"/>
              <w:jc w:val="left"/>
              <w:rPr/>
            </w:pPr>
            <w:r>
              <w:rPr/>
              <w:t>June 2025 Premium Warrants held by the Selling Stockholders</w:t>
              <w:tab/>
            </w:r>
          </w:p>
        </w:tc>
        <w:tc>
          <w:tcPr>
            <w:tcW w:w="2880" w:type="dxa"/>
            <w:tcBorders/>
            <w:vAlign w:val="center"/>
          </w:tcPr>
          <w:p>
            <w:pPr>
              <w:pStyle w:val="TableContents"/>
              <w:bidi w:val="0"/>
              <w:spacing w:before="0" w:after="283"/>
              <w:jc w:val="right"/>
              <w:rPr/>
            </w:pPr>
            <w:r>
              <w:rPr/>
              <w:t>17,180,710</w:t>
            </w:r>
          </w:p>
        </w:tc>
        <w:tc>
          <w:tcPr>
            <w:tcW w:w="1404" w:type="dxa"/>
            <w:tcBorders/>
            <w:vAlign w:val="center"/>
          </w:tcPr>
          <w:p>
            <w:pPr>
              <w:pStyle w:val="TableContents"/>
              <w:bidi w:val="0"/>
              <w:spacing w:before="0" w:after="283"/>
              <w:jc w:val="right"/>
              <w:rPr/>
            </w:pPr>
            <w:r>
              <w:rPr/>
              <w:t>$1.68</w:t>
            </w:r>
          </w:p>
        </w:tc>
        <w:tc>
          <w:tcPr>
            <w:tcW w:w="2364" w:type="dxa"/>
            <w:tcBorders/>
            <w:vAlign w:val="center"/>
          </w:tcPr>
          <w:p>
            <w:pPr>
              <w:pStyle w:val="TableContents"/>
              <w:bidi w:val="0"/>
              <w:spacing w:before="0" w:after="283"/>
              <w:jc w:val="right"/>
              <w:rPr/>
            </w:pPr>
            <w:r>
              <w:rPr/>
              <w:t>December 7, 2025 – June 6, 2032</w:t>
            </w:r>
          </w:p>
        </w:tc>
      </w:tr>
      <w:tr>
        <w:trPr/>
        <w:tc>
          <w:tcPr>
            <w:tcW w:w="3557" w:type="dxa"/>
            <w:tcBorders/>
            <w:vAlign w:val="center"/>
          </w:tcPr>
          <w:p>
            <w:pPr>
              <w:pStyle w:val="TableContents"/>
              <w:bidi w:val="0"/>
              <w:spacing w:before="0" w:after="283"/>
              <w:jc w:val="left"/>
              <w:rPr/>
            </w:pPr>
            <w:r>
              <w:rPr/>
              <w:t>December 2025 Penny Warrants held by the Selling Stockholders</w:t>
              <w:tab/>
            </w:r>
          </w:p>
        </w:tc>
        <w:tc>
          <w:tcPr>
            <w:tcW w:w="2880" w:type="dxa"/>
            <w:tcBorders/>
            <w:vAlign w:val="center"/>
          </w:tcPr>
          <w:p>
            <w:pPr>
              <w:pStyle w:val="TableContents"/>
              <w:bidi w:val="0"/>
              <w:spacing w:before="0" w:after="283"/>
              <w:jc w:val="right"/>
              <w:rPr/>
            </w:pPr>
            <w:r>
              <w:rPr/>
              <w:t>1,750,129</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December 15, 2025 – December 15, 2032</w:t>
            </w:r>
          </w:p>
        </w:tc>
      </w:tr>
      <w:tr>
        <w:trPr/>
        <w:tc>
          <w:tcPr>
            <w:tcW w:w="3557" w:type="dxa"/>
            <w:tcBorders/>
            <w:vAlign w:val="center"/>
          </w:tcPr>
          <w:p>
            <w:pPr>
              <w:pStyle w:val="TableContents"/>
              <w:bidi w:val="0"/>
              <w:spacing w:before="0" w:after="283"/>
              <w:jc w:val="left"/>
              <w:rPr/>
            </w:pPr>
            <w:r>
              <w:rPr/>
              <w:t>December 2025 Premium Warrants held by the Selling Stockholders</w:t>
              <w:tab/>
            </w:r>
          </w:p>
        </w:tc>
        <w:tc>
          <w:tcPr>
            <w:tcW w:w="2880" w:type="dxa"/>
            <w:tcBorders/>
            <w:vAlign w:val="center"/>
          </w:tcPr>
          <w:p>
            <w:pPr>
              <w:pStyle w:val="TableContents"/>
              <w:bidi w:val="0"/>
              <w:spacing w:before="0" w:after="283"/>
              <w:jc w:val="right"/>
              <w:rPr/>
            </w:pPr>
            <w:r>
              <w:rPr/>
              <w:t>2,187,661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December 2025 Super Premium Warrants held by the Selling Stockholders</w:t>
              <w:tab/>
            </w:r>
          </w:p>
        </w:tc>
        <w:tc>
          <w:tcPr>
            <w:tcW w:w="2880" w:type="dxa"/>
            <w:tcBorders/>
            <w:vAlign w:val="center"/>
          </w:tcPr>
          <w:p>
            <w:pPr>
              <w:pStyle w:val="TableContents"/>
              <w:bidi w:val="0"/>
              <w:spacing w:before="0" w:after="283"/>
              <w:jc w:val="right"/>
              <w:rPr/>
            </w:pPr>
            <w:r>
              <w:rPr/>
              <w:t>3,062,726</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Penny Warrants held by the Selling Stockholders</w:t>
              <w:tab/>
            </w:r>
          </w:p>
        </w:tc>
        <w:tc>
          <w:tcPr>
            <w:tcW w:w="2880" w:type="dxa"/>
            <w:tcBorders/>
            <w:vAlign w:val="center"/>
          </w:tcPr>
          <w:p>
            <w:pPr>
              <w:pStyle w:val="TableContents"/>
              <w:bidi w:val="0"/>
              <w:spacing w:before="0" w:after="283"/>
              <w:jc w:val="right"/>
              <w:rPr/>
            </w:pPr>
            <w:r>
              <w:rPr/>
              <w:t>1,708,577</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May 18, 2026 – May 18, 2033</w:t>
            </w:r>
          </w:p>
        </w:tc>
      </w:tr>
      <w:tr>
        <w:trPr/>
        <w:tc>
          <w:tcPr>
            <w:tcW w:w="3557" w:type="dxa"/>
            <w:tcBorders/>
            <w:vAlign w:val="center"/>
          </w:tcPr>
          <w:p>
            <w:pPr>
              <w:pStyle w:val="TableContents"/>
              <w:bidi w:val="0"/>
              <w:spacing w:before="0" w:after="283"/>
              <w:jc w:val="left"/>
              <w:rPr/>
            </w:pPr>
            <w:r>
              <w:rPr/>
              <w:t>Premium Warrants held by the Selling Stockholders</w:t>
              <w:tab/>
            </w:r>
          </w:p>
        </w:tc>
        <w:tc>
          <w:tcPr>
            <w:tcW w:w="2880" w:type="dxa"/>
            <w:tcBorders/>
            <w:vAlign w:val="center"/>
          </w:tcPr>
          <w:p>
            <w:pPr>
              <w:pStyle w:val="TableContents"/>
              <w:bidi w:val="0"/>
              <w:spacing w:before="0" w:after="283"/>
              <w:jc w:val="right"/>
              <w:rPr/>
            </w:pPr>
            <w:r>
              <w:rPr/>
              <w:t>2,135,721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November 19, 2026 – May 18, 2033</w:t>
            </w:r>
          </w:p>
        </w:tc>
      </w:tr>
      <w:tr>
        <w:trPr/>
        <w:tc>
          <w:tcPr>
            <w:tcW w:w="3557" w:type="dxa"/>
            <w:tcBorders/>
            <w:vAlign w:val="center"/>
          </w:tcPr>
          <w:p>
            <w:pPr>
              <w:pStyle w:val="TableContents"/>
              <w:bidi w:val="0"/>
              <w:spacing w:before="0" w:after="283"/>
              <w:jc w:val="left"/>
              <w:rPr/>
            </w:pPr>
            <w:r>
              <w:rPr/>
              <w:t>Super Premium Warrants held by the Selling Stockholders</w:t>
              <w:tab/>
            </w:r>
          </w:p>
        </w:tc>
        <w:tc>
          <w:tcPr>
            <w:tcW w:w="2880" w:type="dxa"/>
            <w:tcBorders/>
            <w:vAlign w:val="center"/>
          </w:tcPr>
          <w:p>
            <w:pPr>
              <w:pStyle w:val="TableContents"/>
              <w:bidi w:val="0"/>
              <w:spacing w:before="0" w:after="283"/>
              <w:jc w:val="right"/>
              <w:rPr/>
            </w:pPr>
            <w:r>
              <w:rPr/>
              <w:t>2,990,010</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November 19, 2026 – May 18, 2033</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issued to certain lenders party to the Financing Agreement (i) warrants to purchase 17,180,710 shares of common stock, which warrants are exercisable on and after December 7, 2025 and expire on June 6, 2032 and have an exercise price of $1.68 per share, subject to certain adjustments (the “June 2025 Premium Warrants”) and (ii) warrants to purchase 6,247,531 shares of common stock, which warrants are exercisable on and after June 6, 2025 and expire on June 6, 2032 and have an exercise price of $0.01 per share (the “June 2025 Penny Warrants” and, together with the June 2025 Premium Warrants, the “June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in connection with our entry into Amendment No. 1 and Amendment No. 2, we issued to certain lenders party thereto (i) warrants to purchase 3,062,726 shares of common stock, which warrants are exercisable on and after June 16, 2026 and expire on December 15, 2032 and have an exercise price of $1.50 per share, subject to certain adjustments (the “December 2025 Super Premium Warrants”) (ii) warrants to purchase 2,187,661 shares of common stock, which warrants are exercisable on and after June 16, 2026 and expire on December 15, 2032 and have an exercise price of $1.25 per share, subject to certain adjustments (the “December 2025 Premium Warrants”) and (iii) warrants to purchase 1,750,129 shares of common stock, which warrants are exercisable on and after December 15, 2025 and expire on December 15, 2032 and have an exercise price of $0.01 per share (the “December 2025 Penny Warrants” and, together with the December 2025 Premium Warrants and the December 2025 Super Premium Warrants, the “December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in connection with the DDTL Funding, we issued to certain lenders party to the Financing Agreement (i) the Super Premium Warrants to purchase 2,990,010 shares of common stock, which warrants are exercisable on and after November 19, 2026 and expire on May 18, 2033 and have an exercise price of $1.50 per share, subject to certain adjustments (ii) the Premium Warrants to purchase 2,135,721 shares of common stock, which warrants are exercisable on and after November 19, 2026 and expire on May 18, 2033 and have an exercise price of $1.25 per share, subject to certain adjustments and (iii) the Penny Warrants to purchase 1,708,577 shares of common stock, which warrants are exercisable on and after May 18, 2026 and expire on May 18, 2033 and have an exercise price of $0.01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June 2025 Warrants, the December 2025 Warrants and the Warrants have certain anti-dilution protection provisions, including price-based anti-dilution protection in the event that we sell stock at a price below (i) $1.25 in the case of the June 2025 Premium Warrants, (ii) $1.12 in the case of the December 2025 Super Premium Warrants  and the Super Premium Warrants, (iii) $0.93 in the case of the December 2025 Premium Warrants and the Premium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and (iv) $1.00 in the case of the June 2025 Penny Warrants, the December 2025 Penny Warrants and the Penny Warrants. We agreed to issue the June 2025 Warrants, the December 2025 Warrants in connection with, and to induce the lenders to enter into, the Financing Agreement, including Amendment No. 1 and Amendment No. 2 thereto. We agreed to issue the Warrants in connection with the DDTL Funding, pursuant to terms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June 2025 Warrants, the December 2025 Warrants and the Warrants provide that we will, among other things, prepare and file with the SEC a registration statement covering the resale of the shares underlying the June 2025 Warrants, the December 2025 Warrants and the Warrants. The registration statement of which this prospectus is a part has been filed by us in satisfaction of our obligations under the Warrants to file such registration statement. </w:t>
      </w:r>
      <w:r>
        <w:rPr>
          <w:rFonts w:ascii="Times New Roman;Times;Serif" w:hAnsi="Times New Roman;Times;Serif"/>
          <w:b w:val="false"/>
          <w:i w:val="false"/>
          <w:caps w:val="false"/>
          <w:smallCaps w:val="false"/>
          <w:sz w:val="20"/>
          <w:shd w:fill="FFFFFF" w:val="clear"/>
        </w:rPr>
        <w:t xml:space="preserve">We have also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and conditions of the June 2025 Warrants, the December 2025 Warrants and the Warrants does not purport to be complete and is qualified in its entirety by reference to the Form of June 2025 Premium Warrants, Form of June 2025 Penny Warrants, Form of Super Premium Warrants, Form of Premium Warrants and Form of Penny Warrants that are attached as exhibits to the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Nasdaq Capital Markets under the symbol "ARAY."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offering for resale from time to time, in one or more offerings, of up to 6,834,308 shares of our common stock, consisting of (i) 2,990,010 shares of our common stock issuable upon exercise of the Super Premium Warrants, (ii) 2,135,721 shares of our common stock issuable upon exercise of the Premium Warrants and (iii) 1,708,577 shares of our common stock issuable upon exercise of the Penny Warrants by the Selling Stockholders. The term “Selling Stockholders” includes the stockholders listed below and their permitted transferees who may acquire shares from a Selling Stockholder after the date of this prospectus. Information concerning the Selling Stockholders may change after the date of this prospectus and changed information will be presented in a supplement to this prospectus if and when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following information, as of July 31, 2026: (i) the name of each Selling Stockholder, (ii) the number of shares of common stock beneficially owned by each Selling Stockholder, (iii) the number of shares of common stock offered by each Selling Stockholder hereunder, (iv) the number of shares of common stock beneficially owned by each Selling Stockholder following the completion of this offering (assuming each Selling Stockholder sells all of the shares of our common stock covered by this prospectus) and (v) the percentage of common stock beneficially owned by each Selling Stockholder following the completion of this offering (assuming each Selling Stockholder sells all of the shares of our common stock covered by this prospectus), based on 118,963,696 shares of our common stock outstanding as of May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not making any representation that any shares of common stock covered by this prospectus will be offered for sale. Because each Selling Stockholder may dispose of all, none or some portion of the shares of common stock covered by this prospectus, no estimate can be given as to the number of shares that will be beneficially owned by a Selling Stockholder upon termination of this offering. In addition, the Selling Stockholders may have sold, transferred or otherwise disposed of their shares of common stock in transactions exempt from the registration requirements of the Securities Act after the date on which the information in the table is presented. For purposes of the table below, however, we have assumed that after termination of this offering, none of the shares of common stock registered for resale under this prospectus will be beneficially owned by the Selling Stockholders, and we have further assumed that the Selling Stockholders will not acquire beneficial ownership of any additional shares of common stock during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prepared based on information provided to us by the Selling Stockholders. Except as may be described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0"/>
        <w:gridCol w:w="1746"/>
        <w:gridCol w:w="1730"/>
        <w:gridCol w:w="1522"/>
        <w:gridCol w:w="1733"/>
        <w:gridCol w:w="1734"/>
      </w:tblGrid>
      <w:tr>
        <w:trPr/>
        <w:tc>
          <w:tcPr>
            <w:tcW w:w="17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 </w:t>
            </w:r>
          </w:p>
        </w:tc>
        <w:tc>
          <w:tcPr>
            <w:tcW w:w="174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Before this Offering (1)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Before this Offering </w:t>
            </w:r>
          </w:p>
        </w:tc>
        <w:tc>
          <w:tcPr>
            <w:tcW w:w="152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Offered by this Prospectus (1) </w:t>
            </w:r>
          </w:p>
        </w:tc>
        <w:tc>
          <w:tcPr>
            <w:tcW w:w="173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After this Offering (1) </w:t>
            </w:r>
          </w:p>
        </w:tc>
        <w:tc>
          <w:tcPr>
            <w:tcW w:w="173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After this Offering </w:t>
            </w:r>
          </w:p>
        </w:tc>
      </w:tr>
      <w:tr>
        <w:trPr/>
        <w:tc>
          <w:tcPr>
            <w:tcW w:w="1740" w:type="dxa"/>
            <w:tcBorders/>
            <w:vAlign w:val="center"/>
          </w:tcPr>
          <w:p>
            <w:pPr>
              <w:pStyle w:val="TableContents"/>
              <w:bidi w:val="0"/>
              <w:spacing w:before="0" w:after="283"/>
              <w:jc w:val="left"/>
              <w:rPr/>
            </w:pPr>
            <w:r>
              <w:rPr/>
              <w:t xml:space="preserve">First Trust Alternative Opportunities Fund </w:t>
            </w:r>
            <w:r>
              <w:rPr>
                <w:sz w:val="20"/>
              </w:rPr>
              <w:t>(2)</w:t>
            </w:r>
          </w:p>
        </w:tc>
        <w:tc>
          <w:tcPr>
            <w:tcW w:w="1746" w:type="dxa"/>
            <w:tcBorders/>
            <w:vAlign w:val="center"/>
          </w:tcPr>
          <w:p>
            <w:pPr>
              <w:pStyle w:val="TableContents"/>
              <w:bidi w:val="0"/>
              <w:spacing w:before="0" w:after="283"/>
              <w:jc w:val="right"/>
              <w:rPr/>
            </w:pPr>
            <w:r>
              <w:rPr/>
              <w:t> </w:t>
            </w:r>
            <w:r>
              <w:rPr/>
              <w:t xml:space="preserve">5,744,723 </w:t>
            </w:r>
          </w:p>
        </w:tc>
        <w:tc>
          <w:tcPr>
            <w:tcW w:w="1730" w:type="dxa"/>
            <w:tcBorders/>
            <w:vAlign w:val="center"/>
          </w:tcPr>
          <w:p>
            <w:pPr>
              <w:pStyle w:val="TableContents"/>
              <w:bidi w:val="0"/>
              <w:spacing w:before="0" w:after="283"/>
              <w:jc w:val="right"/>
              <w:rPr/>
            </w:pPr>
            <w:r>
              <w:rPr/>
              <w:t>4.83%</w:t>
            </w:r>
          </w:p>
        </w:tc>
        <w:tc>
          <w:tcPr>
            <w:tcW w:w="1522" w:type="dxa"/>
            <w:tcBorders/>
            <w:vAlign w:val="center"/>
          </w:tcPr>
          <w:p>
            <w:pPr>
              <w:pStyle w:val="TableContents"/>
              <w:bidi w:val="0"/>
              <w:spacing w:before="0" w:after="283"/>
              <w:jc w:val="right"/>
              <w:rPr/>
            </w:pPr>
            <w:r>
              <w:rPr/>
              <w:t> </w:t>
            </w:r>
            <w:r>
              <w:rPr/>
              <w:t xml:space="preserve">1,053,623 </w:t>
            </w:r>
          </w:p>
        </w:tc>
        <w:tc>
          <w:tcPr>
            <w:tcW w:w="1733" w:type="dxa"/>
            <w:tcBorders/>
            <w:vAlign w:val="center"/>
          </w:tcPr>
          <w:p>
            <w:pPr>
              <w:pStyle w:val="TableContents"/>
              <w:bidi w:val="0"/>
              <w:spacing w:before="0" w:after="283"/>
              <w:jc w:val="right"/>
              <w:rPr/>
            </w:pPr>
            <w:r>
              <w:rPr/>
              <w:t> </w:t>
            </w:r>
            <w:r>
              <w:rPr/>
              <w:t xml:space="preserve">4,691,100 </w:t>
            </w:r>
          </w:p>
        </w:tc>
        <w:tc>
          <w:tcPr>
            <w:tcW w:w="1734" w:type="dxa"/>
            <w:tcBorders/>
            <w:vAlign w:val="center"/>
          </w:tcPr>
          <w:p>
            <w:pPr>
              <w:pStyle w:val="TableContents"/>
              <w:bidi w:val="0"/>
              <w:spacing w:before="0" w:after="283"/>
              <w:jc w:val="right"/>
              <w:rPr/>
            </w:pPr>
            <w:r>
              <w:rPr/>
              <w:t>3.94%</w:t>
            </w:r>
          </w:p>
        </w:tc>
      </w:tr>
      <w:tr>
        <w:trPr/>
        <w:tc>
          <w:tcPr>
            <w:tcW w:w="1740" w:type="dxa"/>
            <w:tcBorders/>
            <w:vAlign w:val="center"/>
          </w:tcPr>
          <w:p>
            <w:pPr>
              <w:pStyle w:val="TableContents"/>
              <w:bidi w:val="0"/>
              <w:spacing w:before="0" w:after="283"/>
              <w:jc w:val="left"/>
              <w:rPr/>
            </w:pPr>
            <w:r>
              <w:rPr/>
              <w:t xml:space="preserve">First Trust Private Credit Fund </w:t>
            </w:r>
            <w:r>
              <w:rPr>
                <w:sz w:val="20"/>
              </w:rPr>
              <w:t>(3)</w:t>
            </w:r>
          </w:p>
        </w:tc>
        <w:tc>
          <w:tcPr>
            <w:tcW w:w="1746" w:type="dxa"/>
            <w:tcBorders/>
            <w:vAlign w:val="center"/>
          </w:tcPr>
          <w:p>
            <w:pPr>
              <w:pStyle w:val="TableContents"/>
              <w:bidi w:val="0"/>
              <w:spacing w:before="0" w:after="283"/>
              <w:jc w:val="right"/>
              <w:rPr/>
            </w:pPr>
            <w:r>
              <w:rPr/>
              <w:t> </w:t>
            </w:r>
            <w:r>
              <w:rPr/>
              <w:t xml:space="preserve">931,576 </w:t>
            </w:r>
          </w:p>
        </w:tc>
        <w:tc>
          <w:tcPr>
            <w:tcW w:w="1730" w:type="dxa"/>
            <w:tcBorders/>
            <w:vAlign w:val="center"/>
          </w:tcPr>
          <w:p>
            <w:pPr>
              <w:pStyle w:val="TableContents"/>
              <w:bidi w:val="0"/>
              <w:spacing w:before="0" w:after="283"/>
              <w:jc w:val="right"/>
              <w:rPr/>
            </w:pPr>
            <w:r>
              <w:rPr/>
              <w:t>*</w:t>
            </w:r>
          </w:p>
        </w:tc>
        <w:tc>
          <w:tcPr>
            <w:tcW w:w="1522" w:type="dxa"/>
            <w:tcBorders/>
            <w:vAlign w:val="center"/>
          </w:tcPr>
          <w:p>
            <w:pPr>
              <w:pStyle w:val="TableContents"/>
              <w:bidi w:val="0"/>
              <w:spacing w:before="0" w:after="283"/>
              <w:jc w:val="right"/>
              <w:rPr/>
            </w:pPr>
            <w:r>
              <w:rPr/>
              <w:t> </w:t>
            </w:r>
            <w:r>
              <w:rPr/>
              <w:t xml:space="preserve">170,857 </w:t>
            </w:r>
          </w:p>
        </w:tc>
        <w:tc>
          <w:tcPr>
            <w:tcW w:w="1733" w:type="dxa"/>
            <w:tcBorders/>
            <w:vAlign w:val="center"/>
          </w:tcPr>
          <w:p>
            <w:pPr>
              <w:pStyle w:val="TableContents"/>
              <w:bidi w:val="0"/>
              <w:spacing w:before="0" w:after="283"/>
              <w:jc w:val="right"/>
              <w:rPr/>
            </w:pPr>
            <w:r>
              <w:rPr/>
              <w:t> </w:t>
            </w:r>
            <w:r>
              <w:rPr/>
              <w:t xml:space="preserve">760,719 </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First Trust Enhanced Private Credit Fund </w:t>
            </w:r>
            <w:r>
              <w:rPr>
                <w:sz w:val="20"/>
              </w:rPr>
              <w:t>(4)</w:t>
            </w:r>
          </w:p>
        </w:tc>
        <w:tc>
          <w:tcPr>
            <w:tcW w:w="1746" w:type="dxa"/>
            <w:tcBorders/>
            <w:vAlign w:val="center"/>
          </w:tcPr>
          <w:p>
            <w:pPr>
              <w:pStyle w:val="TableContents"/>
              <w:bidi w:val="0"/>
              <w:spacing w:before="0" w:after="283"/>
              <w:jc w:val="right"/>
              <w:rPr/>
            </w:pPr>
            <w:r>
              <w:rPr/>
              <w:t> </w:t>
            </w:r>
            <w:r>
              <w:rPr/>
              <w:t xml:space="preserve">776,313 </w:t>
            </w:r>
          </w:p>
        </w:tc>
        <w:tc>
          <w:tcPr>
            <w:tcW w:w="1730" w:type="dxa"/>
            <w:tcBorders/>
            <w:vAlign w:val="center"/>
          </w:tcPr>
          <w:p>
            <w:pPr>
              <w:pStyle w:val="TableContents"/>
              <w:bidi w:val="0"/>
              <w:spacing w:before="0" w:after="283"/>
              <w:jc w:val="right"/>
              <w:rPr/>
            </w:pPr>
            <w:r>
              <w:rPr/>
              <w:t>*</w:t>
            </w:r>
          </w:p>
        </w:tc>
        <w:tc>
          <w:tcPr>
            <w:tcW w:w="1522" w:type="dxa"/>
            <w:tcBorders/>
            <w:vAlign w:val="center"/>
          </w:tcPr>
          <w:p>
            <w:pPr>
              <w:pStyle w:val="TableContents"/>
              <w:bidi w:val="0"/>
              <w:spacing w:before="0" w:after="283"/>
              <w:jc w:val="right"/>
              <w:rPr/>
            </w:pPr>
            <w:r>
              <w:rPr/>
              <w:t> </w:t>
            </w:r>
            <w:r>
              <w:rPr/>
              <w:t xml:space="preserve">142,381 </w:t>
            </w:r>
          </w:p>
        </w:tc>
        <w:tc>
          <w:tcPr>
            <w:tcW w:w="1733" w:type="dxa"/>
            <w:tcBorders/>
            <w:vAlign w:val="center"/>
          </w:tcPr>
          <w:p>
            <w:pPr>
              <w:pStyle w:val="TableContents"/>
              <w:bidi w:val="0"/>
              <w:spacing w:before="0" w:after="283"/>
              <w:jc w:val="right"/>
              <w:rPr/>
            </w:pPr>
            <w:r>
              <w:rPr/>
              <w:t> </w:t>
            </w:r>
            <w:r>
              <w:rPr/>
              <w:t xml:space="preserve">633,932 </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Asilia Credit Fund, LP </w:t>
            </w:r>
            <w:r>
              <w:rPr>
                <w:sz w:val="20"/>
              </w:rPr>
              <w:t>(5)</w:t>
            </w:r>
          </w:p>
        </w:tc>
        <w:tc>
          <w:tcPr>
            <w:tcW w:w="1746" w:type="dxa"/>
            <w:tcBorders/>
            <w:vAlign w:val="center"/>
          </w:tcPr>
          <w:p>
            <w:pPr>
              <w:pStyle w:val="TableContents"/>
              <w:bidi w:val="0"/>
              <w:spacing w:before="0" w:after="283"/>
              <w:jc w:val="right"/>
              <w:rPr/>
            </w:pPr>
            <w:r>
              <w:rPr/>
              <w:t> </w:t>
            </w:r>
            <w:r>
              <w:rPr/>
              <w:t>4,968,408</w:t>
            </w:r>
          </w:p>
        </w:tc>
        <w:tc>
          <w:tcPr>
            <w:tcW w:w="1730" w:type="dxa"/>
            <w:tcBorders/>
            <w:vAlign w:val="center"/>
          </w:tcPr>
          <w:p>
            <w:pPr>
              <w:pStyle w:val="TableContents"/>
              <w:bidi w:val="0"/>
              <w:spacing w:before="0" w:after="283"/>
              <w:jc w:val="right"/>
              <w:rPr/>
            </w:pPr>
            <w:r>
              <w:rPr/>
              <w:t>4.18%</w:t>
            </w:r>
          </w:p>
        </w:tc>
        <w:tc>
          <w:tcPr>
            <w:tcW w:w="1522" w:type="dxa"/>
            <w:tcBorders/>
            <w:vAlign w:val="center"/>
          </w:tcPr>
          <w:p>
            <w:pPr>
              <w:pStyle w:val="TableContents"/>
              <w:bidi w:val="0"/>
              <w:spacing w:before="0" w:after="283"/>
              <w:jc w:val="right"/>
              <w:rPr/>
            </w:pPr>
            <w:r>
              <w:rPr/>
              <w:t> </w:t>
            </w:r>
            <w:r>
              <w:rPr/>
              <w:t>911,241</w:t>
            </w:r>
          </w:p>
        </w:tc>
        <w:tc>
          <w:tcPr>
            <w:tcW w:w="1733" w:type="dxa"/>
            <w:tcBorders/>
            <w:vAlign w:val="center"/>
          </w:tcPr>
          <w:p>
            <w:pPr>
              <w:pStyle w:val="TableContents"/>
              <w:bidi w:val="0"/>
              <w:spacing w:before="0" w:after="283"/>
              <w:jc w:val="right"/>
              <w:rPr/>
            </w:pPr>
            <w:r>
              <w:rPr/>
              <w:t> </w:t>
            </w:r>
            <w:r>
              <w:rPr/>
              <w:t>4,057,167</w:t>
            </w:r>
          </w:p>
        </w:tc>
        <w:tc>
          <w:tcPr>
            <w:tcW w:w="1734" w:type="dxa"/>
            <w:tcBorders/>
            <w:vAlign w:val="center"/>
          </w:tcPr>
          <w:p>
            <w:pPr>
              <w:pStyle w:val="TableContents"/>
              <w:bidi w:val="0"/>
              <w:spacing w:before="0" w:after="283"/>
              <w:jc w:val="right"/>
              <w:rPr/>
            </w:pPr>
            <w:r>
              <w:rPr/>
              <w:t>3.41%</w:t>
            </w:r>
          </w:p>
        </w:tc>
      </w:tr>
      <w:tr>
        <w:trPr/>
        <w:tc>
          <w:tcPr>
            <w:tcW w:w="1740" w:type="dxa"/>
            <w:tcBorders/>
            <w:vAlign w:val="center"/>
          </w:tcPr>
          <w:p>
            <w:pPr>
              <w:pStyle w:val="TableContents"/>
              <w:bidi w:val="0"/>
              <w:spacing w:before="0" w:after="283"/>
              <w:jc w:val="left"/>
              <w:rPr/>
            </w:pPr>
            <w:r>
              <w:rPr/>
              <w:t xml:space="preserve">Walnut Capital Fund I, LP </w:t>
            </w:r>
            <w:r>
              <w:rPr>
                <w:sz w:val="20"/>
              </w:rPr>
              <w:t>(6)</w:t>
            </w:r>
          </w:p>
        </w:tc>
        <w:tc>
          <w:tcPr>
            <w:tcW w:w="1746" w:type="dxa"/>
            <w:tcBorders/>
            <w:vAlign w:val="center"/>
          </w:tcPr>
          <w:p>
            <w:pPr>
              <w:pStyle w:val="TableContents"/>
              <w:bidi w:val="0"/>
              <w:spacing w:before="0" w:after="283"/>
              <w:jc w:val="right"/>
              <w:rPr/>
            </w:pPr>
            <w:r>
              <w:rPr/>
              <w:t> </w:t>
            </w:r>
            <w:r>
              <w:rPr/>
              <w:t>1,242,103</w:t>
            </w:r>
          </w:p>
        </w:tc>
        <w:tc>
          <w:tcPr>
            <w:tcW w:w="1730" w:type="dxa"/>
            <w:tcBorders/>
            <w:vAlign w:val="center"/>
          </w:tcPr>
          <w:p>
            <w:pPr>
              <w:pStyle w:val="TableContents"/>
              <w:bidi w:val="0"/>
              <w:spacing w:before="0" w:after="283"/>
              <w:jc w:val="right"/>
              <w:rPr/>
            </w:pPr>
            <w:r>
              <w:rPr/>
              <w:t>1.04%</w:t>
            </w:r>
          </w:p>
        </w:tc>
        <w:tc>
          <w:tcPr>
            <w:tcW w:w="1522" w:type="dxa"/>
            <w:tcBorders/>
            <w:vAlign w:val="center"/>
          </w:tcPr>
          <w:p>
            <w:pPr>
              <w:pStyle w:val="TableContents"/>
              <w:bidi w:val="0"/>
              <w:spacing w:before="0" w:after="283"/>
              <w:jc w:val="right"/>
              <w:rPr/>
            </w:pPr>
            <w:r>
              <w:rPr/>
              <w:t> </w:t>
            </w:r>
            <w:r>
              <w:rPr/>
              <w:t>227,811</w:t>
            </w:r>
          </w:p>
        </w:tc>
        <w:tc>
          <w:tcPr>
            <w:tcW w:w="1733" w:type="dxa"/>
            <w:tcBorders/>
            <w:vAlign w:val="center"/>
          </w:tcPr>
          <w:p>
            <w:pPr>
              <w:pStyle w:val="TableContents"/>
              <w:bidi w:val="0"/>
              <w:spacing w:before="0" w:after="283"/>
              <w:jc w:val="right"/>
              <w:rPr/>
            </w:pPr>
            <w:r>
              <w:rPr/>
              <w:t> </w:t>
            </w:r>
            <w:r>
              <w:rPr/>
              <w:t>1,014,292</w:t>
            </w:r>
          </w:p>
        </w:tc>
        <w:tc>
          <w:tcPr>
            <w:tcW w:w="1734" w:type="dxa"/>
            <w:tcBorders/>
            <w:vAlign w:val="center"/>
          </w:tcPr>
          <w:p>
            <w:pPr>
              <w:pStyle w:val="TableContents"/>
              <w:bidi w:val="0"/>
              <w:spacing w:before="0" w:after="283"/>
              <w:jc w:val="right"/>
              <w:rPr/>
            </w:pPr>
            <w:r>
              <w:rPr/>
              <w:t>*</w:t>
            </w:r>
          </w:p>
        </w:tc>
      </w:tr>
      <w:tr>
        <w:trPr/>
        <w:tc>
          <w:tcPr>
            <w:tcW w:w="1740" w:type="dxa"/>
            <w:tcBorders/>
            <w:vAlign w:val="center"/>
          </w:tcPr>
          <w:p>
            <w:pPr>
              <w:pStyle w:val="TableContents"/>
              <w:bidi w:val="0"/>
              <w:spacing w:before="0" w:after="283"/>
              <w:jc w:val="left"/>
              <w:rPr/>
            </w:pPr>
            <w:r>
              <w:rPr/>
              <w:t xml:space="preserve">Nationwide Mutual Insurance Company </w:t>
            </w:r>
            <w:r>
              <w:rPr>
                <w:sz w:val="20"/>
              </w:rPr>
              <w:t>(7)</w:t>
            </w:r>
          </w:p>
        </w:tc>
        <w:tc>
          <w:tcPr>
            <w:tcW w:w="1746" w:type="dxa"/>
            <w:tcBorders/>
            <w:vAlign w:val="center"/>
          </w:tcPr>
          <w:p>
            <w:pPr>
              <w:pStyle w:val="TableContents"/>
              <w:bidi w:val="0"/>
              <w:spacing w:before="0" w:after="283"/>
              <w:jc w:val="right"/>
              <w:rPr/>
            </w:pPr>
            <w:r>
              <w:rPr/>
              <w:t> </w:t>
            </w:r>
            <w:r>
              <w:rPr/>
              <w:t>4,657,883</w:t>
            </w:r>
          </w:p>
        </w:tc>
        <w:tc>
          <w:tcPr>
            <w:tcW w:w="1730" w:type="dxa"/>
            <w:tcBorders/>
            <w:vAlign w:val="center"/>
          </w:tcPr>
          <w:p>
            <w:pPr>
              <w:pStyle w:val="TableContents"/>
              <w:bidi w:val="0"/>
              <w:spacing w:before="0" w:after="283"/>
              <w:jc w:val="right"/>
              <w:rPr/>
            </w:pPr>
            <w:r>
              <w:rPr/>
              <w:t>3.92%</w:t>
            </w:r>
          </w:p>
        </w:tc>
        <w:tc>
          <w:tcPr>
            <w:tcW w:w="1522" w:type="dxa"/>
            <w:tcBorders/>
            <w:vAlign w:val="center"/>
          </w:tcPr>
          <w:p>
            <w:pPr>
              <w:pStyle w:val="TableContents"/>
              <w:bidi w:val="0"/>
              <w:spacing w:before="0" w:after="283"/>
              <w:jc w:val="right"/>
              <w:rPr/>
            </w:pPr>
            <w:r>
              <w:rPr/>
              <w:t> </w:t>
            </w:r>
            <w:r>
              <w:rPr/>
              <w:t>854,288</w:t>
            </w:r>
          </w:p>
        </w:tc>
        <w:tc>
          <w:tcPr>
            <w:tcW w:w="1733" w:type="dxa"/>
            <w:tcBorders/>
            <w:vAlign w:val="center"/>
          </w:tcPr>
          <w:p>
            <w:pPr>
              <w:pStyle w:val="TableContents"/>
              <w:bidi w:val="0"/>
              <w:spacing w:before="0" w:after="283"/>
              <w:jc w:val="right"/>
              <w:rPr/>
            </w:pPr>
            <w:r>
              <w:rPr/>
              <w:t> </w:t>
            </w:r>
            <w:r>
              <w:rPr/>
              <w:t>3,803,595</w:t>
            </w:r>
          </w:p>
        </w:tc>
        <w:tc>
          <w:tcPr>
            <w:tcW w:w="1734" w:type="dxa"/>
            <w:tcBorders/>
            <w:vAlign w:val="center"/>
          </w:tcPr>
          <w:p>
            <w:pPr>
              <w:pStyle w:val="TableContents"/>
              <w:bidi w:val="0"/>
              <w:spacing w:before="0" w:after="283"/>
              <w:jc w:val="right"/>
              <w:rPr/>
            </w:pPr>
            <w:r>
              <w:rPr/>
              <w:t>3.20%</w:t>
            </w:r>
          </w:p>
        </w:tc>
      </w:tr>
      <w:tr>
        <w:trPr/>
        <w:tc>
          <w:tcPr>
            <w:tcW w:w="1740" w:type="dxa"/>
            <w:tcBorders/>
            <w:vAlign w:val="center"/>
          </w:tcPr>
          <w:p>
            <w:pPr>
              <w:pStyle w:val="TableContents"/>
              <w:bidi w:val="0"/>
              <w:spacing w:before="0" w:after="283"/>
              <w:jc w:val="left"/>
              <w:rPr/>
            </w:pPr>
            <w:r>
              <w:rPr/>
              <w:t xml:space="preserve">TCW Rescue Financing Fund II LP </w:t>
            </w:r>
            <w:r>
              <w:rPr>
                <w:sz w:val="20"/>
              </w:rPr>
              <w:t>(8)</w:t>
            </w:r>
          </w:p>
        </w:tc>
        <w:tc>
          <w:tcPr>
            <w:tcW w:w="1746" w:type="dxa"/>
            <w:tcBorders/>
            <w:vAlign w:val="center"/>
          </w:tcPr>
          <w:p>
            <w:pPr>
              <w:pStyle w:val="TableContents"/>
              <w:bidi w:val="0"/>
              <w:spacing w:before="0" w:after="283"/>
              <w:jc w:val="right"/>
              <w:rPr/>
            </w:pPr>
            <w:r>
              <w:rPr/>
              <w:t> </w:t>
            </w:r>
            <w:r>
              <w:rPr/>
              <w:t>17,622,504</w:t>
            </w:r>
          </w:p>
        </w:tc>
        <w:tc>
          <w:tcPr>
            <w:tcW w:w="1730" w:type="dxa"/>
            <w:tcBorders/>
            <w:vAlign w:val="center"/>
          </w:tcPr>
          <w:p>
            <w:pPr>
              <w:pStyle w:val="TableContents"/>
              <w:bidi w:val="0"/>
              <w:spacing w:before="0" w:after="283"/>
              <w:jc w:val="right"/>
              <w:rPr/>
            </w:pPr>
            <w:r>
              <w:rPr/>
              <w:t>14.81%</w:t>
            </w:r>
          </w:p>
        </w:tc>
        <w:tc>
          <w:tcPr>
            <w:tcW w:w="1522" w:type="dxa"/>
            <w:tcBorders/>
            <w:vAlign w:val="center"/>
          </w:tcPr>
          <w:p>
            <w:pPr>
              <w:pStyle w:val="TableContents"/>
              <w:bidi w:val="0"/>
              <w:spacing w:before="0" w:after="283"/>
              <w:jc w:val="right"/>
              <w:rPr/>
            </w:pPr>
            <w:r>
              <w:rPr/>
              <w:t> </w:t>
            </w:r>
            <w:r>
              <w:rPr/>
              <w:t>3,232,091</w:t>
            </w:r>
          </w:p>
        </w:tc>
        <w:tc>
          <w:tcPr>
            <w:tcW w:w="1733" w:type="dxa"/>
            <w:tcBorders/>
            <w:vAlign w:val="center"/>
          </w:tcPr>
          <w:p>
            <w:pPr>
              <w:pStyle w:val="TableContents"/>
              <w:bidi w:val="0"/>
              <w:spacing w:before="0" w:after="283"/>
              <w:jc w:val="right"/>
              <w:rPr/>
            </w:pPr>
            <w:r>
              <w:rPr/>
              <w:t> </w:t>
            </w:r>
            <w:r>
              <w:rPr/>
              <w:t>14,390,413</w:t>
            </w:r>
          </w:p>
        </w:tc>
        <w:tc>
          <w:tcPr>
            <w:tcW w:w="1734" w:type="dxa"/>
            <w:tcBorders/>
            <w:vAlign w:val="center"/>
          </w:tcPr>
          <w:p>
            <w:pPr>
              <w:pStyle w:val="TableContents"/>
              <w:bidi w:val="0"/>
              <w:spacing w:before="0" w:after="283"/>
              <w:jc w:val="right"/>
              <w:rPr/>
            </w:pPr>
            <w:r>
              <w:rPr/>
              <w:t>12.10%</w:t>
            </w:r>
          </w:p>
        </w:tc>
      </w:tr>
      <w:tr>
        <w:trPr/>
        <w:tc>
          <w:tcPr>
            <w:tcW w:w="1740" w:type="dxa"/>
            <w:tcBorders>
              <w:bottom w:val="single" w:sz="8" w:space="0" w:color="000000"/>
            </w:tcBorders>
            <w:tcMar>
              <w:bottom w:w="28" w:type="dxa"/>
            </w:tcMar>
            <w:vAlign w:val="center"/>
          </w:tcPr>
          <w:p>
            <w:pPr>
              <w:pStyle w:val="TableContents"/>
              <w:bidi w:val="0"/>
              <w:spacing w:before="0" w:after="283"/>
              <w:jc w:val="left"/>
              <w:rPr/>
            </w:pPr>
            <w:r>
              <w:rPr/>
              <w:t xml:space="preserve">West Virginia Direct Lending LLC </w:t>
            </w:r>
            <w:r>
              <w:rPr>
                <w:sz w:val="20"/>
              </w:rPr>
              <w:t>(9)</w:t>
            </w:r>
          </w:p>
        </w:tc>
        <w:tc>
          <w:tcPr>
            <w:tcW w:w="1746" w:type="dxa"/>
            <w:tcBorders>
              <w:bottom w:val="single" w:sz="8" w:space="0" w:color="000000"/>
            </w:tcBorders>
            <w:tcMar>
              <w:bottom w:w="28" w:type="dxa"/>
            </w:tcMar>
            <w:vAlign w:val="center"/>
          </w:tcPr>
          <w:p>
            <w:pPr>
              <w:pStyle w:val="TableContents"/>
              <w:bidi w:val="0"/>
              <w:spacing w:before="0" w:after="283"/>
              <w:jc w:val="right"/>
              <w:rPr/>
            </w:pPr>
            <w:r>
              <w:rPr/>
              <w:t> </w:t>
            </w:r>
            <w:r>
              <w:rPr/>
              <w:t>1,319,555</w:t>
            </w:r>
          </w:p>
        </w:tc>
        <w:tc>
          <w:tcPr>
            <w:tcW w:w="1730" w:type="dxa"/>
            <w:tcBorders>
              <w:bottom w:val="single" w:sz="8" w:space="0" w:color="000000"/>
            </w:tcBorders>
            <w:tcMar>
              <w:bottom w:w="28" w:type="dxa"/>
            </w:tcMar>
            <w:vAlign w:val="center"/>
          </w:tcPr>
          <w:p>
            <w:pPr>
              <w:pStyle w:val="TableContents"/>
              <w:bidi w:val="0"/>
              <w:spacing w:before="0" w:after="283"/>
              <w:jc w:val="right"/>
              <w:rPr/>
            </w:pPr>
            <w:r>
              <w:rPr/>
              <w:t>1.11%</w:t>
            </w:r>
          </w:p>
        </w:tc>
        <w:tc>
          <w:tcPr>
            <w:tcW w:w="1522" w:type="dxa"/>
            <w:tcBorders>
              <w:bottom w:val="single" w:sz="8" w:space="0" w:color="000000"/>
            </w:tcBorders>
            <w:tcMar>
              <w:bottom w:w="28" w:type="dxa"/>
            </w:tcMar>
            <w:vAlign w:val="center"/>
          </w:tcPr>
          <w:p>
            <w:pPr>
              <w:pStyle w:val="TableContents"/>
              <w:bidi w:val="0"/>
              <w:spacing w:before="0" w:after="283"/>
              <w:jc w:val="right"/>
              <w:rPr/>
            </w:pPr>
            <w:r>
              <w:rPr/>
              <w:t> </w:t>
            </w:r>
            <w:r>
              <w:rPr/>
              <w:t>242,016</w:t>
            </w:r>
          </w:p>
        </w:tc>
        <w:tc>
          <w:tcPr>
            <w:tcW w:w="1733" w:type="dxa"/>
            <w:tcBorders>
              <w:bottom w:val="single" w:sz="8" w:space="0" w:color="000000"/>
            </w:tcBorders>
            <w:tcMar>
              <w:bottom w:w="28" w:type="dxa"/>
            </w:tcMar>
            <w:vAlign w:val="center"/>
          </w:tcPr>
          <w:p>
            <w:pPr>
              <w:pStyle w:val="TableContents"/>
              <w:bidi w:val="0"/>
              <w:spacing w:before="0" w:after="283"/>
              <w:jc w:val="right"/>
              <w:rPr/>
            </w:pPr>
            <w:r>
              <w:rPr/>
              <w:t> </w:t>
            </w:r>
            <w:r>
              <w:rPr/>
              <w:t>1,077,539</w:t>
            </w:r>
          </w:p>
        </w:tc>
        <w:tc>
          <w:tcPr>
            <w:tcW w:w="1734" w:type="dxa"/>
            <w:tcBorders>
              <w:bottom w:val="single" w:sz="8" w:space="0" w:color="000000"/>
            </w:tcBorders>
            <w:tcMar>
              <w:bottom w:w="28" w:type="dxa"/>
            </w:tcMar>
            <w:vAlign w:val="center"/>
          </w:tcPr>
          <w:p>
            <w:pPr>
              <w:pStyle w:val="TableContents"/>
              <w:bidi w:val="0"/>
              <w:spacing w:before="0" w:after="283"/>
              <w:jc w:val="righ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28" w:type="dxa"/>
          <w:left w:w="0" w:type="dxa"/>
          <w:bottom w:w="0" w:type="dxa"/>
          <w:right w:w="0" w:type="dxa"/>
        </w:tblCellMar>
      </w:tblPr>
      <w:tblGrid>
        <w:gridCol w:w="650"/>
        <w:gridCol w:w="1220"/>
        <w:gridCol w:w="875"/>
        <w:gridCol w:w="1100"/>
        <w:gridCol w:w="1340"/>
        <w:gridCol w:w="890"/>
      </w:tblGrid>
      <w:tr>
        <w:trPr/>
        <w:tc>
          <w:tcPr>
            <w:tcW w:w="650" w:type="dxa"/>
            <w:tcBorders>
              <w:top w:val="single" w:sz="8" w:space="0" w:color="000000"/>
            </w:tcBorders>
            <w:vAlign w:val="center"/>
          </w:tcPr>
          <w:p>
            <w:pPr>
              <w:pStyle w:val="TableContents"/>
              <w:bidi w:val="0"/>
              <w:spacing w:before="0" w:after="283"/>
              <w:jc w:val="left"/>
              <w:rPr/>
            </w:pPr>
            <w:r>
              <w:rPr/>
              <w:t>Total</w:t>
            </w:r>
          </w:p>
        </w:tc>
        <w:tc>
          <w:tcPr>
            <w:tcW w:w="1220" w:type="dxa"/>
            <w:tcBorders>
              <w:top w:val="single" w:sz="8" w:space="0" w:color="000000"/>
            </w:tcBorders>
            <w:vAlign w:val="center"/>
          </w:tcPr>
          <w:p>
            <w:pPr>
              <w:pStyle w:val="TableContents"/>
              <w:bidi w:val="0"/>
              <w:spacing w:before="0" w:after="283"/>
              <w:jc w:val="right"/>
              <w:rPr/>
            </w:pPr>
            <w:r>
              <w:rPr/>
              <w:t>37,263,065</w:t>
            </w:r>
          </w:p>
        </w:tc>
        <w:tc>
          <w:tcPr>
            <w:tcW w:w="875" w:type="dxa"/>
            <w:tcBorders>
              <w:top w:val="single" w:sz="8" w:space="0" w:color="000000"/>
            </w:tcBorders>
            <w:vAlign w:val="center"/>
          </w:tcPr>
          <w:p>
            <w:pPr>
              <w:pStyle w:val="TableContents"/>
              <w:bidi w:val="0"/>
              <w:spacing w:before="0" w:after="283"/>
              <w:jc w:val="right"/>
              <w:rPr/>
            </w:pPr>
            <w:r>
              <w:rPr/>
              <w:t>31.32%</w:t>
            </w:r>
          </w:p>
        </w:tc>
        <w:tc>
          <w:tcPr>
            <w:tcW w:w="1100" w:type="dxa"/>
            <w:tcBorders>
              <w:top w:val="single" w:sz="8" w:space="0" w:color="000000"/>
            </w:tcBorders>
            <w:vAlign w:val="center"/>
          </w:tcPr>
          <w:p>
            <w:pPr>
              <w:pStyle w:val="TableContents"/>
              <w:bidi w:val="0"/>
              <w:spacing w:before="0" w:after="283"/>
              <w:jc w:val="right"/>
              <w:rPr/>
            </w:pPr>
            <w:r>
              <w:rPr/>
              <w:t>6,834,308</w:t>
            </w:r>
          </w:p>
        </w:tc>
        <w:tc>
          <w:tcPr>
            <w:tcW w:w="1340" w:type="dxa"/>
            <w:tcBorders>
              <w:top w:val="single" w:sz="8" w:space="0" w:color="000000"/>
            </w:tcBorders>
            <w:vAlign w:val="center"/>
          </w:tcPr>
          <w:p>
            <w:pPr>
              <w:pStyle w:val="TableContents"/>
              <w:bidi w:val="0"/>
              <w:spacing w:before="0" w:after="283"/>
              <w:jc w:val="right"/>
              <w:rPr/>
            </w:pPr>
            <w:r>
              <w:rPr/>
              <w:t>  </w:t>
            </w:r>
            <w:r>
              <w:rPr/>
              <w:t>30,428,757</w:t>
            </w:r>
          </w:p>
        </w:tc>
        <w:tc>
          <w:tcPr>
            <w:tcW w:w="890" w:type="dxa"/>
            <w:tcBorders>
              <w:top w:val="single" w:sz="8" w:space="0" w:color="000000"/>
            </w:tcBorders>
            <w:vAlign w:val="center"/>
          </w:tcPr>
          <w:p>
            <w:pPr>
              <w:pStyle w:val="TableContents"/>
              <w:bidi w:val="0"/>
              <w:spacing w:before="0" w:after="283"/>
              <w:jc w:val="right"/>
              <w:rPr/>
            </w:pPr>
            <w:r>
              <w:rPr/>
              <w:t>25.58%</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Includes shares issuable to the Selling Stockholders upon exercise of outstanding June 2025 Warrants, December 2025 Warrants and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left"/>
              <w:rPr/>
            </w:pPr>
            <w:r>
              <w:rPr>
                <w:shd w:fill="FFFFFF" w:val="clear"/>
              </w:rPr>
              <w:t xml:space="preserve">First Trust Alternative Opportunities Fund (“FTAOF”) is the direct holder of the Warrants pursuant to which the shares reported may be issued, which includes (a) 460,960 shares of common stock under a Super Premium Warrant issued by the Company to FTAOF on May 18, 2026 which Super Premium Warrant is exercisable on November 19, 2026, expires on May 18, 2033 and has an exercise price of $1.50 per share of common stock, subject to certain adjustments, (b) 329,257 shares of common stock under a Premium Warrant issued by the Company to FTAOF on May 18, 2026 which Premium Warrant is exercisable on November 19, 2026, expires on May 18, 2033 and has an exercise price of $1.25 per share of common stock, subject to certain adjustments, (c) 263,406 shares of common stock under Penny Warrants issued by the Company to FTAOF on December 15, 2025, (d) 1,079,246 shares of common stock under the December 2025 Warrants issued by the Company to FTAOF and (e) 3,611,854 shares of common stock under the </w:t>
            </w:r>
            <w:r>
              <w:rPr/>
              <w:t xml:space="preserve">June 2025 Warrants </w:t>
            </w:r>
            <w:r>
              <w:rPr>
                <w:shd w:fill="FFFFFF" w:val="clear"/>
              </w:rPr>
              <w:t xml:space="preserve">issued by the Company to FTAOF pursuant to the Financing Agreement. First Trust Capital Management, LP (“FTCM”) is the investment advisor to FTAOF. Michael Peck, CEO of FTCM, Thomas Reckley, President of FTCM and Chad Eisenberg, COO of FTCM share voting and dispositive power over the </w:t>
            </w:r>
            <w:r>
              <w:rPr/>
              <w:t xml:space="preserve">5,744,723 </w:t>
            </w:r>
            <w:r>
              <w:rPr>
                <w:shd w:fill="FFFFFF" w:val="clear"/>
              </w:rPr>
              <w:t xml:space="preserve">shares of common stock issuable upon exercise of the June 2025 Warrants, the December 2025 Warrants and the Warrants held by FTAOF. The address of FTAOF is 225 W. Wacker Drive, Suite 2160, Chicago, IL 60606. FTAOF acts as lender in principal amount of $21.3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283"/>
              <w:jc w:val="left"/>
              <w:rPr/>
            </w:pPr>
            <w:r>
              <w:rPr>
                <w:shd w:fill="FFFFFF" w:val="clear"/>
              </w:rPr>
              <w:t xml:space="preserve">First Trust Private Credit Fund (“FTPCF”) is the direct holder of the Warrants pursuant to which the shares reported may be issued, which includes (a) 74,750 shares of common stock under a Super Premium Warrant issued by the Company to FTPCF on May 18, 2026 which Super Premium Warrant is exercisable on November 19, 2026, expires on May 18, 2033 and has an exercise price of $1.50 per share of common stock, subject to certain adjustments, (b) 53,393 shares of common stock under a Premium Warrant issued by the Company to FTPCF on May 18, 2026 which Premium Warrant is exercisable on November 19, 2026, expires on May 18, 2033 and has an exercise price of $1.25 per share of common stock, subject to certain adjustments, (c) 42,714 shares of common stock under Penny Warrants issued by the Company to FTPCF on May 18, 2026, (d) 175,013 shares of common stock under the </w:t>
            </w:r>
            <w:r>
              <w:rPr/>
              <w:t xml:space="preserve">December 2025 Warrants </w:t>
            </w:r>
            <w:r>
              <w:rPr>
                <w:shd w:fill="FFFFFF" w:val="clear"/>
              </w:rPr>
              <w:t xml:space="preserve">issued by the Company to FTPCF and (e) 585,706 shares of common stock under the </w:t>
            </w:r>
            <w:r>
              <w:rPr/>
              <w:t xml:space="preserve">June 2025 Warrants </w:t>
            </w:r>
            <w:r>
              <w:rPr>
                <w:shd w:fill="FFFFFF" w:val="clear"/>
              </w:rPr>
              <w:t xml:space="preserve">issued by the Company to FTPCF pursuant to the Financing Agreement. First Trust Capital Management, LP (“FTCM”) is the investment advisor to FTPCF. Michael Peck, CEO of FTCM, Thomas Reckley, President of FTCM and Chad Eisenberg, COO of FTCM share voting and dispositive power over the </w:t>
            </w:r>
            <w:r>
              <w:rPr/>
              <w:t xml:space="preserve">931,576 </w:t>
            </w:r>
            <w:r>
              <w:rPr>
                <w:shd w:fill="FFFFFF" w:val="clear"/>
              </w:rPr>
              <w:t xml:space="preserve">shares of common stock issuable upon exercise of the June 2025 Warrants, the December 2025 Warrants and the Warrants held by FTPCF. The address of FTPCF is 225 W. Wacker Drive, Suite 2160, Chicago, IL 60606. FTPCF acts as lender in principal amount of $3.5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left"/>
              <w:rPr/>
            </w:pPr>
            <w:r>
              <w:rPr>
                <w:shd w:fill="FFFFFF" w:val="clear"/>
              </w:rPr>
              <w:t xml:space="preserve">First Trust Enhanced Private Credit Fund (“FTEPCF”) is the direct holder of the Warrants pursuant to which the shares reported may be issued, which includes (a) 62,292 shares of common stock under a Super Premium Warrant issued by the Company to FTEPCF on May 18, 2026 which Super Premium Warrant is exercisable on November 19, 2026, expires on May 18, 2033 and has an exercise price of $1.50 per share of common stock, subject to certain adjustments, (b) 44,494 shares of common stock under a Premium Warrant issued by the Company to FTEPCF on May 18, 2026 which Premium Warrant is exercisable on November 19, 2026, expires on May 18, 2033 and has an exercise price of $1.25 per share of common stock, subject to certain adjustments, (c) 35,595 shares of common stock under Penny Warrants issued by the Company to FTEPCF on May 18, 2026, (d) 145,844 shares of common stock under the </w:t>
            </w:r>
            <w:r>
              <w:rPr/>
              <w:t xml:space="preserve">December 2025 Warrants </w:t>
            </w:r>
            <w:r>
              <w:rPr>
                <w:shd w:fill="FFFFFF" w:val="clear"/>
              </w:rPr>
              <w:t xml:space="preserve">issued by the Company to FTEPCF and (e) 488,088 shares of common stock under the </w:t>
            </w:r>
            <w:r>
              <w:rPr/>
              <w:t xml:space="preserve">June 2025 Warrants </w:t>
            </w:r>
            <w:r>
              <w:rPr>
                <w:shd w:fill="FFFFFF" w:val="clear"/>
              </w:rPr>
              <w:t xml:space="preserve">issued by the Company to FTEPCF pursuant to the Financing Agreement. First Trust Capital Management First Trust Capital Management, LP (“FTCM”) is the investment advisor to FTEPCF. Michael Peck, CEO of FTCM, Thomas Reckley, President of FTCM and Chad Eisenberg, COO of FTCM share voting and dispositive power over the </w:t>
            </w:r>
            <w:r>
              <w:rPr/>
              <w:t xml:space="preserve">776,313 </w:t>
            </w:r>
            <w:r>
              <w:rPr>
                <w:shd w:fill="FFFFFF" w:val="clear"/>
              </w:rPr>
              <w:t xml:space="preserve">shares of common stock issuable upon exercise of the June 2025 Warrants, the December 2025 Warrants and the Warrants held by FTEPCF. The address of FTEPCF is 225 W. Wacker Drive, Suite 2160, Chicago, IL 60606. FTEPCF acts as lender in principal amount of $2.9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283"/>
              <w:jc w:val="left"/>
              <w:rPr/>
            </w:pPr>
            <w:r>
              <w:rPr>
                <w:shd w:fill="FFFFFF" w:val="clear"/>
              </w:rPr>
              <w:t xml:space="preserve">Asilia Credit Fund, LP (“Asilia”) is the direct holder of the Warrants pursuant to which the shares reported may be issued, which includes (a) 398,668 shares of common stock under a Super Premium Warrant issued by the Company to Asilia on May 18, 2026 which Super Premium Warrant is exercisable on November 19, 2026, expires on May 18, 2033 and has an exercise price of $1.50 per share of common stock, subject to certain adjustments, (b) 284,763 shares of common stock under a Premium Warrant issued by the Company to Asilia on May 18, 2026 which Premium Warrant is exercisable on November 19, 2026, expires on May 18, 2033 and has an exercise price of $1.25 per share of common stock, subject to certain adjustments, (c) 227,810 shares of common stock under Penny Warrants issued by the Company to Asilia on May 18, 2026, (e) 933,402 shares of common stock under the </w:t>
            </w:r>
            <w:r>
              <w:rPr/>
              <w:t xml:space="preserve">December 2025 Warrants </w:t>
            </w:r>
            <w:r>
              <w:rPr>
                <w:shd w:fill="FFFFFF" w:val="clear"/>
              </w:rPr>
              <w:t xml:space="preserve">issued by the Company to Asilia and (d) 3,123,765 shares of common stock under the </w:t>
            </w:r>
            <w:r>
              <w:rPr/>
              <w:t xml:space="preserve">June 2025 Warrants </w:t>
            </w:r>
            <w:r>
              <w:rPr>
                <w:shd w:fill="FFFFFF" w:val="clear"/>
              </w:rPr>
              <w:t xml:space="preserve">issued by the Company to Asilia pursuant to the Financing Agreement. Asilia is managed by K. Austin Read and Jonathan S. Gardner. K. Austin Read and Jonathan S. Gardner share voting and dispositive power over the </w:t>
            </w:r>
            <w:r>
              <w:rPr/>
              <w:t xml:space="preserve">4,968,408 </w:t>
            </w:r>
            <w:r>
              <w:rPr>
                <w:shd w:fill="FFFFFF" w:val="clear"/>
              </w:rPr>
              <w:t xml:space="preserve">shares of common stock issuable upon exercise of the June 2025 Warrants, the December 2025 Warrants and the Warrants held by Asilia. The address of Asilia is 2250 S West Temple St, Salt Lake City, UT 84115. Asilia acts as lender in principal amount of $18.4 million to the Company pursuant to the Financing Agreement. The foregoing reference to the Financing Agreement does not purport to be complete and is subject to, and qualified in its entirety by </w:t>
            </w:r>
            <w:r>
              <w:rPr/>
              <w:t>reference to the Financing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Amendment No. 1 and Amendment No. 2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as an exhibit to the registration statement of which this prospectus forms a part.</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283"/>
              <w:jc w:val="left"/>
              <w:rPr/>
            </w:pPr>
            <w:r>
              <w:rPr>
                <w:shd w:fill="FFFFFF" w:val="clear"/>
              </w:rPr>
              <w:t xml:space="preserve">Walnut Capital Fund I, LP (“Walnut”) is the direct holder of the Warrants pursuant to which the shares reported may be issued, which includes (a) 99,667 shares of common stock under a Super Premium Warrant issued by the Company to Walnut on May 18, 2026 which Super Premium Warrant is exercisable on November 19, 2026, expires on May 18, 2033 and has an exercise price of $1.50 per share of common stock, subject to certain adjustments, (b) 71,191 shares of common stock under a Premium Warrant issued by the Company to Walnut on May 18, 2026 which Premium Warrant is exercisable on November 19, 2026, expires on May 18, 2033 and has an exercise price of $1.25 per share of common stock, subject to certain adjustments, (c) 56,953 shares of common stock under Penny Warrants issued by the Company to Walnut on May 18, 2026, (d) 233,351 shares of common stock under the </w:t>
            </w:r>
            <w:r>
              <w:rPr/>
              <w:t xml:space="preserve">December 2025 Warrants </w:t>
            </w:r>
            <w:r>
              <w:rPr>
                <w:shd w:fill="FFFFFF" w:val="clear"/>
              </w:rPr>
              <w:t xml:space="preserve">issued by the Company to Walnut and (e) 780,841 shares of common stock under the </w:t>
            </w:r>
            <w:r>
              <w:rPr/>
              <w:t xml:space="preserve">June 2025 Warrants </w:t>
            </w:r>
            <w:r>
              <w:rPr>
                <w:shd w:fill="FFFFFF" w:val="clear"/>
              </w:rPr>
              <w:t xml:space="preserve">issued by the Company to Walnut pursuant to the Financing Agreement. Walnut is managed by Michael S. Chang. Michael S. Chang holds sole voting and dispositive power over the 1,242,103 shares of common stock issuable upon exercise of the June 2025 Warrants, the December 2025 Warrants and the Warrants held by Walnut. The address of Walnut is 453 S Spring St., Ste 400, Los Angeles, CA, 90013. Walnut acts as lender in principal amount of $4.6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(7)</w:t>
            </w:r>
          </w:p>
        </w:tc>
        <w:tc>
          <w:tcPr>
            <w:tcW w:w="9950" w:type="dxa"/>
            <w:tcBorders/>
            <w:vAlign w:val="center"/>
          </w:tcPr>
          <w:p>
            <w:pPr>
              <w:pStyle w:val="TableContents"/>
              <w:bidi w:val="0"/>
              <w:spacing w:before="0" w:after="283"/>
              <w:jc w:val="left"/>
              <w:rPr/>
            </w:pPr>
            <w:r>
              <w:rPr>
                <w:shd w:fill="FFFFFF" w:val="clear"/>
              </w:rPr>
              <w:t xml:space="preserve">Nationwide Mutual Insurance Company (“Nationwide”) is the direct holder of the Warrants pursuant to which the shares reported may be issued, which includes (a) 373,751 shares of common stock under a Super Premium Warrant issued by the Company to Nationwide on May 18, 2026 which Super Premium Warrant is exercisable on November 19, 2026, expires on May 18, 2033 and has an exercise price of $1.50 per share of common stock, subject to certain adjustments, (b) 266,965 shares of common stock under a Premium Warrant issued by the Company to Nationwide on May 18, 2026 which Premium Warrant is exercisable on November 19, 2026, expires on May 18, 2033 and has an exercise price of $1.25 per share of common stock, subject to certain adjustments, (c) 213,572 shares of common stock under Penny Warrants issued by the Company to Nationwide on May 18, 2026, (d) 875,065 shares of common stock under the </w:t>
            </w:r>
            <w:r>
              <w:rPr/>
              <w:t xml:space="preserve">December 2025 Warrants </w:t>
            </w:r>
            <w:r>
              <w:rPr>
                <w:shd w:fill="FFFFFF" w:val="clear"/>
              </w:rPr>
              <w:t xml:space="preserve">issued by the Company to Nationwide and (e) 2,928,530 shares of common stock under the </w:t>
            </w:r>
            <w:r>
              <w:rPr/>
              <w:t xml:space="preserve">June 2025 Warrants </w:t>
            </w:r>
            <w:r>
              <w:rPr>
                <w:shd w:fill="FFFFFF" w:val="clear"/>
              </w:rPr>
              <w:t xml:space="preserve">issued by the Company to Nationwide pursuant to the Financing Agreement. The Chief Investment Officer of Nationwide and his authorized delegates each have voting and dispositive power over </w:t>
            </w:r>
            <w:r>
              <w:rPr/>
              <w:t xml:space="preserve">4,657,883 </w:t>
            </w:r>
            <w:r>
              <w:rPr>
                <w:shd w:fill="FFFFFF" w:val="clear"/>
              </w:rPr>
              <w:t xml:space="preserve">shares of common stock issuable upon exercise of the June 2025 Warrants, the December 2025 Warrants and the Warrants held by Nationwide. The address of Nationwide is One Nationwide Plaza, Columbus, Ohio 43215. Nationwide acts as lender in principal amount of $17.3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and Amendment No. 2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283"/>
              <w:jc w:val="left"/>
              <w:rPr/>
            </w:pPr>
            <w:r>
              <w:rPr>
                <w:shd w:fill="FFFFFF" w:val="clear"/>
              </w:rPr>
              <w:t xml:space="preserve">TCW Rescue Financing Fund II LP (“TCW Rescue Financing”) is the direct holder of the Warrants pursuant to which the shares reported may be issued, which includes (a) 1,414,040 shares of common stock under a Super Premium Warrant issued by the Company to TCW Rescue Financing on May 18, 2026 which Super Premium Warrant is exercisable on November 19, 2026, expires on May 18, 2033 and has an exercise price of $1.50 per share of common stock, subject to certain adjustments, (b) 1,010,028 shares of common stock under a Premium Warrant issued by the Company to TCW Rescue Financing on May 18, 2026 which Premium Warrant is exercisable on November 19, 2026, expires on May 18, 2033 and has an exercise price of $1.25 per share of common stock, subject to certain adjustments, (c) 808,023 shares of common stock under Penny Warrants issued by the Company to TCW Rescue Financing, (d) 3,310,694 shares of common stock under the </w:t>
            </w:r>
            <w:r>
              <w:rPr/>
              <w:t xml:space="preserve">December 2025 Warrants </w:t>
            </w:r>
            <w:r>
              <w:rPr>
                <w:shd w:fill="FFFFFF" w:val="clear"/>
              </w:rPr>
              <w:t xml:space="preserve">issued by the Company to TCW Rescue Financing and (e) 11,079,719 shares of common stock under the </w:t>
            </w:r>
            <w:r>
              <w:rPr/>
              <w:t xml:space="preserve">June 2025 Warrants </w:t>
            </w:r>
            <w:r>
              <w:rPr>
                <w:shd w:fill="FFFFFF" w:val="clear"/>
              </w:rPr>
              <w:t>issued by the Company to TCW Rescue Financing pursuant to the Financing Agreement.  TCW Rescue Financing is an indirect subsidiary of The TCW Group, Inc. (“TCW Group”). TCW Group and its direct and indirect subsidiaries collectively constitute The TCW Group, Inc. business unit (the “TCW Business Unit”). The TCW Business Unit is primarily engaged in the provision of investment management services. The TCW Business Unit is managed separately and operated independently. The TCW Business Unit has shared voting and dispositive power over 18,942,059 shares of common stock, which includes the shares described in this footnote and in footnote 9 below. The address of TCW Rescue Financing, TCW Group and the TCW Business Unit is 515 South Flower Street, Los Angeles, CA 90071. Affiliates of TCW Group act as collateral agent and lenders in principal amount of $120 million to the Company pursuant to the Financing Agreement. In addition, TCW Asset Management Company LLC (“TCW Asset Management”), an affiliate of TCW Group, is party to the Governance Agreement, dated as of June 6, 2025 (the “Governance Agreement”), pursuant to which TCW Asset Management has the right to appoint one director of the Company. Each agreement referenced above is qualified in its entirety by reference to the Financing Agreement</w:t>
            </w:r>
            <w:r>
              <w:rPr/>
              <w:t xml:space="preserve">, including Amendment No. 1 and Amendment No. 2 thereto, </w:t>
            </w:r>
            <w:r>
              <w:rPr>
                <w:shd w:fill="FFFFFF" w:val="clear"/>
              </w:rPr>
              <w:t xml:space="preserve">and Governance Agreement, each of which is attached </w:t>
            </w:r>
            <w:r>
              <w:rPr/>
              <w:t xml:space="preserve">as an exhibit </w:t>
            </w:r>
            <w:r>
              <w:rPr>
                <w:shd w:fill="FFFFFF" w:val="clear"/>
              </w:rPr>
              <w:t>to the registration statement of which this prospectus forms a part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left"/>
              <w:rPr/>
            </w:pPr>
            <w:r>
              <w:rPr>
                <w:shd w:fill="FFFFFF" w:val="clear"/>
              </w:rPr>
              <w:t xml:space="preserve">West Virginia Direct Lending LLC (“WV Direct Lending”) is the direct holder of the Warrants pursuant to which the shares reported may be issued, which includes (a) 105,882 shares of common stock under a Super Premium Warrant issued by the Company to WV Direct Lending on May 18, 2026 which Super Premium Warrant is exercisable on November 19, 2026, expires on May 18, 2033 and has an exercise price of $1.50 per share of common stock, subject to certain adjustments, (b) 75,630 shares of common stock under a Premium Warrant issued by the Company to WV Direct Lending on May 18, 2026 which Premium Warrant is exercisable on November 19, 2026, expires on May 18, 2033 and has an exercise price of $1.25 per share of common stock, subject to certain adjustments, (c) 60,504 shares of common stock under Penny Warrants issued by the Company to WV Direct Lending, (d) 247,901 shares of common stock under the </w:t>
            </w:r>
            <w:r>
              <w:rPr/>
              <w:t xml:space="preserve">December 2025 Warrants </w:t>
            </w:r>
            <w:r>
              <w:rPr>
                <w:shd w:fill="FFFFFF" w:val="clear"/>
              </w:rPr>
              <w:t xml:space="preserve">issued by the Company to WV Direct Lending and (e) 829,638 shares of common stock under the </w:t>
            </w:r>
            <w:r>
              <w:rPr/>
              <w:t xml:space="preserve">June 2025 Warrants </w:t>
            </w:r>
            <w:r>
              <w:rPr>
                <w:shd w:fill="FFFFFF" w:val="clear"/>
              </w:rPr>
              <w:t>issued by the Company to WV Direct Lending pursuant to the Financing Agreement. WV Direct Lending’s sole investment advisor is an indirect subsidiary of TCW Group. TCW Group and its direct and indirect subsidiaries collectively constitute the TCW Business Unit. The TCW Business Unit has shared voting and dispositive power over 18,942,059 shares of common stock, which includes the shares described in this footnote and in footnote 8 above. The address of TCW Direct Lending is 515 South Flower Street, Los Angeles, CA 90071. Affiliates of TCW Group act as collateral agent and lenders in principal amount of $120 million to the Company pursuant to the Financing Agreement. In addition, TCW Asset Management, an affiliate of TCW Group, is party to the Governance Agreement, pursuant to which TCW Asset Management has the right to appoint one director of the Company. Each agreement referenced above is qualified in 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entirety by reference to Financing Agreement, including Amendment No. 1 and Amendment No. 2 thereto, </w:t>
      </w:r>
      <w:r>
        <w:rPr>
          <w:rFonts w:ascii="Times New Roman;Times;Serif" w:hAnsi="Times New Roman;Times;Serif"/>
          <w:b w:val="false"/>
          <w:i w:val="false"/>
          <w:caps w:val="false"/>
          <w:smallCaps w:val="false"/>
          <w:sz w:val="20"/>
          <w:shd w:fill="FFFFFF" w:val="clear"/>
        </w:rPr>
        <w:t xml:space="preserve">and Governance Agreement, each of which is attached </w:t>
      </w:r>
      <w:r>
        <w:rPr>
          <w:rFonts w:ascii="Times New Roman;Times;Serif" w:hAnsi="Times New Roman;Times;Serif"/>
          <w:b w:val="false"/>
          <w:i w:val="false"/>
          <w:caps w:val="false"/>
          <w:smallCaps w:val="false"/>
          <w:sz w:val="20"/>
        </w:rPr>
        <w:t xml:space="preserve">as an exhibit </w:t>
      </w:r>
      <w:r>
        <w:rPr>
          <w:rFonts w:ascii="Times New Roman;Times;Serif" w:hAnsi="Times New Roman;Times;Serif"/>
          <w:b w:val="false"/>
          <w:i w:val="false"/>
          <w:caps w:val="false"/>
          <w:smallCaps w:val="false"/>
          <w:sz w:val="20"/>
          <w:shd w:fill="FFFFFF" w:val="clear"/>
        </w:rPr>
        <w:t>to the registration statement of which this prospectus forms a part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may, from time to time, sell, transfer or otherwise dispose of any or all of their shares of common stock or interests in shares of common stock covered hereby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the shares or interests therein: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pPr>
            <w:r>
              <w:rPr/>
              <w:t>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in transactions otherwise than on these exchanges or systems or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772"/>
        <w:gridCol w:w="9199"/>
      </w:tblGrid>
      <w:tr>
        <w:trPr/>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Symbol" w:hAnsi="Symbol"/>
              </w:rPr>
            </w:pPr>
            <w:r>
              <w:rPr>
                <w:rFonts w:ascii="Symbol" w:hAnsi="Symbol"/>
              </w:rPr>
              <w:t>·</w:t>
            </w:r>
          </w:p>
        </w:tc>
        <w:tc>
          <w:tcPr>
            <w:tcW w:w="9199" w:type="dxa"/>
            <w:tcBorders/>
            <w:vAlign w:val="center"/>
          </w:tcPr>
          <w:p>
            <w:pPr>
              <w:pStyle w:val="TableContents"/>
              <w:bidi w:val="0"/>
              <w:spacing w:before="0" w:after="283"/>
              <w:jc w:val="left"/>
              <w:rPr/>
            </w:pPr>
            <w:r>
              <w:rPr/>
              <w:t>through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through one or more underwriters in a public offering on a firm commitment or best-efforts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settlement of short sales (including short sales “against the box”), in each case subject to compliance with the Securities Act and other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broker-dealers may agree with the Selling Stockholders to sell a specified number of such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3" w:type="dxa"/>
            <w:tcBorders/>
            <w:vAlign w:val="center"/>
          </w:tcPr>
          <w:p>
            <w:pPr>
              <w:pStyle w:val="TableContents"/>
              <w:bidi w:val="0"/>
              <w:spacing w:before="0" w:after="283"/>
              <w:jc w:val="left"/>
              <w:rPr/>
            </w:pPr>
            <w:r>
              <w:rPr/>
              <w:t>in other ways not involving market makers or established trading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by pledge to secure debts and other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a combination of any such methods of sale;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shares under Rule 144 under the Securities Act, if available, rather than under this prospectus, provided that they meet the criteria and conform to the requirements of these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 Selling Stockholders default in the performance of their secured obligations, the pledgees or secured parties may offer and sell the shares of common stock, from time to time, under this prospectus, or under an amendment to this prospectus under Rule 424 or other applicable provision of the Securities Act amending the list of Selling Stockholders to include the pledgee, transferee or other successor-in-interest as a Selling Stockholder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or other disposition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or other disposition of the common stock covered by this prospectus will be the price at which the shares of common stock are sold or otherwise disposed of,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 However, we will receive proceeds from the exercise of the Warrants if they are exercised for cash by a holder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The maximum amount of any compensation to be received by any Financial Industry Regulatory Authority member will not be greater than an amount that is considered fair and reasonable for the sale of any securities being registered. The Selling Stockholders have informed us that they do not as of the date hereof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shares of our common stock may be sold in these jurisdictions only through registered or licensed brokers or dealers. In addition, in some states shares of our common stock may not be sold unless they have been registered or qualified for sale or an exemption from registration or qualification requirements is available and is complied with.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under the Exchange Act and the rules and regulations thereunder, including, without limitation, Regulation M of the Exchange Act, which may limit the timing of purchases and sales of any of the shares of common stock by the Selling Stockholders and any other participating person.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 relation to the registration of the shares offered by this prospectus and certain liabilities under the Securities Act or any other similar federal or state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agreed to pay the applicable filing fee with respect to the registration of these shares and any subsequent shelf registration, and pay our own direct costs, including the professional fees of our own counsel and independent registered accountants. The Selling Stockholders shall bear the cost of their own counsel, other advisors and any broker or other intermediary involved in any resale, including all applicable underwriting discounts and commissions, brokers’ commissions and stock transfer taxes, if any, on the shares sold by the Selling Stockholders in any such resale.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have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is a part, the shares of common stock will be freely tradable in the hands of persons other than our 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w:t>
      </w:r>
      <w:r>
        <w:rPr>
          <w:rFonts w:ascii="Times New Roman;Times;Serif" w:hAnsi="Times New Roman;Times;Serif"/>
          <w:b w:val="false"/>
          <w:i w:val="false"/>
          <w:caps w:val="false"/>
          <w:smallCaps w:val="false"/>
          <w:sz w:val="20"/>
          <w:shd w:fill="FFFFFF" w:val="clear"/>
        </w:rPr>
        <w:t>Polk &amp; Wardwell LLP, Redwood City, California will pass upon the validity of the shares of common stock offered by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reports, proxy and information statements and other information about issuers, including Accuray Incorporated, who file electronically with the SEC. The address of that website is http://www.sec.gov.</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are also available on our website:</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Except for documents filed with the SEC and incorporated by reference into this prospectus, no information contained in, or that can be accessed through, our website is to be considered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Form 10-K for the year ended June 30, 2025, filed with the SEC on </w:t>
            </w:r>
            <w:hyperlink r:id="rId2">
              <w:r>
                <w:rPr>
                  <w:rStyle w:val="InternetLink"/>
                </w:rPr>
                <w:t>August 28, 2025</w:t>
              </w:r>
            </w:hyperlink>
            <w:r>
              <w:rPr/>
              <w:t>, as amended by our Form 10-K/A filed with the SEC on </w:t>
            </w:r>
            <w:hyperlink r:id="rId3">
              <w:r>
                <w:rPr>
                  <w:rStyle w:val="InternetLink"/>
                </w:rPr>
                <w:t>February 17,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Definitive Proxy Statement on Schedule 14A, filed with the SEC on </w:t>
            </w:r>
            <w:hyperlink r:id="rId4">
              <w:r>
                <w:rPr>
                  <w:rStyle w:val="InternetLink"/>
                </w:rPr>
                <w:t>October 1, 2025</w:t>
              </w:r>
            </w:hyperlink>
            <w:r>
              <w:rPr/>
              <w:t>, to the extent incorporated by reference into our Annual Report on Form 10-K for the year ended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Quarterly Reports on Form 10-Q for the quarter ended September 30, 2025, filed with the SEC on </w:t>
            </w:r>
            <w:hyperlink r:id="rId5">
              <w:r>
                <w:rPr>
                  <w:rStyle w:val="InternetLink"/>
                </w:rPr>
                <w:t>November 5, 2025</w:t>
              </w:r>
            </w:hyperlink>
            <w:r>
              <w:rPr/>
              <w:t xml:space="preserve">, as amended by our Form 10-Q/A filed with the SEC on </w:t>
            </w:r>
            <w:hyperlink r:id="rId6">
              <w:r>
                <w:rPr>
                  <w:rStyle w:val="InternetLink"/>
                </w:rPr>
                <w:t>February 17, 2026</w:t>
              </w:r>
            </w:hyperlink>
            <w:r>
              <w:rPr/>
              <w:t>, and for the quarters ended December 31, 2025, filed with the SEC on </w:t>
            </w:r>
            <w:hyperlink r:id="rId7">
              <w:r>
                <w:rPr>
                  <w:rStyle w:val="InternetLink"/>
                </w:rPr>
                <w:t>February 17, 2026</w:t>
              </w:r>
            </w:hyperlink>
            <w:r>
              <w:rPr/>
              <w:t xml:space="preserve">, and March 31, 2026, filed with the SEC on </w:t>
            </w:r>
            <w:hyperlink r:id="rId8">
              <w:r>
                <w:rPr>
                  <w:rStyle w:val="InternetLink"/>
                </w:rPr>
                <w:t>May 6, 2026</w:t>
              </w:r>
            </w:hyperlink>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29" w:type="dxa"/>
            <w:tcBorders/>
            <w:vAlign w:val="center"/>
          </w:tcPr>
          <w:p>
            <w:pPr>
              <w:pStyle w:val="TableContents"/>
              <w:bidi w:val="0"/>
              <w:spacing w:before="0" w:after="283"/>
              <w:jc w:val="left"/>
              <w:rPr/>
            </w:pPr>
            <w:r>
              <w:rPr/>
              <w:t xml:space="preserve">our Current Reports on Form 8-K and 8-K/A filed with the SEC on </w:t>
            </w:r>
            <w:hyperlink r:id="rId9">
              <w:r>
                <w:rPr>
                  <w:rStyle w:val="InternetLink"/>
                  <w:color w:val="0000EE"/>
                </w:rPr>
                <w:t>August 22, 2025</w:t>
              </w:r>
            </w:hyperlink>
            <w:r>
              <w:rPr/>
              <w:t xml:space="preserve">, </w:t>
            </w:r>
            <w:hyperlink r:id="rId10">
              <w:r>
                <w:rPr>
                  <w:rStyle w:val="InternetLink"/>
                  <w:color w:val="0000EE"/>
                </w:rPr>
                <w:t>September 19, 2025</w:t>
              </w:r>
            </w:hyperlink>
            <w:r>
              <w:rPr/>
              <w:t xml:space="preserve">, </w:t>
            </w:r>
            <w:hyperlink r:id="rId11">
              <w:r>
                <w:rPr>
                  <w:rStyle w:val="InternetLink"/>
                  <w:color w:val="0000EE"/>
                </w:rPr>
                <w:t>October 20, 2025</w:t>
              </w:r>
            </w:hyperlink>
            <w:r>
              <w:rPr/>
              <w:t xml:space="preserve">, </w:t>
            </w:r>
            <w:hyperlink r:id="rId12">
              <w:r>
                <w:rPr>
                  <w:rStyle w:val="InternetLink"/>
                  <w:color w:val="0000EE"/>
                </w:rPr>
                <w:t>November 5, 2025</w:t>
              </w:r>
            </w:hyperlink>
            <w:r>
              <w:rPr/>
              <w:t xml:space="preserve">, </w:t>
            </w:r>
            <w:hyperlink r:id="rId13">
              <w:r>
                <w:rPr>
                  <w:rStyle w:val="InternetLink"/>
                  <w:color w:val="0000EE"/>
                </w:rPr>
                <w:t>November 19, 2025</w:t>
              </w:r>
            </w:hyperlink>
            <w:r>
              <w:rPr/>
              <w:t xml:space="preserve">, </w:t>
            </w:r>
            <w:hyperlink r:id="rId14">
              <w:r>
                <w:rPr>
                  <w:rStyle w:val="InternetLink"/>
                  <w:color w:val="0000EE"/>
                </w:rPr>
                <w:t>December 16, 2025</w:t>
              </w:r>
            </w:hyperlink>
            <w:r>
              <w:rPr/>
              <w:t xml:space="preserve">, </w:t>
            </w:r>
            <w:hyperlink r:id="rId15">
              <w:r>
                <w:rPr>
                  <w:rStyle w:val="InternetLink"/>
                  <w:color w:val="0000EE"/>
                </w:rPr>
                <w:t>December 31, 2025</w:t>
              </w:r>
            </w:hyperlink>
            <w:r>
              <w:rPr/>
              <w:t xml:space="preserve"> </w:t>
            </w:r>
            <w:hyperlink r:id="rId16">
              <w:r>
                <w:rPr>
                  <w:rStyle w:val="InternetLink"/>
                  <w:color w:val="0000EE"/>
                </w:rPr>
                <w:t>January 20, 2026</w:t>
              </w:r>
            </w:hyperlink>
            <w:r>
              <w:rPr/>
              <w:t xml:space="preserve">, </w:t>
            </w:r>
            <w:hyperlink r:id="rId17">
              <w:r>
                <w:rPr>
                  <w:rStyle w:val="InternetLink"/>
                  <w:color w:val="0000EE"/>
                </w:rPr>
                <w:t>February 6, 2026</w:t>
              </w:r>
            </w:hyperlink>
            <w:r>
              <w:rPr/>
              <w:t xml:space="preserve">, </w:t>
            </w:r>
            <w:hyperlink r:id="rId18">
              <w:r>
                <w:rPr>
                  <w:rStyle w:val="InternetLink"/>
                  <w:color w:val="0000EE"/>
                </w:rPr>
                <w:t>February 9, 2026</w:t>
              </w:r>
            </w:hyperlink>
            <w:r>
              <w:rPr/>
              <w:t xml:space="preserve">, </w:t>
            </w:r>
            <w:hyperlink r:id="rId19">
              <w:r>
                <w:rPr>
                  <w:rStyle w:val="InternetLink"/>
                  <w:color w:val="0000EE"/>
                </w:rPr>
                <w:t>March 19, 2026</w:t>
              </w:r>
            </w:hyperlink>
            <w:r>
              <w:rPr/>
              <w:t xml:space="preserve">, </w:t>
            </w:r>
            <w:hyperlink r:id="rId20">
              <w:r>
                <w:rPr>
                  <w:rStyle w:val="InternetLink"/>
                  <w:color w:val="0000EE"/>
                </w:rPr>
                <w:t>April 7, 2026</w:t>
              </w:r>
            </w:hyperlink>
            <w:r>
              <w:rPr/>
              <w:t xml:space="preserve">, </w:t>
            </w:r>
            <w:hyperlink r:id="rId21">
              <w:r>
                <w:rPr>
                  <w:rStyle w:val="InternetLink"/>
                  <w:color w:val="0000EE"/>
                </w:rPr>
                <w:t>April 28, 2026</w:t>
              </w:r>
            </w:hyperlink>
            <w:r>
              <w:rPr/>
              <w:t xml:space="preserve">, </w:t>
            </w:r>
            <w:hyperlink r:id="rId22">
              <w:r>
                <w:rPr>
                  <w:rStyle w:val="InternetLink"/>
                  <w:color w:val="0000EE"/>
                </w:rPr>
                <w:t>June 4, 2026</w:t>
              </w:r>
            </w:hyperlink>
            <w:r>
              <w:rPr/>
              <w:t xml:space="preserve">, </w:t>
            </w:r>
            <w:hyperlink r:id="rId23">
              <w:r>
                <w:rPr>
                  <w:rStyle w:val="InternetLink"/>
                  <w:color w:val="0000EE"/>
                </w:rPr>
                <w:t>July 29, 2026</w:t>
              </w:r>
            </w:hyperlink>
            <w:r>
              <w:rPr/>
              <w:t xml:space="preserve">, and </w:t>
            </w:r>
            <w:hyperlink r:id="rId24">
              <w:r>
                <w:rPr>
                  <w:rStyle w:val="InternetLink"/>
                </w:rPr>
                <w:t>August 6, 2026</w:t>
              </w:r>
            </w:hyperlink>
            <w:r>
              <w:rPr/>
              <w:t xml:space="preserve">, to the extent the information in such reports is filed and not furnished;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our common stock contained in our Registration Statement on Form 8-A filed with the Commission on </w:t>
            </w:r>
            <w:hyperlink r:id="rId25">
              <w:r>
                <w:rPr>
                  <w:rStyle w:val="InternetLink"/>
                </w:rPr>
                <w:t>February 7, 2007</w:t>
              </w:r>
            </w:hyperlink>
            <w:r>
              <w:rPr/>
              <w:t>, including any subsequently filed amendments and reports updating that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future reports and other documents (other than the Current Reports on Form 8-K or portions thereof that are “furnished” under Item 2.02 or Item 7.01 of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file with the SEC pursuant to Sections 13(a), 13(c), 14 or 15(d) of the Exchange Act (i) after the date of the initial filing of the registration statement of which this prospectus forms a part and prior to effectiveness of the registration statement, and (ii) on and after the date of this prospectus but prior to the termination or completion of the offering of shares of common stock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in this prospectus shall be deemed to be modified or superseded for purposes of this prospectus to the extent that a statement contained in this prospectus or in any other subsequently filed document that is also incorporated by reference in this prospectus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 this prospectus, including exhibits to these documents. You should direct any requests for documents to Accuray Incorporated, 1240 Deming Way, Madison, WI 53717.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also may access these filings on our website at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36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D5EAEA" w:val="clear"/>
            <w:vAlign w:val="center"/>
          </w:tcPr>
          <w:p>
            <w:pPr>
              <w:pStyle w:val="TableContents"/>
              <w:bidi w:val="0"/>
              <w:spacing w:before="0" w:after="283"/>
              <w:jc w:val="left"/>
              <w:rPr/>
            </w:pPr>
            <w:r>
              <w:rPr/>
              <w:t>SEC registration fee</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229.73</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Legal fees and expenses</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tab/>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D5EAEA" w:val="clear"/>
            <w:vAlign w:val="center"/>
          </w:tcPr>
          <w:p>
            <w:pPr>
              <w:pStyle w:val="TableContents"/>
              <w:bidi w:val="0"/>
              <w:spacing w:before="0" w:after="283"/>
              <w:jc w:val="left"/>
              <w:rPr/>
            </w:pPr>
            <w:r>
              <w:rPr/>
              <w:t>Total</w:t>
              <w:tab/>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80" w:type="dxa"/>
            <w:tcBorders/>
            <w:shd w:fill="D5EAEA" w:val="clear"/>
            <w:vAlign w:val="center"/>
          </w:tcPr>
          <w:p>
            <w:pPr>
              <w:pStyle w:val="TableContents"/>
              <w:bidi w:val="0"/>
              <w:spacing w:before="0" w:after="283"/>
              <w:jc w:val="right"/>
              <w:rPr/>
            </w:pPr>
            <w:r>
              <w:rPr/>
              <w:t>*</w:t>
            </w:r>
          </w:p>
        </w:tc>
        <w:tc>
          <w:tcPr>
            <w:tcW w:w="75" w:type="dxa"/>
            <w:tcBorders/>
            <w:shd w:fill="D5EAEA"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(the “DGCL”) authorizes a corporation’s board of directors to grant, and authorizes a court to award, indemnity to officers, directors and other corporate agents under certain circumstances.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its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bidi w:val="0"/>
        <w:spacing w:before="0" w:after="0"/>
        <w:ind w:left="0" w:right="0" w:firstLine="81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any breach of the director’s duty of loyalty to us or to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unlawful payment of dividends or unlawful stock repurchases or redemptions;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it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Company or any predecessor of the Company, or serves or served at any other enterprise as a director, officer, employee or agent at the request of the Company or any predecessor to the Company.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we shall indemnify and hold harmless, to the fullest extent permitted by the DGCL as it presently exists or may hereafter be amended, any director or officer of the Company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the Company or is or was serving at the request of the Company as a director, officer, employee or agent of another corporation or of a partnership, joint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also maintain directors’ and officers’ liability insurance.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See also the </w:t>
      </w:r>
      <w:r>
        <w:rPr>
          <w:rFonts w:ascii="Times New Roman;Times;Serif" w:hAnsi="Times New Roman;Times;Serif"/>
          <w:b w:val="false"/>
          <w:i w:val="false"/>
          <w:caps w:val="false"/>
          <w:smallCaps w:val="false"/>
          <w:sz w:val="20"/>
        </w:rPr>
        <w:t xml:space="preserve">undertakings </w:t>
      </w:r>
      <w:r>
        <w:rPr>
          <w:rFonts w:ascii="Times New Roman;Times;Serif" w:hAnsi="Times New Roman;Times;Serif"/>
          <w:b w:val="false"/>
          <w:i w:val="false"/>
          <w:caps w:val="false"/>
          <w:smallCaps w:val="false"/>
          <w:sz w:val="20"/>
          <w:shd w:fill="FFFFFF" w:val="clear"/>
        </w:rPr>
        <w:t>set out in response to Item 17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
        <w:gridCol w:w="5327"/>
        <w:gridCol w:w="635"/>
        <w:gridCol w:w="919"/>
        <w:gridCol w:w="785"/>
        <w:gridCol w:w="734"/>
        <w:gridCol w:w="982"/>
      </w:tblGrid>
      <w:tr>
        <w:trPr/>
        <w:tc>
          <w:tcPr>
            <w:tcW w:w="823" w:type="dxa"/>
            <w:tcBorders/>
            <w:vAlign w:val="center"/>
          </w:tcPr>
          <w:p>
            <w:pPr>
              <w:pStyle w:val="TableContents"/>
              <w:bidi w:val="0"/>
              <w:spacing w:before="0" w:after="283"/>
              <w:ind w:left="0" w:right="0" w:hanging="0"/>
              <w:jc w:val="left"/>
              <w:rPr/>
            </w:pPr>
            <w:r>
              <w:rPr/>
              <w:t> </w:t>
            </w:r>
          </w:p>
        </w:tc>
        <w:tc>
          <w:tcPr>
            <w:tcW w:w="5327" w:type="dxa"/>
            <w:tcBorders/>
            <w:tcMar>
              <w:top w:w="45" w:type="dxa"/>
              <w:left w:w="45" w:type="dxa"/>
              <w:bottom w:w="45" w:type="dxa"/>
              <w:right w:w="45" w:type="dxa"/>
            </w:tcMar>
            <w:vAlign w:val="center"/>
          </w:tcPr>
          <w:p>
            <w:pPr>
              <w:pStyle w:val="TableContents"/>
              <w:bidi w:val="0"/>
              <w:spacing w:before="0" w:after="283"/>
              <w:jc w:val="left"/>
              <w:rPr/>
            </w:pPr>
            <w:r>
              <w:rPr/>
              <w:t> </w:t>
            </w:r>
          </w:p>
        </w:tc>
        <w:tc>
          <w:tcPr>
            <w:tcW w:w="4055" w:type="dxa"/>
            <w:gridSpan w:val="5"/>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 </w:t>
            </w:r>
          </w:p>
        </w:tc>
      </w:tr>
      <w:tr>
        <w:trPr/>
        <w:tc>
          <w:tcPr>
            <w:tcW w:w="82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5327"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 </w:t>
            </w:r>
          </w:p>
        </w:tc>
        <w:tc>
          <w:tcPr>
            <w:tcW w:w="63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p>
        </w:tc>
        <w:tc>
          <w:tcPr>
            <w:tcW w:w="919"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w:t>
            </w:r>
          </w:p>
        </w:tc>
        <w:tc>
          <w:tcPr>
            <w:tcW w:w="785"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734"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 </w:t>
            </w:r>
          </w:p>
        </w:tc>
        <w:tc>
          <w:tcPr>
            <w:tcW w:w="982" w:type="dxa"/>
            <w:tcBorders/>
            <w:tcMar>
              <w:top w:w="45" w:type="dxa"/>
              <w:left w:w="45" w:type="dxa"/>
              <w:bottom w:w="45" w:type="dxa"/>
              <w:right w:w="45"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br/>
              <w:t>or Filed</w:t>
              <w:br/>
              <w:t>Herewith </w:t>
            </w:r>
          </w:p>
        </w:tc>
      </w:tr>
      <w:tr>
        <w:trPr/>
        <w:tc>
          <w:tcPr>
            <w:tcW w:w="823" w:type="dxa"/>
            <w:tcBorders/>
            <w:vAlign w:val="center"/>
          </w:tcPr>
          <w:p>
            <w:pPr>
              <w:pStyle w:val="TableContents"/>
              <w:bidi w:val="0"/>
              <w:spacing w:before="0" w:after="283"/>
              <w:ind w:left="0" w:right="0" w:hanging="0"/>
              <w:jc w:val="right"/>
              <w:rPr>
                <w:sz w:val="20"/>
              </w:rPr>
            </w:pPr>
            <w:r>
              <w:rPr>
                <w:sz w:val="20"/>
              </w:rPr>
              <w:t>3.1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6">
              <w:r>
                <w:rPr>
                  <w:rStyle w:val="InternetLink"/>
                  <w:color w:val="0000FF"/>
                  <w:sz w:val="20"/>
                </w:rPr>
                <w:t>Amended and Restated Certificate of Incorporation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02/06/2013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3.2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7">
              <w:r>
                <w:rPr>
                  <w:rStyle w:val="InternetLink"/>
                  <w:sz w:val="20"/>
                </w:rPr>
                <w:t>Amended and Restated Bylaws of Registrant.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09/20/2023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8">
              <w:r>
                <w:rPr>
                  <w:rStyle w:val="InternetLink"/>
                  <w:color w:val="0000FF"/>
                  <w:sz w:val="20"/>
                </w:rPr>
                <w:t>Indenture between Registrant and The Bank of New York Mellon Trust Company, N.A., as trustee, dated as of August 7, 2017.</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08/08/2017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29">
              <w:r>
                <w:rPr>
                  <w:rStyle w:val="InternetLink"/>
                  <w:color w:val="0000FF"/>
                  <w:sz w:val="20"/>
                </w:rPr>
                <w:t>Form of Common Stock Certificate.</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S-1/A</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333-138622</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02/05/2007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4.3</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0">
              <w:r>
                <w:rPr>
                  <w:rStyle w:val="InternetLink"/>
                  <w:color w:val="0000FF"/>
                  <w:sz w:val="20"/>
                </w:rPr>
                <w:t>First Supplemental Indenture, dated as of December 4, 2017,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12/04/2017</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4.4</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1">
              <w:r>
                <w:rPr>
                  <w:rStyle w:val="InternetLink"/>
                  <w:color w:val="0000FF"/>
                  <w:sz w:val="20"/>
                </w:rPr>
                <w:t>Indenture, dated as of May 13, 2021, between the Registrant and The Bank of New York Mellon Trust Company, N.A., as trustee</w:t>
              </w:r>
            </w:hyperlink>
            <w:r>
              <w:rPr>
                <w:sz w:val="20"/>
              </w:rPr>
              <w:t>.</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4.5</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2">
              <w:r>
                <w:rPr>
                  <w:rStyle w:val="InternetLink"/>
                  <w:color w:val="0000FF"/>
                  <w:sz w:val="20"/>
                </w:rPr>
                <w:t>Form of 3.75% Convertible Senior Note due 2026 (included in Exhibit 4.4)</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05/18/2021</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4.6</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3">
              <w:r>
                <w:rPr>
                  <w:rStyle w:val="InternetLink"/>
                  <w:sz w:val="20"/>
                </w:rPr>
                <w:t>Description of the Registrant’s Securities</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4.7</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09/07/2023</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4.7</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4">
              <w:r>
                <w:rPr>
                  <w:rStyle w:val="InternetLink"/>
                  <w:sz w:val="20"/>
                </w:rPr>
                <w:t>Form of June 2025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4.8</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5">
              <w:r>
                <w:rPr>
                  <w:rStyle w:val="InternetLink"/>
                  <w:sz w:val="20"/>
                </w:rPr>
                <w:t>Form of June 2025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4.9</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6">
              <w:r>
                <w:rPr>
                  <w:rStyle w:val="InternetLink"/>
                  <w:sz w:val="20"/>
                </w:rPr>
                <w:t>Form of Super Premium Warrant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4.1</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4.10</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7">
              <w:r>
                <w:rPr>
                  <w:rStyle w:val="InternetLink"/>
                  <w:sz w:val="20"/>
                </w:rPr>
                <w:t>Form of Premium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sz w:val="20"/>
              </w:rPr>
            </w:pPr>
            <w:r>
              <w:rPr>
                <w:sz w:val="20"/>
              </w:rPr>
              <w:t>4.11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8">
              <w:r>
                <w:rPr>
                  <w:rStyle w:val="InternetLink"/>
                  <w:sz w:val="20"/>
                </w:rPr>
                <w:t>Form of Penny Warrant</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4.3</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ind w:left="0" w:right="0" w:hanging="0"/>
              <w:jc w:val="right"/>
              <w:rPr/>
            </w:pPr>
            <w:r>
              <w:rPr>
                <w:sz w:val="20"/>
              </w:rPr>
              <w:t>5.1</w:t>
            </w:r>
            <w:r>
              <w:rPr/>
              <w:t xml:space="preserve"> </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39">
              <w:r>
                <w:rPr>
                  <w:rStyle w:val="InternetLink"/>
                  <w:sz w:val="20"/>
                </w:rPr>
                <w:t>Opinion of Davis Polk &amp; Wardwell LLP</w:t>
              </w:r>
            </w:hyperlink>
            <w:r>
              <w:rPr/>
              <w:t xml:space="preserve"> </w:t>
            </w:r>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S-3 </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333-297855 </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5.1 </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pPr>
            <w:r>
              <w:rPr/>
              <w:t xml:space="preserve">07/31/2026 </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left"/>
              <w:rPr>
                <w:sz w:val="4"/>
                <w:szCs w:val="4"/>
              </w:rPr>
            </w:pPr>
            <w:r>
              <w:rPr>
                <w:sz w:val="4"/>
                <w:szCs w:val="4"/>
              </w:rPr>
            </w:r>
          </w:p>
        </w:tc>
      </w:tr>
      <w:tr>
        <w:trPr/>
        <w:tc>
          <w:tcPr>
            <w:tcW w:w="823" w:type="dxa"/>
            <w:tcBorders/>
            <w:vAlign w:val="center"/>
          </w:tcPr>
          <w:p>
            <w:pPr>
              <w:pStyle w:val="TableContents"/>
              <w:bidi w:val="0"/>
              <w:spacing w:before="0" w:after="283"/>
              <w:ind w:left="0" w:right="0" w:hanging="0"/>
              <w:jc w:val="right"/>
              <w:rPr>
                <w:sz w:val="20"/>
              </w:rPr>
            </w:pPr>
            <w:r>
              <w:rPr>
                <w:sz w:val="20"/>
              </w:rPr>
              <w:t>10.1</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0">
              <w:r>
                <w:rPr>
                  <w:rStyle w:val="InternetLink"/>
                  <w:sz w:val="20"/>
                </w:rPr>
                <w:t>Governance Agreement, dated as of June 6, 2025, between the Registrant and TCW Asset Management LLC</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8-K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10.2</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06/06/2025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jc w:val="right"/>
              <w:rPr>
                <w:sz w:val="20"/>
              </w:rPr>
            </w:pPr>
            <w:r>
              <w:rPr>
                <w:sz w:val="20"/>
              </w:rPr>
              <w:t>10.2</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1">
              <w:r>
                <w:rPr>
                  <w:rStyle w:val="InternetLink"/>
                  <w:sz w:val="20"/>
                </w:rPr>
                <w:t>Financing Agreement, dated as of June 6, 2025, by and among Accuray Incorporated, the lenders from time to time party thereto, TCW Asset Management Company LLC, as collateral agent and administrative agent, Wingspire Capital LLC, as servicing agent and certain other parties thereto</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10-K</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10.34</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08/28/2025</w:t>
            </w:r>
          </w:p>
        </w:tc>
        <w:tc>
          <w:tcPr>
            <w:tcW w:w="982" w:type="dxa"/>
            <w:tcBorders/>
            <w:tcMar>
              <w:top w:w="45" w:type="dxa"/>
              <w:left w:w="45" w:type="dxa"/>
              <w:bottom w:w="45" w:type="dxa"/>
              <w:right w:w="45" w:type="dxa"/>
            </w:tcMar>
            <w:vAlign w:val="center"/>
          </w:tcPr>
          <w:p>
            <w:pPr>
              <w:pStyle w:val="TableContents"/>
              <w:bidi w:val="0"/>
              <w:spacing w:before="0" w:after="283"/>
              <w:ind w:left="0" w:right="0" w:hanging="0"/>
              <w:jc w:val="center"/>
              <w:rPr/>
            </w:pPr>
            <w:r>
              <w:rPr/>
              <w:t> </w:t>
            </w:r>
          </w:p>
        </w:tc>
      </w:tr>
      <w:tr>
        <w:trPr/>
        <w:tc>
          <w:tcPr>
            <w:tcW w:w="823" w:type="dxa"/>
            <w:tcBorders/>
            <w:vAlign w:val="center"/>
          </w:tcPr>
          <w:p>
            <w:pPr>
              <w:pStyle w:val="TableContents"/>
              <w:bidi w:val="0"/>
              <w:spacing w:before="0" w:after="283"/>
              <w:jc w:val="right"/>
              <w:rPr>
                <w:sz w:val="20"/>
              </w:rPr>
            </w:pPr>
            <w:r>
              <w:rPr>
                <w:sz w:val="20"/>
              </w:rPr>
              <w:t>10.3</w:t>
            </w:r>
          </w:p>
        </w:tc>
        <w:tc>
          <w:tcPr>
            <w:tcW w:w="5327" w:type="dxa"/>
            <w:tcBorders/>
            <w:tcMar>
              <w:top w:w="45" w:type="dxa"/>
              <w:left w:w="45" w:type="dxa"/>
              <w:bottom w:w="45" w:type="dxa"/>
              <w:right w:w="45" w:type="dxa"/>
            </w:tcMar>
            <w:vAlign w:val="center"/>
          </w:tcPr>
          <w:p>
            <w:pPr>
              <w:pStyle w:val="TableContents"/>
              <w:bidi w:val="0"/>
              <w:spacing w:before="0" w:after="283"/>
              <w:ind w:left="0" w:right="0" w:hanging="0"/>
              <w:jc w:val="left"/>
              <w:rPr/>
            </w:pPr>
            <w:hyperlink r:id="rId42">
              <w:r>
                <w:rPr>
                  <w:rStyle w:val="InternetLink"/>
                  <w:sz w:val="20"/>
                </w:rPr>
                <w:t>Amendment No. 1 to Financing Agreement dated as of December 12, 2025 by and among Accuray Incorporated, the guarantors party thereto, the consenting lenders party thereto and TCW Asset Management Company LLC, as administrative agent and collateral agent.</w:t>
              </w:r>
            </w:hyperlink>
          </w:p>
        </w:tc>
        <w:tc>
          <w:tcPr>
            <w:tcW w:w="63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10-Q</w:t>
            </w:r>
          </w:p>
        </w:tc>
        <w:tc>
          <w:tcPr>
            <w:tcW w:w="919"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001-33301</w:t>
            </w:r>
          </w:p>
        </w:tc>
        <w:tc>
          <w:tcPr>
            <w:tcW w:w="785"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10.6</w:t>
            </w:r>
          </w:p>
        </w:tc>
        <w:tc>
          <w:tcPr>
            <w:tcW w:w="734" w:type="dxa"/>
            <w:tcBorders/>
            <w:tcMar>
              <w:top w:w="45" w:type="dxa"/>
              <w:left w:w="45" w:type="dxa"/>
              <w:bottom w:w="45" w:type="dxa"/>
              <w:right w:w="45" w:type="dxa"/>
            </w:tcMar>
            <w:vAlign w:val="center"/>
          </w:tcPr>
          <w:p>
            <w:pPr>
              <w:pStyle w:val="TableContents"/>
              <w:bidi w:val="0"/>
              <w:spacing w:before="0" w:after="283"/>
              <w:ind w:left="0" w:right="0" w:hanging="0"/>
              <w:jc w:val="left"/>
              <w:rPr>
                <w:sz w:val="20"/>
              </w:rPr>
            </w:pPr>
            <w:r>
              <w:rPr>
                <w:sz w:val="20"/>
              </w:rPr>
              <w:t>02/17/2026</w:t>
            </w:r>
          </w:p>
        </w:tc>
        <w:tc>
          <w:tcPr>
            <w:tcW w:w="982" w:type="dxa"/>
            <w:tcBorders/>
            <w:tcMar>
              <w:top w:w="45" w:type="dxa"/>
              <w:left w:w="45" w:type="dxa"/>
              <w:bottom w:w="45" w:type="dxa"/>
              <w:right w:w="45"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
        <w:gridCol w:w="6677"/>
        <w:gridCol w:w="469"/>
        <w:gridCol w:w="921"/>
        <w:gridCol w:w="541"/>
        <w:gridCol w:w="723"/>
        <w:gridCol w:w="318"/>
      </w:tblGrid>
      <w:tr>
        <w:trPr/>
        <w:tc>
          <w:tcPr>
            <w:tcW w:w="556" w:type="dxa"/>
            <w:tcBorders/>
            <w:vAlign w:val="center"/>
          </w:tcPr>
          <w:p>
            <w:pPr>
              <w:pStyle w:val="TableContents"/>
              <w:bidi w:val="0"/>
              <w:spacing w:before="0" w:after="283"/>
              <w:jc w:val="right"/>
              <w:rPr/>
            </w:pPr>
            <w:r>
              <w:rPr/>
              <w:t xml:space="preserve">10.4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43">
              <w:r>
                <w:rPr>
                  <w:rStyle w:val="InternetLink"/>
                  <w:color w:val="0000EE"/>
                </w:rPr>
                <w:t>Amendment No. 2 to Financing Agreement dated as of December 15, 2025 by and among Accuray Incorporated, the guarantors party thereto, the consenting lenders party thereto, TCW Asset Management Company LLC, as administrative agent and collateral agent and Wingspire Capital LLC, as servicing agent.</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10-Q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001-33301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02/17/2026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10.5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44">
              <w:r>
                <w:rPr>
                  <w:rStyle w:val="InternetLink"/>
                  <w:color w:val="0000EE"/>
                </w:rPr>
                <w:t>Amendment No. 3 to Financing Agreement, dated July 29, 2026, by and among Accuray Incorporated, the guarantors party thereto, the lenders listed thereto, TCW Asset Management Company LLC, as collateral agent and administrative agent, and Wingspire Capital LLC, as servicing agent.</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8-K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001-33301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10.2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07/29/2026 </w:t>
            </w:r>
          </w:p>
        </w:tc>
        <w:tc>
          <w:tcPr>
            <w:tcW w:w="318" w:type="dxa"/>
            <w:tcBorders/>
            <w:tcMar>
              <w:top w:w="45" w:type="dxa"/>
              <w:left w:w="45" w:type="dxa"/>
              <w:bottom w:w="45" w:type="dxa"/>
              <w:right w:w="45" w:type="dxa"/>
            </w:tcMar>
            <w:vAlign w:val="center"/>
          </w:tcPr>
          <w:p>
            <w:pPr>
              <w:pStyle w:val="TableContents"/>
              <w:bidi w:val="0"/>
              <w:spacing w:before="0" w:after="283"/>
              <w:jc w:val="center"/>
              <w:rPr/>
            </w:pPr>
            <w:r>
              <w:rPr/>
              <w:t xml:space="preserve">  </w:t>
            </w:r>
          </w:p>
        </w:tc>
      </w:tr>
      <w:tr>
        <w:trPr/>
        <w:tc>
          <w:tcPr>
            <w:tcW w:w="556" w:type="dxa"/>
            <w:tcBorders/>
            <w:vAlign w:val="center"/>
          </w:tcPr>
          <w:p>
            <w:pPr>
              <w:pStyle w:val="TableContents"/>
              <w:bidi w:val="0"/>
              <w:spacing w:before="0" w:after="283"/>
              <w:jc w:val="right"/>
              <w:rPr/>
            </w:pPr>
            <w:r>
              <w:rPr/>
              <w:t xml:space="preserve">23.1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w:anchor="dp252098_ex2301.htm">
              <w:r>
                <w:rPr>
                  <w:rStyle w:val="InternetLink"/>
                </w:rPr>
                <w:t>Consent of Grant Thornton LLP, independent registered public accounting firm.</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c>
          <w:tcPr>
            <w:tcW w:w="318" w:type="dxa"/>
            <w:tcBorders/>
            <w:tcMar>
              <w:top w:w="45" w:type="dxa"/>
              <w:left w:w="45" w:type="dxa"/>
              <w:bottom w:w="45" w:type="dxa"/>
              <w:right w:w="45" w:type="dxa"/>
            </w:tcMar>
            <w:vAlign w:val="center"/>
          </w:tcPr>
          <w:p>
            <w:pPr>
              <w:pStyle w:val="TableContents"/>
              <w:bidi w:val="0"/>
              <w:spacing w:before="0" w:after="283"/>
              <w:jc w:val="center"/>
              <w:rPr/>
            </w:pPr>
            <w:r>
              <w:rPr/>
              <w:t xml:space="preserve">X </w:t>
            </w:r>
          </w:p>
        </w:tc>
      </w:tr>
      <w:tr>
        <w:trPr/>
        <w:tc>
          <w:tcPr>
            <w:tcW w:w="556" w:type="dxa"/>
            <w:tcBorders/>
            <w:vAlign w:val="center"/>
          </w:tcPr>
          <w:p>
            <w:pPr>
              <w:pStyle w:val="TableContents"/>
              <w:bidi w:val="0"/>
              <w:spacing w:before="0" w:after="283"/>
              <w:jc w:val="right"/>
              <w:rPr/>
            </w:pPr>
            <w:r>
              <w:rPr/>
              <w:t xml:space="preserve">23.2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45">
              <w:r>
                <w:rPr>
                  <w:rStyle w:val="InternetLink"/>
                </w:rPr>
                <w:t>Consent of Davis Polk &amp; Wardwell LLP (included in Exhibit 5.1).</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5.1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24.1 </w:t>
            </w:r>
          </w:p>
        </w:tc>
        <w:tc>
          <w:tcPr>
            <w:tcW w:w="6677" w:type="dxa"/>
            <w:tcBorders/>
            <w:tcMar>
              <w:top w:w="45" w:type="dxa"/>
              <w:left w:w="45" w:type="dxa"/>
              <w:bottom w:w="45" w:type="dxa"/>
              <w:right w:w="45"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"https://www.sec.gov/Archives/edgar/data/1138723/000095010326011529/dp250755_s3.htm" \l "a_014"</w:instrText>
            </w:r>
            <w:r>
              <w:rPr>
                <w:rStyle w:val="InternetLink"/>
              </w:rPr>
              <w:fldChar w:fldCharType="separate"/>
            </w:r>
            <w:r>
              <w:rPr>
                <w:rStyle w:val="InternetLink"/>
              </w:rPr>
              <w:t>Power of Attorney (incorporated by reference to the signature page of this registration statement).</w:t>
            </w:r>
            <w:r>
              <w:rPr>
                <w:rStyle w:val="InternetLink"/>
              </w:rPr>
              <w:fldChar w:fldCharType="end"/>
            </w:r>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r>
        <w:trPr/>
        <w:tc>
          <w:tcPr>
            <w:tcW w:w="556" w:type="dxa"/>
            <w:tcBorders/>
            <w:vAlign w:val="center"/>
          </w:tcPr>
          <w:p>
            <w:pPr>
              <w:pStyle w:val="TableContents"/>
              <w:bidi w:val="0"/>
              <w:spacing w:before="0" w:after="283"/>
              <w:jc w:val="right"/>
              <w:rPr/>
            </w:pPr>
            <w:r>
              <w:rPr/>
              <w:t xml:space="preserve">107 </w:t>
            </w:r>
          </w:p>
        </w:tc>
        <w:tc>
          <w:tcPr>
            <w:tcW w:w="6677" w:type="dxa"/>
            <w:tcBorders/>
            <w:tcMar>
              <w:top w:w="45" w:type="dxa"/>
              <w:left w:w="45" w:type="dxa"/>
              <w:bottom w:w="45" w:type="dxa"/>
              <w:right w:w="45" w:type="dxa"/>
            </w:tcMar>
            <w:vAlign w:val="center"/>
          </w:tcPr>
          <w:p>
            <w:pPr>
              <w:pStyle w:val="TableContents"/>
              <w:bidi w:val="0"/>
              <w:spacing w:before="0" w:after="283"/>
              <w:jc w:val="left"/>
              <w:rPr/>
            </w:pPr>
            <w:hyperlink r:id="rId46">
              <w:r>
                <w:rPr>
                  <w:rStyle w:val="InternetLink"/>
                </w:rPr>
                <w:t>Filing fee table</w:t>
              </w:r>
            </w:hyperlink>
            <w:r>
              <w:rPr/>
              <w:t xml:space="preserve"> </w:t>
            </w:r>
          </w:p>
        </w:tc>
        <w:tc>
          <w:tcPr>
            <w:tcW w:w="469"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S-3 </w:t>
            </w:r>
          </w:p>
        </w:tc>
        <w:tc>
          <w:tcPr>
            <w:tcW w:w="921" w:type="dxa"/>
            <w:tcBorders/>
            <w:tcMar>
              <w:top w:w="45" w:type="dxa"/>
              <w:left w:w="45" w:type="dxa"/>
              <w:bottom w:w="45" w:type="dxa"/>
              <w:right w:w="45" w:type="dxa"/>
            </w:tcMar>
            <w:vAlign w:val="center"/>
          </w:tcPr>
          <w:p>
            <w:pPr>
              <w:pStyle w:val="TableContents"/>
              <w:bidi w:val="0"/>
              <w:spacing w:before="0" w:after="283"/>
              <w:jc w:val="left"/>
              <w:rPr/>
            </w:pPr>
            <w:r>
              <w:rPr/>
              <w:t xml:space="preserve">333-297855 </w:t>
            </w:r>
          </w:p>
        </w:tc>
        <w:tc>
          <w:tcPr>
            <w:tcW w:w="541" w:type="dxa"/>
            <w:tcBorders/>
            <w:tcMar>
              <w:top w:w="45" w:type="dxa"/>
              <w:left w:w="45" w:type="dxa"/>
              <w:bottom w:w="45" w:type="dxa"/>
              <w:right w:w="45" w:type="dxa"/>
            </w:tcMar>
            <w:vAlign w:val="center"/>
          </w:tcPr>
          <w:p>
            <w:pPr>
              <w:pStyle w:val="TableContents"/>
              <w:bidi w:val="0"/>
              <w:spacing w:before="0" w:after="283"/>
              <w:jc w:val="left"/>
              <w:rPr/>
            </w:pPr>
            <w:r>
              <w:rPr/>
              <w:t xml:space="preserve">107 </w:t>
            </w:r>
          </w:p>
        </w:tc>
        <w:tc>
          <w:tcPr>
            <w:tcW w:w="723" w:type="dxa"/>
            <w:tcBorders/>
            <w:tcMar>
              <w:top w:w="45" w:type="dxa"/>
              <w:left w:w="45" w:type="dxa"/>
              <w:bottom w:w="45" w:type="dxa"/>
              <w:right w:w="45" w:type="dxa"/>
            </w:tcMar>
            <w:vAlign w:val="center"/>
          </w:tcPr>
          <w:p>
            <w:pPr>
              <w:pStyle w:val="TableContents"/>
              <w:bidi w:val="0"/>
              <w:spacing w:before="0" w:after="283"/>
              <w:jc w:val="left"/>
              <w:rPr/>
            </w:pPr>
            <w:r>
              <w:rPr/>
              <w:t> </w:t>
            </w:r>
            <w:r>
              <w:rPr/>
              <w:t xml:space="preserve">07/31/2026 </w:t>
            </w:r>
          </w:p>
        </w:tc>
        <w:tc>
          <w:tcPr>
            <w:tcW w:w="318" w:type="dxa"/>
            <w:tcBorders/>
            <w:tcMar>
              <w:top w:w="45" w:type="dxa"/>
              <w:left w:w="45" w:type="dxa"/>
              <w:bottom w:w="45" w:type="dxa"/>
              <w:right w:w="45"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clauses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63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has duly caused this Amendment No. 1 to this registration statement to be signed on its behalf by the undersigned, thereunto duly authorized, in the City of Madison, State of Wisconsin, on August 21, 2026. </w:t>
      </w:r>
    </w:p>
    <w:p>
      <w:pPr>
        <w:pStyle w:val="TextBody"/>
        <w:bidi w:val="0"/>
        <w:spacing w:before="0" w:after="0"/>
        <w:ind w:left="0" w:right="0" w:firstLine="36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365"/>
        <w:gridCol w:w="3875"/>
      </w:tblGrid>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ACCURAY INCORPORATED</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Name:  Ali Pervaiz</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Title:    SVP and 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745"/>
        <w:gridCol w:w="4925"/>
        <w:gridCol w:w="1685"/>
      </w:tblGrid>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w:t>
            </w:r>
            <w:r>
              <w:rPr>
                <w:rFonts w:ascii="Times New Roman;Times;Serif" w:hAnsi="Times New Roman;Times;Serif"/>
                <w:b w:val="false"/>
                <w:i w:val="false"/>
                <w:caps w:val="false"/>
                <w:smallCaps w:val="false"/>
                <w:sz w:val="20"/>
              </w:rPr>
              <w:t xml:space="preserve"> </w:t>
            </w:r>
          </w:p>
        </w:tc>
        <w:tc>
          <w:tcPr>
            <w:tcW w:w="49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w:t>
            </w:r>
            <w:r>
              <w:rPr>
                <w:rFonts w:ascii="Times New Roman;Times;Serif" w:hAnsi="Times New Roman;Times;Serif"/>
                <w:b w:val="false"/>
                <w:i w:val="false"/>
                <w:caps w:val="false"/>
                <w:smallCaps w:val="false"/>
                <w:sz w:val="20"/>
              </w:rPr>
              <w:t xml:space="preserve"> </w:t>
            </w:r>
          </w:p>
        </w:tc>
        <w:tc>
          <w:tcPr>
            <w:tcW w:w="168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w:t>
            </w:r>
            <w:r>
              <w:rPr>
                <w:rFonts w:ascii="Times New Roman;Times;Serif" w:hAnsi="Times New Roman;Times;Serif"/>
                <w:b w:val="false"/>
                <w:i w:val="false"/>
                <w:caps w:val="false"/>
                <w:smallCaps w:val="false"/>
                <w:sz w:val="20"/>
              </w:rPr>
              <w:t xml:space="preserve">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La Neve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Stephen La Neve </w:t>
            </w:r>
          </w:p>
        </w:tc>
        <w:tc>
          <w:tcPr>
            <w:tcW w:w="4925" w:type="dxa"/>
            <w:tcBorders/>
            <w:vAlign w:val="center"/>
          </w:tcPr>
          <w:p>
            <w:pPr>
              <w:pStyle w:val="TableContents"/>
              <w:bidi w:val="0"/>
              <w:spacing w:before="0" w:after="283"/>
              <w:jc w:val="left"/>
              <w:rPr/>
            </w:pPr>
            <w:r>
              <w:rPr/>
              <w:t xml:space="preserve">President and Chief Executive Officer and Director </w:t>
              <w:br/>
              <w:t xml:space="preserve">(principal executive officer)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Ali Pervaiz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Ali Pervaiz </w:t>
            </w:r>
          </w:p>
        </w:tc>
        <w:tc>
          <w:tcPr>
            <w:tcW w:w="4925" w:type="dxa"/>
            <w:tcBorders/>
            <w:vAlign w:val="center"/>
          </w:tcPr>
          <w:p>
            <w:pPr>
              <w:pStyle w:val="TableContents"/>
              <w:bidi w:val="0"/>
              <w:spacing w:before="0" w:after="283"/>
              <w:jc w:val="left"/>
              <w:rPr/>
            </w:pPr>
            <w:r>
              <w:rPr/>
              <w:t xml:space="preserve">Chief Financial Officer (principal financial officer)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Joseph E. Whitters </w:t>
            </w:r>
          </w:p>
        </w:tc>
        <w:tc>
          <w:tcPr>
            <w:tcW w:w="4925" w:type="dxa"/>
            <w:tcBorders/>
            <w:vAlign w:val="center"/>
          </w:tcPr>
          <w:p>
            <w:pPr>
              <w:pStyle w:val="TableContents"/>
              <w:bidi w:val="0"/>
              <w:spacing w:before="0" w:after="283"/>
              <w:jc w:val="left"/>
              <w:rPr/>
            </w:pPr>
            <w:r>
              <w:rPr/>
              <w:t xml:space="preserve">Chairperson of the Board and Director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 W. Galbato </w:t>
            </w:r>
          </w:p>
        </w:tc>
        <w:tc>
          <w:tcPr>
            <w:tcW w:w="4925" w:type="dxa"/>
            <w:tcBorders/>
            <w:vAlign w:val="center"/>
          </w:tcPr>
          <w:p>
            <w:pPr>
              <w:pStyle w:val="TableContents"/>
              <w:bidi w:val="0"/>
              <w:spacing w:before="0" w:after="283"/>
              <w:jc w:val="left"/>
              <w:rPr/>
            </w:pPr>
            <w:r>
              <w:rPr/>
              <w:t xml:space="preserve">Director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M. Hindman </w:t>
            </w:r>
          </w:p>
        </w:tc>
        <w:tc>
          <w:tcPr>
            <w:tcW w:w="4925" w:type="dxa"/>
            <w:tcBorders/>
            <w:vAlign w:val="center"/>
          </w:tcPr>
          <w:p>
            <w:pPr>
              <w:pStyle w:val="TableContents"/>
              <w:bidi w:val="0"/>
              <w:spacing w:before="0" w:after="283"/>
              <w:jc w:val="left"/>
              <w:rPr/>
            </w:pPr>
            <w:r>
              <w:rPr/>
              <w:t xml:space="preserve">Director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Steven F. Mayer </w:t>
            </w:r>
          </w:p>
        </w:tc>
        <w:tc>
          <w:tcPr>
            <w:tcW w:w="4925" w:type="dxa"/>
            <w:tcBorders/>
            <w:vAlign w:val="center"/>
          </w:tcPr>
          <w:p>
            <w:pPr>
              <w:pStyle w:val="TableContents"/>
              <w:bidi w:val="0"/>
              <w:spacing w:before="0" w:after="283"/>
              <w:jc w:val="left"/>
              <w:rPr/>
            </w:pPr>
            <w:r>
              <w:rPr/>
              <w:t xml:space="preserve">Director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r>
        <w:trPr/>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4925" w:type="dxa"/>
            <w:tcBorders/>
            <w:vAlign w:val="center"/>
          </w:tcPr>
          <w:p>
            <w:pPr>
              <w:pStyle w:val="TableContents"/>
              <w:bidi w:val="0"/>
              <w:spacing w:before="0" w:after="283"/>
              <w:jc w:val="left"/>
              <w:rPr/>
            </w:pPr>
            <w:r>
              <w:rPr/>
              <w:t xml:space="preserve">Director </w:t>
            </w:r>
          </w:p>
        </w:tc>
        <w:tc>
          <w:tcPr>
            <w:tcW w:w="1685" w:type="dxa"/>
            <w:tcBorders/>
            <w:vAlign w:val="center"/>
          </w:tcPr>
          <w:p>
            <w:pPr>
              <w:pStyle w:val="TableContents"/>
              <w:bidi w:val="0"/>
              <w:spacing w:before="0" w:after="283"/>
              <w:jc w:val="left"/>
              <w:rPr/>
            </w:pPr>
            <w:r>
              <w:rPr/>
              <w:t xml:space="preserve">August 21, 2026 </w:t>
            </w:r>
          </w:p>
        </w:tc>
      </w:tr>
      <w:tr>
        <w:trPr/>
        <w:tc>
          <w:tcPr>
            <w:tcW w:w="1745" w:type="dxa"/>
            <w:tcBorders/>
            <w:vAlign w:val="center"/>
          </w:tcPr>
          <w:p>
            <w:pPr>
              <w:pStyle w:val="TableContents"/>
              <w:bidi w:val="0"/>
              <w:spacing w:before="0" w:after="283"/>
              <w:jc w:val="left"/>
              <w:rPr/>
            </w:pPr>
            <w:r>
              <w:rPr/>
              <w:t xml:space="preserve">Mika Nishimura </w:t>
            </w:r>
          </w:p>
        </w:tc>
        <w:tc>
          <w:tcPr>
            <w:tcW w:w="4925"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t xml:space="preserve">  </w:t>
            </w:r>
          </w:p>
        </w:tc>
      </w:tr>
    </w:tbl>
    <w:tbl>
      <w:tblPr>
        <w:tblW w:w="3205" w:type="dxa"/>
        <w:jc w:val="left"/>
        <w:tblInd w:w="0" w:type="dxa"/>
        <w:tblLayout w:type="fixed"/>
        <w:tblCellMar>
          <w:top w:w="0" w:type="dxa"/>
          <w:left w:w="0" w:type="dxa"/>
          <w:bottom w:w="0" w:type="dxa"/>
          <w:right w:w="0" w:type="dxa"/>
        </w:tblCellMar>
      </w:tblPr>
      <w:tblGrid>
        <w:gridCol w:w="680"/>
        <w:gridCol w:w="2390"/>
        <w:gridCol w:w="135"/>
      </w:tblGrid>
      <w:tr>
        <w:trPr/>
        <w:tc>
          <w:tcPr>
            <w:tcW w:w="307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307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By: </w:t>
            </w:r>
          </w:p>
        </w:tc>
        <w:tc>
          <w:tcPr>
            <w:tcW w:w="2390" w:type="dxa"/>
            <w:tcBorders>
              <w:bottom w:val="single" w:sz="8" w:space="0" w:color="000000"/>
            </w:tcBorders>
            <w:tcMar>
              <w:bottom w:w="28" w:type="dxa"/>
            </w:tcMar>
            <w:vAlign w:val="center"/>
          </w:tcPr>
          <w:p>
            <w:pPr>
              <w:pStyle w:val="TableContents"/>
              <w:bidi w:val="0"/>
              <w:spacing w:before="0" w:after="283"/>
              <w:jc w:val="left"/>
              <w:rPr/>
            </w:pPr>
            <w:r>
              <w:rPr/>
              <w:t xml:space="preserve">/s/ Ali Pervaiz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w:t>
            </w:r>
          </w:p>
        </w:tc>
        <w:tc>
          <w:tcPr>
            <w:tcW w:w="2390" w:type="dxa"/>
            <w:tcBorders/>
            <w:vAlign w:val="center"/>
          </w:tcPr>
          <w:p>
            <w:pPr>
              <w:pStyle w:val="TableContents"/>
              <w:bidi w:val="0"/>
              <w:spacing w:before="0" w:after="283"/>
              <w:jc w:val="left"/>
              <w:rPr/>
            </w:pPr>
            <w:r>
              <w:rPr/>
              <w:t xml:space="preserve">Name:  Ali Pervaiz </w:t>
            </w:r>
          </w:p>
        </w:tc>
        <w:tc>
          <w:tcPr>
            <w:tcW w:w="135" w:type="dxa"/>
            <w:tcBorders/>
            <w:vAlign w:val="center"/>
          </w:tcPr>
          <w:p>
            <w:pPr>
              <w:pStyle w:val="TableContents"/>
              <w:bidi w:val="0"/>
              <w:spacing w:before="0" w:after="283"/>
              <w:jc w:val="left"/>
              <w:rPr/>
            </w:pPr>
            <w:r>
              <w:rPr/>
              <w:t xml:space="preserve">  </w:t>
            </w:r>
          </w:p>
        </w:tc>
      </w:tr>
      <w:tr>
        <w:trPr/>
        <w:tc>
          <w:tcPr>
            <w:tcW w:w="680" w:type="dxa"/>
            <w:tcBorders/>
            <w:vAlign w:val="center"/>
          </w:tcPr>
          <w:p>
            <w:pPr>
              <w:pStyle w:val="TableContents"/>
              <w:bidi w:val="0"/>
              <w:spacing w:before="0" w:after="283"/>
              <w:jc w:val="left"/>
              <w:rPr/>
            </w:pPr>
            <w:r>
              <w:rPr/>
              <w:t xml:space="preserve">  </w:t>
            </w:r>
          </w:p>
        </w:tc>
        <w:tc>
          <w:tcPr>
            <w:tcW w:w="2390" w:type="dxa"/>
            <w:tcBorders/>
            <w:vAlign w:val="center"/>
          </w:tcPr>
          <w:p>
            <w:pPr>
              <w:pStyle w:val="TableContents"/>
              <w:bidi w:val="0"/>
              <w:spacing w:before="0" w:after="283"/>
              <w:jc w:val="left"/>
              <w:rPr/>
            </w:pPr>
            <w:r>
              <w:rPr/>
              <w:t xml:space="preserve">Title:    Attorney-in-Fact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dp252098_ex2301.htm"/>
      <w:bookmarkStart w:id="16" w:name="ksdp252098_ex2301"/>
      <w:bookmarkEnd w:id="15"/>
      <w:bookmarkEnd w:id="1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August 28, 2025, except for the “Remaining Performance Obligations” included in Note 2, as to which the date is February 17, 2026 with respect to the consolidated financial statements, and our report dated August 28, 2025, except for the material weaknesses described in the third paragraph, as to which the date is February 17, 2026, with respect to internal control over financial reporting of Accuray Incorporated included in the Annual Report on Form 10-K/A for the year ended June 30, 2025, which are incorporated by reference in this Registration Statement</w:t>
      </w:r>
      <w:r>
        <w:rPr>
          <w:rFonts w:ascii="Times New Roman;Times;Serif" w:hAnsi="Times New Roman;Times;Serif"/>
          <w:b w:val="false"/>
          <w:i w:val="false"/>
          <w:caps w:val="false"/>
          <w:smallCaps w:val="false"/>
          <w:color w:val="7030A0"/>
          <w:sz w:val="20"/>
        </w:rPr>
        <w:t xml:space="preserve">. </w:t>
      </w:r>
      <w:r>
        <w:rPr>
          <w:rFonts w:ascii="Times New Roman;Times;Serif" w:hAnsi="Times New Roman;Times;Serif"/>
          <w:b w:val="false"/>
          <w:i w:val="false"/>
          <w:caps w:val="false"/>
          <w:smallCaps w:val="false"/>
          <w:sz w:val="20"/>
        </w:rPr>
        <w:t>We consent to the incorporation by reference of the aforementioned reports in this Registration Statement</w:t>
      </w:r>
      <w:r>
        <w:rPr>
          <w:rFonts w:ascii="Times New Roman;Times;Serif" w:hAnsi="Times New Roman;Times;Serif"/>
          <w:b w:val="false"/>
          <w:i w:val="false"/>
          <w:caps w:val="false"/>
          <w:smallCaps w:val="false"/>
          <w:color w:val="7030A0"/>
          <w:sz w:val="20"/>
        </w:rPr>
        <w:t xml:space="preserve">, </w:t>
      </w:r>
      <w:r>
        <w:rPr>
          <w:rFonts w:ascii="Times New Roman;Times;Serif" w:hAnsi="Times New Roman;Times;Serif"/>
          <w:b w:val="false"/>
          <w:i w:val="false"/>
          <w:caps w:val="false"/>
          <w:smallCaps w:val="false"/>
          <w:sz w:val="20"/>
        </w:rPr>
        <w:t>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8723/000119312525191242/aray-20250630.htm" TargetMode="External"/><Relationship Id="rId3" Type="http://schemas.openxmlformats.org/officeDocument/2006/relationships/hyperlink" Target="https://www.sec.gov/ix?doc=/Archives/edgar/data/0001138723/000143774926004219/aray20260630_10ka.htm" TargetMode="External"/><Relationship Id="rId4" Type="http://schemas.openxmlformats.org/officeDocument/2006/relationships/hyperlink" Target="https://www.sec.gov/ix?doc=/Archives/edgar/data/0001138723/000114036125036983/ny20050810x1_def14a.htm" TargetMode="External"/><Relationship Id="rId5" Type="http://schemas.openxmlformats.org/officeDocument/2006/relationships/hyperlink" Target="https://www.sec.gov/ix?doc=/Archives/edgar/data/0001138723/000119312525266985/aray-20250930.htm" TargetMode="External"/><Relationship Id="rId6" Type="http://schemas.openxmlformats.org/officeDocument/2006/relationships/hyperlink" Target="https://www.sec.gov/ix?doc=/Archives/edgar/data/0001138723/000143774926004220/aray20250930_10qa.htm" TargetMode="External"/><Relationship Id="rId7" Type="http://schemas.openxmlformats.org/officeDocument/2006/relationships/hyperlink" Target="https://www.sec.gov/ix?doc=/Archives/edgar/data/0001138723/000143774926004221/aray20251231_10q.htm" TargetMode="External"/><Relationship Id="rId8" Type="http://schemas.openxmlformats.org/officeDocument/2006/relationships/hyperlink" Target="https://www.sec.gov/ix?doc=/Archives/edgar/data/0001138723/000143774926015199/aray20260331_10q.htm" TargetMode="External"/><Relationship Id="rId9" Type="http://schemas.openxmlformats.org/officeDocument/2006/relationships/hyperlink" Target="https://www.sec.gov/ix?doc=/Archives/edgar/data/0001138723/000119312525186407/aray-20250819.htm" TargetMode="External"/><Relationship Id="rId10" Type="http://schemas.openxmlformats.org/officeDocument/2006/relationships/hyperlink" Target="https://www.sec.gov/ix?doc=/Archives/edgar/data/0001138723/000119312525209044/aray-20250919.htm" TargetMode="External"/><Relationship Id="rId11" Type="http://schemas.openxmlformats.org/officeDocument/2006/relationships/hyperlink" Target="https://www.sec.gov/ix?doc=/Archives/edgar/data/0001138723/000119312525243143/d58913d8k.htm" TargetMode="External"/><Relationship Id="rId12" Type="http://schemas.openxmlformats.org/officeDocument/2006/relationships/hyperlink" Target="https://www.sec.gov/ix?doc=/Archives/edgar/data/0001138723/000119312525266940/aray-20251105.htm" TargetMode="External"/><Relationship Id="rId13" Type="http://schemas.openxmlformats.org/officeDocument/2006/relationships/hyperlink" Target="https://www.sec.gov/ix?doc=/Archives/edgar/data/0001138723/000119312525288077/aray-20251113.htm" TargetMode="External"/><Relationship Id="rId14" Type="http://schemas.openxmlformats.org/officeDocument/2006/relationships/hyperlink" Target="https://www.sec.gov/ix?doc=/Archives/edgar/data/0001138723/000119312525319896/d91086d8k.htm" TargetMode="External"/><Relationship Id="rId15" Type="http://schemas.openxmlformats.org/officeDocument/2006/relationships/hyperlink" Target="https://www.sec.gov/ix?doc=/Archives/edgar/data/0001138723/000143774925039074/aray20251230_8k.htm" TargetMode="External"/><Relationship Id="rId16" Type="http://schemas.openxmlformats.org/officeDocument/2006/relationships/hyperlink" Target="https://www.sec.gov/ix?doc=/Archives/edgar/data/0001138723/000119312526016769/d61609d8k.htm" TargetMode="External"/><Relationship Id="rId17" Type="http://schemas.openxmlformats.org/officeDocument/2006/relationships/hyperlink" Target="https://www.sec.gov/ix?doc=/Archives/edgar/data/0001138723/000143774926003367/aray20260205_8k.htm" TargetMode="External"/><Relationship Id="rId18" Type="http://schemas.openxmlformats.org/officeDocument/2006/relationships/hyperlink" Target="https://www.sec.gov/ix?doc=/Archives/edgar/data/0001138723/000143774926003515/aray20260208_8k.htm" TargetMode="External"/><Relationship Id="rId19" Type="http://schemas.openxmlformats.org/officeDocument/2006/relationships/hyperlink" Target="https://www.sec.gov/ix?doc=/Archives/edgar/data/0001138723/000143774926009046/aray20260316_8k.htm" TargetMode="External"/><Relationship Id="rId20" Type="http://schemas.openxmlformats.org/officeDocument/2006/relationships/hyperlink" Target="https://www.sec.gov/ix?doc=/Archives/edgar/data/0001138723/000143774926011547/aray20260402c_8k.htm" TargetMode="External"/><Relationship Id="rId21" Type="http://schemas.openxmlformats.org/officeDocument/2006/relationships/hyperlink" Target="https://www.sec.gov/ix?doc=/Archives/edgar/data/0001138723/000143774926013543/aray20260427_8k.htm" TargetMode="External"/><Relationship Id="rId22" Type="http://schemas.openxmlformats.org/officeDocument/2006/relationships/hyperlink" Target="https://www.sec.gov/ix?doc=/Archives/edgar/data/0001138723/000143774926019558/aray20260603_8k.htm" TargetMode="External"/><Relationship Id="rId23" Type="http://schemas.openxmlformats.org/officeDocument/2006/relationships/hyperlink" Target="https://www.sec.gov/ix?doc=/Archives/edgar/data/1138723/000143774926024904/aray20260729_8k.htm" TargetMode="External"/><Relationship Id="rId24" Type="http://schemas.openxmlformats.org/officeDocument/2006/relationships/hyperlink" Target="https://www.sec.gov/ix?doc=/Archives/edgar/data/0001138723/000143774926026250/aray20260805_8k.htm" TargetMode="External"/><Relationship Id="rId25" Type="http://schemas.openxmlformats.org/officeDocument/2006/relationships/hyperlink" Target="https://www.sec.gov/Archives/edgar/data/1138723/000110465907007766/a07-3619_18a12b.htm" TargetMode="External"/><Relationship Id="rId26" Type="http://schemas.openxmlformats.org/officeDocument/2006/relationships/hyperlink" Target="https://www.sec.gov/Archives/edgar/data/0001138723/000110465913008045/a13-4521_1ex3d1.htm" TargetMode="External"/><Relationship Id="rId27" Type="http://schemas.openxmlformats.org/officeDocument/2006/relationships/hyperlink" Target="https://www.sec.gov/Archives/edgar/data/1138723/000095017023048984/aray-ex3_1.htm" TargetMode="External"/><Relationship Id="rId28" Type="http://schemas.openxmlformats.org/officeDocument/2006/relationships/hyperlink" Target="https://www.sec.gov/Archives/edgar/data/0001138723/000095010317007705/dp79278_ex401.htm" TargetMode="External"/><Relationship Id="rId29" Type="http://schemas.openxmlformats.org/officeDocument/2006/relationships/hyperlink" Target="https://www.sec.gov/Archives/edgar/data/0001138723/000104746907000633/a2175815zex-4_3.htm" TargetMode="External"/><Relationship Id="rId30" Type="http://schemas.openxmlformats.org/officeDocument/2006/relationships/hyperlink" Target="https://www.sec.gov/Archives/edgar/data/0001138723/000110465917071686/a17-27881_1ex4d1.htm" TargetMode="External"/><Relationship Id="rId31" Type="http://schemas.openxmlformats.org/officeDocument/2006/relationships/hyperlink" Target="https://www.sec.gov/Archives/edgar/data/1138723/000119312521165422/d131245dex41.htm" TargetMode="External"/><Relationship Id="rId32" Type="http://schemas.openxmlformats.org/officeDocument/2006/relationships/hyperlink" Target="https://www.sec.gov/Archives/edgar/data/1138723/000119312521165422/d131245dex41.htm" TargetMode="External"/><Relationship Id="rId33" Type="http://schemas.openxmlformats.org/officeDocument/2006/relationships/hyperlink" Target="https://www.sec.gov/Archives/edgar/data/1138723/000095017023047052/aray-ex4_7.htm" TargetMode="External"/><Relationship Id="rId34" Type="http://schemas.openxmlformats.org/officeDocument/2006/relationships/hyperlink" Target="https://www.sec.gov/Archives/edgar/data/1138723/000095010325007090/dp229846_ex0401.htm" TargetMode="External"/><Relationship Id="rId35" Type="http://schemas.openxmlformats.org/officeDocument/2006/relationships/hyperlink" Target="https://www.sec.gov/Archives/edgar/data/1138723/000095010325007090/dp229846_ex0402.htm" TargetMode="External"/><Relationship Id="rId36" Type="http://schemas.openxmlformats.org/officeDocument/2006/relationships/hyperlink" Target="https://www.sec.gov/Archives/edgar/data/1138723/000143774926004221/ex_912166.htm" TargetMode="External"/><Relationship Id="rId37" Type="http://schemas.openxmlformats.org/officeDocument/2006/relationships/hyperlink" Target="https://www.sec.gov/Archives/edgar/data/1138723/000143774926004221/ex_912172.htm" TargetMode="External"/><Relationship Id="rId38" Type="http://schemas.openxmlformats.org/officeDocument/2006/relationships/hyperlink" Target="https://www.sec.gov/Archives/edgar/data/1138723/000143774926004221/ex_912173.htm" TargetMode="External"/><Relationship Id="rId39" Type="http://schemas.openxmlformats.org/officeDocument/2006/relationships/hyperlink" Target="https://www.sec.gov/Archives/edgar/data/1138723/000095010326011529/dp250755_ex0501.htm" TargetMode="External"/><Relationship Id="rId40" Type="http://schemas.openxmlformats.org/officeDocument/2006/relationships/hyperlink" Target="https://www.sec.gov/Archives/edgar/data/1138723/000095010325007090/dp229846_ex1002.htm" TargetMode="External"/><Relationship Id="rId41" Type="http://schemas.openxmlformats.org/officeDocument/2006/relationships/hyperlink" Target="https://www.sec.gov/Archives/edgar/data/1138723/000119312525191242/aray-ex10_34.htm" TargetMode="External"/><Relationship Id="rId42" Type="http://schemas.openxmlformats.org/officeDocument/2006/relationships/hyperlink" Target="https://www.sec.gov/Archives/edgar/data/1138723/000143774926004221/ex_912174.htm" TargetMode="External"/><Relationship Id="rId43" Type="http://schemas.openxmlformats.org/officeDocument/2006/relationships/hyperlink" Target="https://www.sec.gov/Archives/edgar/data/1138723/000143774926004221/ex_912350.htm" TargetMode="External"/><Relationship Id="rId44" Type="http://schemas.openxmlformats.org/officeDocument/2006/relationships/hyperlink" Target="https://www.sec.gov/Archives/edgar/data/1138723/000143774926024904/ex_995040.htm" TargetMode="External"/><Relationship Id="rId45" Type="http://schemas.openxmlformats.org/officeDocument/2006/relationships/hyperlink" Target="https://www.sec.gov/Archives/edgar/data/1138723/000095010326011529/dp250755_ex0501.htm" TargetMode="External"/><Relationship Id="rId46" Type="http://schemas.openxmlformats.org/officeDocument/2006/relationships/hyperlink" Target="https://www.sec.gov/ix?doc=/Archives/edgar/data/1138723/000095010326011529/dp250755_exfilingfees.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14280</Words>
  <Characters>75352</Characters>
  <CharactersWithSpaces>89654</CharactersWithSpaces>
  <Paragraphs>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