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176530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ACCURAY INCORPORATED</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360"/>
          </w:cols>
          <w:pgMar w:left="240" w:top="868" w:right="299" w:bottom="1440" w:gutter="0" w:footer="0" w:header="0"/>
        </w:sectPr>
      </w:pPr>
    </w:p>
    <w:p>
      <w:pPr>
        <w:spacing w:after="0" w:line="20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001-33301</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20-8370041</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3960"/>
          </w:cols>
          <w:pgMar w:left="240" w:top="868" w:right="299" w:bottom="144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1310 Chesapeake Terrace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Sunnyvale, California 94089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(408) 716-4600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8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16, 2018, Accuray Incorporated (the “Company”) issued a press release announcing its financial results for the fourth quarter and fiscal year ended June 30, 2018. A copy of the Company’s press release dated August 16, 2018, titled “Accuray Reports Fourth Quarter and Fiscal 2018 Financial Results” is attached hereto as Exhibit 99.1 and is incorporated herein by reference.</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20"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14, 2018, Kevin Waters provided the Company with notice of his intent to resign from his position as Senior Vice President, Chief Financial Officer of the Company, which resignation will be effective on October 1, 2018. Mr. Waters’ resignation was not a result of any disagreement with the Company or its Board of Directors, or any matter relating to the Company’s operations, policies or practices.</w:t>
      </w:r>
    </w:p>
    <w:p>
      <w:pPr>
        <w:spacing w:after="0" w:line="181" w:lineRule="exact"/>
        <w:rPr>
          <w:rFonts w:ascii="Arial" w:cs="Arial" w:eastAsia="Arial" w:hAnsi="Arial"/>
          <w:sz w:val="18"/>
          <w:szCs w:val="18"/>
          <w:color w:val="auto"/>
        </w:rPr>
      </w:pPr>
    </w:p>
    <w:p>
      <w:pPr>
        <w:ind w:firstLine="8"/>
        <w:spacing w:after="0" w:line="271" w:lineRule="auto"/>
        <w:tabs>
          <w:tab w:leader="none" w:pos="29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August 15, 2018, the Company’s Board of Directors appointed Shig Hamamatsu, 45, as the Company’s Interim Chief Financial Officer, effective October 1, 2018. Mr. Hamamatsu has served as the Company’s Vice President, Finance and Chief Accounting Officer since September 2017. Prior to joining the Company, Mr. Hamamatsu served as VP, Corporate Controller at Cepheid, a publicly traded molecular diagnostics company that was acquired by Danaher Corporation, from November 2015 to May 2017. From June 2014 to November 2015, he served as VP, Finance and Corporate Controller at Cypress Semiconductor Corporation, a publicly traded global semiconductor manufacturer. From May 2012 until May 2014, Mr. Hamamatsu served as VP, Finance at RPX Corporation, a publicly traded patent risk management solutions provider. Mr. Hamamatsu began his career as an auditor at PricewaterhouseCoopers LLP. Mr. Hamamatsu received his B.A., Business Administration, concentration in accounting, from University of Washington. He is a certified public accountant in the state of California (inactive).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his appointment as Interim Chief Financial Officer, the Company and Mr. Hamamatsu entered into an offer letter for such position (the</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 Letter</w:t>
      </w:r>
      <w:r>
        <w:rPr>
          <w:rFonts w:ascii="Arial" w:cs="Arial" w:eastAsia="Arial" w:hAnsi="Arial"/>
          <w:sz w:val="17"/>
          <w:szCs w:val="17"/>
          <w:color w:val="auto"/>
        </w:rPr>
        <w:t>”), pursuant to which Mr. Hamamatsu’s annual base salary and target bonus opportunity will be increased to $375,000 and 50%, respectively. In addition, as contemplated by the Offer Letter, the Compensation Committee of the Company’s Board of Directors approved granting Mr. Hamamatsu an award of 25,000 restricted stock units (“RSUs”) under the Company’s 2016 Equity Incentive Plan, effective August 31, 2018 (the “</w:t>
      </w:r>
      <w:r>
        <w:rPr>
          <w:rFonts w:ascii="Arial" w:cs="Arial" w:eastAsia="Arial" w:hAnsi="Arial"/>
          <w:sz w:val="17"/>
          <w:szCs w:val="17"/>
          <w:u w:val="single" w:color="auto"/>
          <w:color w:val="auto"/>
        </w:rPr>
        <w:t>RSU Award</w:t>
      </w:r>
      <w:r>
        <w:rPr>
          <w:rFonts w:ascii="Arial" w:cs="Arial" w:eastAsia="Arial" w:hAnsi="Arial"/>
          <w:sz w:val="17"/>
          <w:szCs w:val="17"/>
          <w:color w:val="auto"/>
        </w:rPr>
        <w:t>”). One hundred percent (100%) of the RSUs subject to the RSU Award will vest on December 31, 2019, subject to Mr. Hamamatsu continuing to be an employee of the Company on such date. The Offer Letter also provides that if Mr. Hamamatsu’s employment with the Company is terminated by the Company without cause or if Mr. Hamamatsu resigns from such employment for good reason, then Mr. Hamamatsu will be eligible to receive (i) a lump sum payment equal to six months of his base salary; (ii) a prorated portion of the bonus he would have received for the fiscal year in which his employment terminates; (iii) reimbursement of health insurance premiums for six months; and (iv) payment for outplacement services.</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Mr. Hamamatsu is not a party to any arrangement or understanding regarding his selection as an officer. Mr. Hamamatsu has no family relationships with any director, executive officer, or person nominated or chosen by the Company to become a director or executive officer of the Company. Mr. Hamamatsu is not a party to any transaction required to be disclosed pursuant to Item 404(a) of Regulation S-K.</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foregoing description of the Offer Letter is a summary only and is qualified in its entirety by the full text of the Offer Letter, a copy of which will be filed as an exhibit to the Company’s Quarterly Report on Form 10-Q for the quarter ended September 30, 2018.</w:t>
      </w:r>
    </w:p>
    <w:p>
      <w:pPr>
        <w:spacing w:after="0" w:line="170" w:lineRule="exact"/>
        <w:rPr>
          <w:sz w:val="20"/>
          <w:szCs w:val="20"/>
          <w:color w:val="auto"/>
        </w:rPr>
      </w:pPr>
    </w:p>
    <w:p>
      <w:pPr>
        <w:ind w:right="320" w:firstLine="8"/>
        <w:spacing w:after="0" w:line="279"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August 14, 2018, in connection with Mr. Waters’ resignation, the Company entered into a consulting agreement with Mr. Waters (the “Consulting Agreement) to assist in the transition of his responsibilities after his departure from the Company. Pursuant to the terms of the Consulting Agreement, Mr. Waters will provide consulting and transition services from October 2, 2018 through December 31, 2018 and is entitled to receive, for the term of his consultancy, $30,000 per month as well as continued vesting of his outstanding Company equity awards.</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foregoing description of the Consulting Agreement is a summary only and is qualified in its entirety by the full text of the Consulting Agreement, a copy of which will be filed as an exhibit to the Company’s Quarterly Report on Form 10-Q for the quarter ended September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4"/>
                <w:szCs w:val="14"/>
                <w:color w:val="auto"/>
              </w:rPr>
            </w:pPr>
          </w:p>
        </w:tc>
        <w:tc>
          <w:tcPr>
            <w:tcW w:w="9840" w:type="dxa"/>
            <w:vAlign w:val="bottom"/>
            <w:gridSpan w:val="2"/>
          </w:tcPr>
          <w:p>
            <w:pPr>
              <w:ind w:left="45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4"/>
                <w:szCs w:val="14"/>
                <w:color w:val="auto"/>
              </w:rPr>
            </w:pPr>
          </w:p>
        </w:tc>
        <w:tc>
          <w:tcPr>
            <w:tcW w:w="812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Press release dated August 16, 2018, titled “Accuray Reports Fourth Quarter and Fiscal 2018 Financial Results.”</w:t>
              </w:r>
            </w:hyperlink>
          </w:p>
        </w:tc>
        <w:tc>
          <w:tcPr>
            <w:tcW w:w="1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66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80" w:type="dxa"/>
            <w:vAlign w:val="bottom"/>
            <w:gridSpan w:val="2"/>
          </w:tcPr>
          <w:p>
            <w:pPr>
              <w:jc w:val="right"/>
              <w:ind w:right="3859"/>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65"/>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9840" w:type="dxa"/>
            <w:vAlign w:val="bottom"/>
            <w:gridSpan w:val="2"/>
          </w:tcPr>
          <w:p>
            <w:pPr>
              <w:ind w:left="45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4"/>
                <w:szCs w:val="14"/>
                <w:color w:val="auto"/>
              </w:rPr>
            </w:pPr>
          </w:p>
        </w:tc>
        <w:tc>
          <w:tcPr>
            <w:tcW w:w="81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Press release dated August 16, 2018, titled “Accuray Reports Fourth Quarter and Fiscal 2018 Financial Results.”</w:t>
              </w:r>
            </w:hyperlink>
          </w:p>
        </w:tc>
        <w:tc>
          <w:tcPr>
            <w:tcW w:w="1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66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80" w:type="dxa"/>
            <w:vAlign w:val="bottom"/>
            <w:gridSpan w:val="2"/>
          </w:tcPr>
          <w:p>
            <w:pPr>
              <w:jc w:val="right"/>
              <w:ind w:right="3856"/>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ACCURAY INCORPORATED</w:t>
      </w:r>
    </w:p>
    <w:p>
      <w:pPr>
        <w:sectPr>
          <w:pgSz w:w="11900" w:h="16838" w:orient="portrait"/>
          <w:cols w:equalWidth="0" w:num="1">
            <w:col w:w="11220"/>
          </w:cols>
          <w:pgMar w:left="240" w:top="337"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Dated: August 16,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 Kevin Waters</w:t>
      </w:r>
    </w:p>
    <w:p>
      <w:pPr>
        <w:spacing w:after="0" w:line="46" w:lineRule="exact"/>
        <w:rPr>
          <w:sz w:val="20"/>
          <w:szCs w:val="20"/>
          <w:color w:val="auto"/>
        </w:rPr>
      </w:pPr>
    </w:p>
    <w:p>
      <w:pPr>
        <w:sectPr>
          <w:pgSz w:w="11900" w:h="16838" w:orient="portrait"/>
          <w:cols w:equalWidth="0" w:num="3">
            <w:col w:w="4940" w:space="720"/>
            <w:col w:w="1820" w:space="720"/>
            <w:col w:w="3020"/>
          </w:cols>
          <w:pgMar w:left="240" w:top="337" w:right="439" w:bottom="1440" w:gutter="0" w:footer="0" w:header="0"/>
          <w:type w:val="continuous"/>
        </w:sectPr>
      </w:pPr>
    </w:p>
    <w:p>
      <w:pPr>
        <w:jc w:val="center"/>
        <w:ind w:left="6180"/>
        <w:spacing w:after="0"/>
        <w:rPr>
          <w:sz w:val="20"/>
          <w:szCs w:val="20"/>
          <w:color w:val="auto"/>
        </w:rPr>
      </w:pPr>
      <w:r>
        <w:rPr>
          <w:rFonts w:ascii="Arial" w:cs="Arial" w:eastAsia="Arial" w:hAnsi="Arial"/>
          <w:sz w:val="18"/>
          <w:szCs w:val="18"/>
          <w:color w:val="auto"/>
        </w:rPr>
        <w:t>Kevin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Senior Vice President &amp; 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337"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339598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95980" cy="651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Todd Kehrli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Investor Relations, EVC Group</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(310) 625-4462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tkehrli@evcgroup.com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Beth Kaplan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Director, Accuray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(408) 789-4426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bkaplan@accuray.com</w:t>
      </w:r>
    </w:p>
    <w:p>
      <w:pPr>
        <w:spacing w:after="0" w:line="200" w:lineRule="exact"/>
        <w:rPr>
          <w:sz w:val="20"/>
          <w:szCs w:val="20"/>
          <w:color w:val="auto"/>
        </w:rPr>
      </w:pPr>
    </w:p>
    <w:p>
      <w:pPr>
        <w:sectPr>
          <w:pgSz w:w="11900" w:h="16838" w:orient="portrait"/>
          <w:cols w:equalWidth="0" w:num="2">
            <w:col w:w="6940" w:space="720"/>
            <w:col w:w="3760"/>
          </w:cols>
          <w:pgMar w:left="240" w:top="121"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Accuray Reports Fourth Quarter and Fiscal 2018 Financial Results</w:t>
      </w:r>
    </w:p>
    <w:p>
      <w:pPr>
        <w:spacing w:after="0" w:line="216"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b w:val="1"/>
          <w:bCs w:val="1"/>
          <w:color w:val="auto"/>
        </w:rPr>
        <w:t xml:space="preserve">SUNNYVALE, Calif., August 16, 2018 </w:t>
      </w:r>
      <w:r>
        <w:rPr>
          <w:rFonts w:ascii="Arial" w:cs="Arial" w:eastAsia="Arial" w:hAnsi="Arial"/>
          <w:sz w:val="20"/>
          <w:szCs w:val="20"/>
          <w:color w:val="auto"/>
        </w:rPr>
        <w:t>— Accuray Incorporated (NASDAQ: ARAY) today reported financial results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and fiscal year ended June 30, 2018.</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Q4 Fiscal 2018 and Recent Operating Highlights</w:t>
      </w:r>
    </w:p>
    <w:p>
      <w:pPr>
        <w:spacing w:after="0" w:line="21"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Gross orders increased 12 percent to $96.4 million</w:t>
      </w: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Revenue increased to $113.8 million, the highest ever quarterly revenue reported</w:t>
      </w:r>
    </w:p>
    <w:p>
      <w:pPr>
        <w:ind w:left="760" w:right="20" w:hanging="374"/>
        <w:spacing w:after="0" w:line="23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Cash, cash equivalents, investments and short-term restricted cash increased sequentially by $19.8 million to $92.9 million at June 30, 2018</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Won a multi-system, multi-hospital order from Mercy for Radixact and CyberKnife M6 systems</w:t>
      </w: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Installed base in Japan reaches 100 systems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2018 Highlights</w:t>
      </w:r>
    </w:p>
    <w:p>
      <w:pPr>
        <w:spacing w:after="0" w:line="21"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Ending backlog increased 6 percent year-over-year to $478.5 million</w:t>
      </w: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Gross margin expanded 300 basis points year-over-year to 40 percent</w:t>
      </w: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Revenue increased 6 percent over the prior fiscal year to $404.9 million</w:t>
      </w: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Retired $40 million in convertible notes, reducing potential underlying shareholder dilution</w:t>
      </w:r>
    </w:p>
    <w:p>
      <w:pPr>
        <w:spacing w:after="0" w:line="213"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“With fourth quarter gross order growth of 12 percent over the last fiscal year, we had a solid finish to our fiscal year,” said Joshua H. Levine, president and chief executive officer. “We also generated gross order growth for the full fiscal year from three of our four regions and record fourth quarter sales. At the same time, we increased our year-end cash position due to our improved operating results and paid down debt by approximately $33 million. These improved financial metrics occurred while we increased the investment in our product roadmap, which is expected to result in Accuray bringing to market new imaging software and true motion correction for Radixact as well as CyberKnife enhancements in the near future. Our product portfolio is the strongest it has ever been and the technology innovations associated with our key development programs will position the Company for growth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Q4 Fiscal 2018 Financial Highlights</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Gross product orders totaled $96.4 million for the 2018 fiscal fourth quarter compared to $85.7 million for the prior fiscal year fourth quarter. Ending product backlog was $478.5 million, approximately 6 percent higher than backlog at the end of the fourth quarter of the prior fiscal year.</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Total revenue was $113.8 million, an increase of 2 percent compared to $112.1 million in the prior fiscal year fourth quarter. Service revenue totaled $59.2 million compared to $51.5 million in the prior fiscal year fourth quarter, while product revenue totaled $54.6 million compared to $60.6 million in the prior fiscal year fourth quarter. The increase in service revenue was primarily from Accuray’s recent software releases for both treatment planning and connectivity and install base growth. Product revenue decreased 10 percent compared to the prior fiscal year fourth quarter due to a decrease in unit volume, partially offset by higher average sales price per unit.</w:t>
      </w:r>
    </w:p>
    <w:p>
      <w:pPr>
        <w:spacing w:after="0" w:line="181"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Total gross profit for the fiscal fourth quarter of 2018 was $48.0 million or approximately 42.2 percent of sales, comprised of product gross margin of 47.4 percent and service gross margin of 37.4 percent. This compares to total gross profit of $43.2 million or 38.5 percent of sales, comprised of product gross margin of 38.2 percent and service gross margin of 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ind w:right="580"/>
        <w:spacing w:after="0" w:line="262" w:lineRule="auto"/>
        <w:rPr>
          <w:sz w:val="20"/>
          <w:szCs w:val="20"/>
          <w:color w:val="auto"/>
        </w:rPr>
      </w:pPr>
      <w:r>
        <w:rPr>
          <w:rFonts w:ascii="Arial" w:cs="Arial" w:eastAsia="Arial" w:hAnsi="Arial"/>
          <w:sz w:val="20"/>
          <w:szCs w:val="20"/>
          <w:color w:val="auto"/>
        </w:rPr>
        <w:t>percent for the prior fiscal year fourth quarter. The increase in gross margin is the result of year-over-year pricing increases driven by the Company’s latest generation platforms.</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Net loss was $0.9 million, or $0.01 per share, for the fourth quarter of fiscal 2018, compared to a net loss of $5.3 million, or $0.06 per share, for the fourth quarter of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Adjusted EBITDA for the fourth quarter of fiscal 2018 was $7.8 million, compared to $10.3 million in the prior fiscal year fourth quarter.</w:t>
      </w:r>
    </w:p>
    <w:p>
      <w:pPr>
        <w:spacing w:after="0" w:line="227"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Cash, cash equivalents, investments and short-term restricted cash were $92.9 million as of June 30, 2018, an increase of $19.8 million from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2018 Highlights</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For the fiscal year ended June 30, 2018, gross product orders totaled $304.9 million, representing growth of 2 percent compared to the prior fiscal year period.</w:t>
      </w:r>
    </w:p>
    <w:p>
      <w:pPr>
        <w:spacing w:after="0" w:line="177" w:lineRule="exact"/>
        <w:rPr>
          <w:sz w:val="20"/>
          <w:szCs w:val="20"/>
          <w:color w:val="auto"/>
        </w:rPr>
      </w:pPr>
    </w:p>
    <w:p>
      <w:pPr>
        <w:jc w:val="both"/>
        <w:ind w:right="160"/>
        <w:spacing w:after="0" w:line="269" w:lineRule="auto"/>
        <w:rPr>
          <w:sz w:val="20"/>
          <w:szCs w:val="20"/>
          <w:color w:val="auto"/>
        </w:rPr>
      </w:pPr>
      <w:r>
        <w:rPr>
          <w:rFonts w:ascii="Arial" w:cs="Arial" w:eastAsia="Arial" w:hAnsi="Arial"/>
          <w:sz w:val="19"/>
          <w:szCs w:val="19"/>
          <w:color w:val="auto"/>
        </w:rPr>
        <w:t>Total revenue was $404.9 million compared to $383.4 million in the prior fiscal year period. Service revenue totaled $221.0 million compared to $203.8 million from the prior fiscal year period, while product revenue totaled $183.9 million compared to $179.6 million in the prior year period. The increase in service revenue is primarily from higher upgrade revenue and increased install base.</w:t>
      </w:r>
    </w:p>
    <w:p>
      <w:pPr>
        <w:spacing w:after="0" w:line="17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Total gross profit for the year ended June 30, 2018 was $161.7 million or 39.9 percent of sales, comprised of product gross margin of 44.0 percent and service gross margin of 36.6 percent. This compares to total gross profit of $141.3 million or 36.9 percent of sales, comprised of product gross margin of 36.9 percent and service gross margin of 36.8 percent for the same prior fiscal year period. The increase in product gross margin is primarily attributable to higher pricing on Accuray’s latest generation platforms and the intangible amortization charge from the TomoTherapy acquisition which was fully amortized in the fourth quarter of the prior year.</w:t>
      </w:r>
    </w:p>
    <w:p>
      <w:pPr>
        <w:spacing w:after="0" w:line="18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Operating expenses were $165.5 million, an increase of 9 percent compared to $151.2 million in the prior fiscal year period. The increase in overall operating expenses was driven by an increase of $7.3 million in research and development expenses due to investments accelerating the Company’s product roadmap in fiscal 2018. Sales and marketing expenses increased by $2.6 million year over year, primarily resulting from additional personnel in the Company’s US commercial organization. In addition, there was an increase of $4.4 million in general and administrative expenses primarily due to increased headcount and investment in Accuray’s China strategy.</w:t>
      </w:r>
    </w:p>
    <w:p>
      <w:pPr>
        <w:spacing w:after="0" w:line="16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Net loss was $23.9 million, or $0.28 per share, for the fiscal year ended June 30, 2018, compared to a net loss of $29.6 million, or $0.36 per share, for the prior year fiscal period.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Adjusted EBITDA for the fiscal year ended June 30, 2018 was $17.1 million, compared to $20.4 million in the prior fiscal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Guidance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introducing guidance for fiscal year 2019 as follows:</w:t>
      </w:r>
    </w:p>
    <w:p>
      <w:pPr>
        <w:spacing w:after="0" w:line="16" w:lineRule="exact"/>
        <w:rPr>
          <w:sz w:val="20"/>
          <w:szCs w:val="20"/>
          <w:color w:val="auto"/>
        </w:rPr>
      </w:pPr>
    </w:p>
    <w:p>
      <w:pPr>
        <w:ind w:left="760" w:right="1140" w:hanging="374"/>
        <w:spacing w:after="0" w:line="252"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9"/>
          <w:szCs w:val="19"/>
          <w:color w:val="auto"/>
        </w:rPr>
        <w:t>Revenue: Product revenue growth is expected to range between 4 and 8 percent and service revenue is expected to grow approximately 2 percent, resulting in total revenue of between $415.0 million to $425.0 million;</w:t>
      </w: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9"/>
          <w:szCs w:val="19"/>
          <w:color w:val="auto"/>
        </w:rPr>
        <w:t>Adjusted EBITDA: $21.0 million to $27.0 million representing growth of approximately 23 percent to 58 percent year-over-year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CFO Transition</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Accuray also announced today that Kevin Waters, CFO of Accuray since September 2015, will be leaving the Company effective October 1, 2018. Mr. Waters has accepted an offer to become the CFO of a privately held company in the urology market segment. He will remain as CFO of Accuray until October 1, 2018 and has agreed to be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20"/>
        <w:spacing w:after="0" w:line="250" w:lineRule="auto"/>
        <w:rPr>
          <w:sz w:val="20"/>
          <w:szCs w:val="20"/>
          <w:color w:val="auto"/>
        </w:rPr>
      </w:pPr>
      <w:r>
        <w:rPr>
          <w:rFonts w:ascii="Arial" w:cs="Arial" w:eastAsia="Arial" w:hAnsi="Arial"/>
          <w:sz w:val="20"/>
          <w:szCs w:val="20"/>
          <w:color w:val="auto"/>
        </w:rPr>
        <w:t>Company to assist in any ongoing transition items through the end of the calendar year. Shig Hamamatsu, who joined the finance team last year and is currently Accuray’s VP of Finance and Chief Accounting Officer, will assume the CFO responsibilities effective October 1st as Interim Chief Financial Officer while Accuray initiates a search.</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behalf of our board and leadership team, I want to thank Kevin for his service and dedication to Accuray over the past three years and wish him the best in his new endeavor,” said Joshua H. Levine, president and chief executive officer. “We believe the thoughtful planning and timeline we have built into this transition plan will ensure there is no impact on our goals and objectives.”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22"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Accuray will host a conference call beginning at 1:30 p.m. PT/4:30 p.m. ET today to discuss results for the fourth quarter and fiscal 2018 as well as recent corporate developments. Conference call dial-in information is as follows:</w:t>
      </w:r>
    </w:p>
    <w:p>
      <w:pPr>
        <w:spacing w:after="0" w:line="1"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20"/>
          <w:szCs w:val="20"/>
          <w:color w:val="auto"/>
        </w:rPr>
        <w:t>U.S. callers: (855) 867-4103</w:t>
      </w: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20"/>
          <w:szCs w:val="20"/>
          <w:color w:val="auto"/>
        </w:rPr>
        <w:t>International callers: (262) 912-4764</w:t>
      </w: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Conference ID Number (U.S. and international): 8149058</w:t>
      </w:r>
    </w:p>
    <w:p>
      <w:pPr>
        <w:spacing w:after="0" w:line="20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 xml:space="preserve">Individuals interested in listening to the live conference call via the Internet may do so by logging on to Accuray’s website, </w:t>
      </w:r>
      <w:r>
        <w:rPr>
          <w:rFonts w:ascii="Arial" w:cs="Arial" w:eastAsia="Arial" w:hAnsi="Arial"/>
          <w:sz w:val="20"/>
          <w:szCs w:val="20"/>
          <w:u w:val="single" w:color="auto"/>
          <w:color w:val="auto"/>
        </w:rPr>
        <w:t>www.accuray.com</w:t>
      </w:r>
      <w:r>
        <w:rPr>
          <w:rFonts w:ascii="Arial" w:cs="Arial" w:eastAsia="Arial" w:hAnsi="Arial"/>
          <w:sz w:val="20"/>
          <w:szCs w:val="20"/>
          <w:color w:val="auto"/>
        </w:rPr>
        <w:t>. In addition, a taped replay of the conference call will be available beginning approximately two hours after the call’s conclusion and available for seven days. The replay telephone number is (855) 859-2056 (USA) or (404) 537-3406 (International), Conference ID: 8149058. An archived webcast will also be available at Accuray’s website.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Accuray has supplemented its GAAP net loss with a non-GAAP measure of adjusted earnings before interest, taxes, depreciation, amortization and stock-based compensation (“adjusted EBITDA”). Management believes that this non-GAAP financial measure provides useful supplemental information to management and investors regarding the performance of the company and facilitates a meaningful comparison of results for current periods with previous operating results. A reconciliation of GAAP net loss (the most directly comparable GAAP measure) to non-GAAP adjusted EBITDA is provided in the schedule below.</w:t>
      </w:r>
    </w:p>
    <w:p>
      <w:pPr>
        <w:spacing w:after="0" w:line="4"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There are limitations in using these non-GAAP financial measures because they are not prepared in accordance with GAAP and may be different from non-GAAP financial measures used by other companies. These non-GAAP financial measures should not be considered in isolation or as a substitute for GAAP financial measures. Investors and potential investors should consider non-GAAP financial measures only in conjunction with the company’s consolidated financial statements prepared in accordance with GAAP.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Accuray</w:t>
      </w:r>
    </w:p>
    <w:p>
      <w:pPr>
        <w:spacing w:after="0" w:line="222"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 xml:space="preserve">Accuray Incorporated (Nasdaq: ARAY) is a radiation oncology company that develops, manufactures and sells precise, innovative treatment solutions that set the standard of care with the aim of helping patients live longer, better lives. The company's leading-edge technologies deliver the full range of radiation therapy and radiosurgery treatments. For more information, please visit </w:t>
      </w:r>
      <w:r>
        <w:rPr>
          <w:rFonts w:ascii="Arial" w:cs="Arial" w:eastAsia="Arial" w:hAnsi="Arial"/>
          <w:sz w:val="18"/>
          <w:szCs w:val="18"/>
          <w:u w:val="single" w:color="auto"/>
          <w:color w:val="auto"/>
        </w:rPr>
        <w:t>www.accuray.com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Statements made in this press release that are not statements of historical fact are forward-looking statements and are subject to the "safe harbor" provisions of the Private Securities Litigation Reform Act of 1995. Forward-looking statements in this press release relate, but are not limited, to the company's future results of operations, including management's expectations regarding orders, backlog, revenue, and adjusted EBITDA; expectations regarding the company’s product portfolio and future product enhancements and releases; the company's ability to build and achieve market momentum for its products and grow the company; and the company's leadership position in radiation oncology innovation and technologies. These forward-looking statements involve risks and uncertainties. If any of these risk or uncertainties materialize, or if any of the company's assumptions prove incorrect, actual results could differ materially from the results express or implied by these forward-looking statements. These risks and uncertainties include, but are not limited to, the company's ability to achieve widespread market acceptance of its products, the company’s 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line="242" w:lineRule="auto"/>
        <w:rPr>
          <w:sz w:val="20"/>
          <w:szCs w:val="20"/>
          <w:color w:val="auto"/>
        </w:rPr>
      </w:pPr>
      <w:r>
        <w:rPr>
          <w:rFonts w:ascii="Arial" w:cs="Arial" w:eastAsia="Arial" w:hAnsi="Arial"/>
          <w:sz w:val="20"/>
          <w:szCs w:val="20"/>
          <w:color w:val="auto"/>
        </w:rPr>
        <w:t>develop new products or enhance existing products to meet customers’ needs and compete favorably in the market, the company's ability to effectively manage its growth, the company's ability to maintain or increase its gross margins on product sales and services, the company's ability to meet the covenants under its credit facilities, the company's ability to convert backlog to revenue, risks and uncertainties related to the China Class A license announcement, and such other risks identified under the heading "Risk Factors" in the company's Annual Report on Form 10-K, filed with the Securities and Exchange Commission (the "SEC") on August 25, 2017, the company's Quarterly Reports on Form 10-Q, filed with the SEC on November 3, 2017, February 5, 2018, and May 2, 2018 and as updated periodically with the company's other filings with the SEC.</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20"/>
          <w:szCs w:val="20"/>
          <w:color w:val="auto"/>
        </w:rPr>
        <w:t>Forward-looking statements speak only as of the date the statements are made and are based on information available to the company at the time those statements are made and/or management's good faith belief as of that time with respect to future events. The company assumes no obligation to update forward-looking statements to reflect actual performance or results, changes in assumptions or changes in other factors affecting forward-looking information, except to the extent required by applicable securities laws. Accordingly, investors should not put undue reliance on any forward-looking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Financial 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Accuray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Gross Orders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96,442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87"/>
              </w:rPr>
              <w:t>85,736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Orders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87"/>
              </w:rPr>
              <w:t>63,473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209,534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226,559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Order Backlog</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478,482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2"/>
              </w:rPr>
              <w:t>452,846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revenue: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w:t>
            </w:r>
          </w:p>
        </w:tc>
        <w:tc>
          <w:tcPr>
            <w:tcW w:w="15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183,898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Services</w:t>
            </w: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220,999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Cost of revenue: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services</w:t>
            </w: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65,801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40,370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(4,450)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(7,674)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(19,224)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(29,579)</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w:t>
            </w: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computing loss per share:</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 and diluted</w:t>
            </w:r>
          </w:p>
        </w:tc>
        <w:tc>
          <w:tcPr>
            <w:tcW w:w="1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85,677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83,179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84,893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82,495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5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Accuray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83,083</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65,994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 of revenue</w:t>
            </w:r>
          </w:p>
        </w:tc>
        <w:tc>
          <w:tcPr>
            <w:tcW w:w="2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Goodwill</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Deferred cost of revenue</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8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0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378,727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406,464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19,694</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Short-term debt</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advances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0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Long-term liabilities: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Long-term other liabilities</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20" w:type="dxa"/>
            <w:vAlign w:val="bottom"/>
          </w:tcPr>
          <w:p>
            <w:pPr>
              <w:ind w:left="740"/>
              <w:spacing w:after="0"/>
              <w:rPr>
                <w:sz w:val="20"/>
                <w:szCs w:val="20"/>
                <w:color w:val="auto"/>
              </w:rPr>
            </w:pPr>
            <w:r>
              <w:rPr>
                <w:rFonts w:ascii="Arial" w:cs="Arial" w:eastAsia="Arial" w:hAnsi="Arial"/>
                <w:sz w:val="18"/>
                <w:szCs w:val="18"/>
                <w:color w:val="auto"/>
              </w:rPr>
              <w:t>Total liabilities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330,095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521,738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(474,285)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(450,386)</w:t>
            </w:r>
          </w:p>
        </w:tc>
        <w:tc>
          <w:tcPr>
            <w:tcW w:w="20" w:type="dxa"/>
            <w:vAlign w:val="bottom"/>
          </w:tcPr>
          <w:p>
            <w:pPr>
              <w:spacing w:after="0"/>
              <w:rPr>
                <w:sz w:val="19"/>
                <w:szCs w:val="19"/>
                <w:color w:val="auto"/>
              </w:rPr>
            </w:pPr>
          </w:p>
        </w:tc>
      </w:tr>
      <w:tr>
        <w:trPr>
          <w:trHeight w:val="223"/>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20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equity</w:t>
            </w:r>
          </w:p>
        </w:tc>
        <w:tc>
          <w:tcPr>
            <w:tcW w:w="2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378,727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406,464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58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Accuray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Loss to Adjusted Earnings Before Interest, Taxes,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Amortization and Stock-Based Compensation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2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ind w:left="34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4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0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GAAP net loss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(29,579)</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Amortization of intangibles (a)</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7,646</w:t>
            </w: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(b)</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2,309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10,395</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13,629</w:t>
            </w: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 (c)</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3,627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17,260</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7,830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amortization of intangibles - developed technology and acquired patents.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depreciation, primarily on property and equipment.</w:t>
      </w:r>
    </w:p>
    <w:p>
      <w:pPr>
        <w:spacing w:after="0" w:line="9" w:lineRule="exact"/>
        <w:rPr>
          <w:rFonts w:ascii="Arial" w:cs="Arial" w:eastAsia="Arial" w:hAnsi="Arial"/>
          <w:sz w:val="18"/>
          <w:szCs w:val="18"/>
          <w:color w:val="auto"/>
        </w:rPr>
      </w:pPr>
    </w:p>
    <w:p>
      <w:pPr>
        <w:ind w:left="320" w:right="640" w:hanging="304"/>
        <w:spacing w:after="0" w:line="261"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primarily of interest income from available-for-sale securities, interest expense associated with our outstanding debt and non-cash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929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181610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Accuray Incorporated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Guidance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Reconciliation of Projected Net Loss to Projected Adjusted Earnings Before Interest, Taxes, Depreciation, Amortization and Stock-Based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(Adjusted EBITDA)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From</w:t>
            </w:r>
          </w:p>
        </w:tc>
        <w:tc>
          <w:tcPr>
            <w:tcW w:w="600" w:type="dxa"/>
            <w:vAlign w:val="bottom"/>
          </w:tcPr>
          <w:p>
            <w:pPr>
              <w:spacing w:after="0"/>
              <w:rPr>
                <w:sz w:val="13"/>
                <w:szCs w:val="13"/>
                <w:color w:val="auto"/>
              </w:rPr>
            </w:pPr>
          </w:p>
        </w:tc>
        <w:tc>
          <w:tcPr>
            <w:tcW w:w="840" w:type="dxa"/>
            <w:vAlign w:val="bottom"/>
          </w:tcPr>
          <w:p>
            <w:pPr>
              <w:jc w:val="right"/>
              <w:ind w:right="553"/>
              <w:spacing w:after="0" w:line="155"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3"/>
                <w:szCs w:val="13"/>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net loss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(19,400)</w:t>
            </w:r>
          </w:p>
        </w:tc>
        <w:tc>
          <w:tcPr>
            <w:tcW w:w="2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Depreciation and amortization (a)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10,500</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13,100</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Interest expense, net (b)</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14,700</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depreciation, primarily on property and equipment as well as amortization of intangibles - developed technology and acquired patents.</w:t>
      </w:r>
    </w:p>
    <w:p>
      <w:pPr>
        <w:spacing w:after="0" w:line="34" w:lineRule="exact"/>
        <w:rPr>
          <w:rFonts w:ascii="Arial" w:cs="Arial" w:eastAsia="Arial" w:hAnsi="Arial"/>
          <w:sz w:val="17"/>
          <w:szCs w:val="17"/>
          <w:color w:val="auto"/>
        </w:rPr>
      </w:pPr>
    </w:p>
    <w:p>
      <w:pPr>
        <w:ind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primarily of interest income from available-for-sale securities, interest expense associated with our convertible notes and revolving credit facility and non-cash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929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sectPr>
      <w:pgSz w:w="11900" w:h="16838" w:orient="portrait"/>
      <w:cols w:equalWidth="0" w:num="1">
        <w:col w:w="11320"/>
      </w:cols>
      <w:pgMar w:left="24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5"/>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2019-12-28T19:47:40Z</dcterms:created>
  <dcterms:modified xsi:type="dcterms:W3CDTF">2019-12-28T19:47:40Z</dcterms:modified>
</cp:coreProperties>
</file>