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ACCURAY INCORPORATED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420"/>
          </w:cols>
          <w:pgMar w:left="240" w:top="544" w:right="239" w:bottom="0" w:gutter="0" w:footer="0" w:header="0"/>
        </w:sectPr>
      </w:pPr>
    </w:p>
    <w:p>
      <w:pPr>
        <w:spacing w:after="0" w:line="207"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001-33301</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20-8370041</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544"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1310 Chesapeake Terrace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Sunnyvale, California 94089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(408) 716-4600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On October 29, 2009, Accuray Incorporated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announcing its financial results for the fiscal quarter ended September 30, 2009. A copy of the Company’s press release dated October 29, 2009, titled “Accuray Announces Results for First Quarter of Fiscal 2010” is attached hereto as Exhibit 99.1 and is incorporated herein by reference.</w:t>
      </w:r>
    </w:p>
    <w:p>
      <w:pPr>
        <w:spacing w:after="0" w:line="181" w:lineRule="exact"/>
        <w:rPr>
          <w:sz w:val="24"/>
          <w:szCs w:val="24"/>
          <w:color w:val="auto"/>
        </w:rPr>
      </w:pPr>
    </w:p>
    <w:p>
      <w:pPr>
        <w:ind w:right="20"/>
        <w:spacing w:after="0" w:line="312" w:lineRule="auto"/>
        <w:rPr>
          <w:sz w:val="20"/>
          <w:szCs w:val="20"/>
          <w:color w:val="auto"/>
        </w:rPr>
      </w:pPr>
      <w:r>
        <w:rPr>
          <w:rFonts w:ascii="Arial" w:cs="Arial" w:eastAsia="Arial" w:hAnsi="Arial"/>
          <w:sz w:val="16"/>
          <w:szCs w:val="16"/>
          <w:color w:val="auto"/>
        </w:rPr>
        <w:t>The foregoing information (including the exhibit hereto) is being furnished under “Item 2.02 Results of Operations and Financial Condition” (including the exhibit hereto)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p>
      <w:pPr>
        <w:spacing w:after="0"/>
        <w:tabs>
          <w:tab w:leader="none" w:pos="58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4"/>
          <w:szCs w:val="24"/>
          <w:color w:val="auto"/>
        </w:rPr>
      </w:pPr>
    </w:p>
    <w:p>
      <w:pPr>
        <w:ind w:left="24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29, 2009, titled “Accuray Announces Results for First Quarter of Fiscal 2010.”</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20"/>
          </w:cols>
          <w:pgMar w:left="240" w:top="544" w:right="239" w:bottom="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undersigned hereunto duly authorized.</w:t>
            </w:r>
          </w:p>
        </w:tc>
        <w:tc>
          <w:tcPr>
            <w:tcW w:w="20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4"/>
        </w:trPr>
        <w:tc>
          <w:tcPr>
            <w:tcW w:w="4220" w:type="dxa"/>
            <w:vAlign w:val="bottom"/>
          </w:tcPr>
          <w:p>
            <w:pPr>
              <w:spacing w:after="0"/>
              <w:rPr>
                <w:sz w:val="24"/>
                <w:szCs w:val="24"/>
                <w:color w:val="auto"/>
              </w:rPr>
            </w:pPr>
          </w:p>
        </w:tc>
        <w:tc>
          <w:tcPr>
            <w:tcW w:w="7200" w:type="dxa"/>
            <w:vAlign w:val="bottom"/>
            <w:gridSpan w:val="2"/>
          </w:tcPr>
          <w:p>
            <w:pPr>
              <w:ind w:left="1560"/>
              <w:spacing w:after="0"/>
              <w:rPr>
                <w:sz w:val="20"/>
                <w:szCs w:val="20"/>
                <w:color w:val="auto"/>
              </w:rPr>
            </w:pPr>
            <w:r>
              <w:rPr>
                <w:rFonts w:ascii="Arial" w:cs="Arial" w:eastAsia="Arial" w:hAnsi="Arial"/>
                <w:sz w:val="18"/>
                <w:szCs w:val="18"/>
                <w:b w:val="1"/>
                <w:bCs w:val="1"/>
                <w:color w:val="auto"/>
              </w:rPr>
              <w:t>ACCURAY INCORPORATED</w:t>
            </w:r>
          </w:p>
        </w:tc>
        <w:tc>
          <w:tcPr>
            <w:tcW w:w="40" w:type="dxa"/>
            <w:vAlign w:val="bottom"/>
          </w:tcPr>
          <w:p>
            <w:pPr>
              <w:spacing w:after="0"/>
              <w:rPr>
                <w:sz w:val="24"/>
                <w:szCs w:val="24"/>
                <w:color w:val="auto"/>
              </w:rPr>
            </w:pPr>
          </w:p>
        </w:tc>
      </w:tr>
      <w:tr>
        <w:trPr>
          <w:trHeight w:val="432"/>
        </w:trPr>
        <w:tc>
          <w:tcPr>
            <w:tcW w:w="4220" w:type="dxa"/>
            <w:vAlign w:val="bottom"/>
          </w:tcPr>
          <w:p>
            <w:pPr>
              <w:spacing w:after="0"/>
              <w:rPr>
                <w:sz w:val="20"/>
                <w:szCs w:val="20"/>
                <w:color w:val="auto"/>
              </w:rPr>
            </w:pPr>
            <w:r>
              <w:rPr>
                <w:rFonts w:ascii="Arial" w:cs="Arial" w:eastAsia="Arial" w:hAnsi="Arial"/>
                <w:sz w:val="18"/>
                <w:szCs w:val="18"/>
                <w:color w:val="auto"/>
              </w:rPr>
              <w:t>Dated: October 29, 2009</w:t>
            </w:r>
          </w:p>
        </w:tc>
        <w:tc>
          <w:tcPr>
            <w:tcW w:w="2000" w:type="dxa"/>
            <w:vAlign w:val="bottom"/>
          </w:tcPr>
          <w:p>
            <w:pPr>
              <w:ind w:left="15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Darren J. Milliken</w:t>
            </w:r>
          </w:p>
        </w:tc>
        <w:tc>
          <w:tcPr>
            <w:tcW w:w="40" w:type="dxa"/>
            <w:vAlign w:val="bottom"/>
          </w:tcPr>
          <w:p>
            <w:pPr>
              <w:spacing w:after="0"/>
              <w:rPr>
                <w:sz w:val="24"/>
                <w:szCs w:val="24"/>
                <w:color w:val="auto"/>
              </w:rPr>
            </w:pPr>
          </w:p>
        </w:tc>
      </w:tr>
      <w:tr>
        <w:trPr>
          <w:trHeight w:val="195"/>
        </w:trPr>
        <w:tc>
          <w:tcPr>
            <w:tcW w:w="4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200" w:type="dxa"/>
            <w:vAlign w:val="bottom"/>
          </w:tcPr>
          <w:p>
            <w:pPr>
              <w:jc w:val="center"/>
              <w:spacing w:after="0" w:line="195" w:lineRule="exact"/>
              <w:rPr>
                <w:sz w:val="20"/>
                <w:szCs w:val="20"/>
                <w:color w:val="auto"/>
              </w:rPr>
            </w:pPr>
            <w:r>
              <w:rPr>
                <w:rFonts w:ascii="Arial" w:cs="Arial" w:eastAsia="Arial" w:hAnsi="Arial"/>
                <w:sz w:val="18"/>
                <w:szCs w:val="18"/>
                <w:color w:val="auto"/>
                <w:w w:val="94"/>
              </w:rPr>
              <w:t>Darren J. Milliken</w:t>
            </w:r>
          </w:p>
        </w:tc>
        <w:tc>
          <w:tcPr>
            <w:tcW w:w="40" w:type="dxa"/>
            <w:vAlign w:val="bottom"/>
          </w:tcPr>
          <w:p>
            <w:pPr>
              <w:spacing w:after="0"/>
              <w:rPr>
                <w:sz w:val="16"/>
                <w:szCs w:val="16"/>
                <w:color w:val="auto"/>
              </w:rPr>
            </w:pPr>
          </w:p>
        </w:tc>
      </w:tr>
      <w:tr>
        <w:trPr>
          <w:trHeight w:val="216"/>
        </w:trPr>
        <w:tc>
          <w:tcPr>
            <w:tcW w:w="4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and</w:t>
            </w:r>
          </w:p>
        </w:tc>
        <w:tc>
          <w:tcPr>
            <w:tcW w:w="4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1"/>
              </w:rPr>
              <w:t>Corporate Secretary</w:t>
            </w:r>
          </w:p>
        </w:tc>
        <w:tc>
          <w:tcPr>
            <w:tcW w:w="40" w:type="dxa"/>
            <w:vAlign w:val="bottom"/>
          </w:tcPr>
          <w:p>
            <w:pPr>
              <w:spacing w:after="0"/>
              <w:rPr>
                <w:sz w:val="20"/>
                <w:szCs w:val="20"/>
                <w:color w:val="auto"/>
              </w:rPr>
            </w:pPr>
          </w:p>
        </w:tc>
      </w:tr>
      <w:tr>
        <w:trPr>
          <w:trHeight w:val="432"/>
        </w:trPr>
        <w:tc>
          <w:tcPr>
            <w:tcW w:w="4220" w:type="dxa"/>
            <w:vAlign w:val="bottom"/>
          </w:tcPr>
          <w:p>
            <w:pPr>
              <w:spacing w:after="0"/>
              <w:rPr>
                <w:sz w:val="24"/>
                <w:szCs w:val="24"/>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2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80" w:type="dxa"/>
            <w:vAlign w:val="bottom"/>
          </w:tcPr>
          <w:p>
            <w:pPr>
              <w:jc w:val="center"/>
              <w:ind w:right="93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7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24"/>
                <w:szCs w:val="24"/>
                <w:color w:val="auto"/>
              </w:rPr>
            </w:pPr>
          </w:p>
        </w:tc>
        <w:tc>
          <w:tcPr>
            <w:tcW w:w="1038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29, 2009, titled “Accuray Announces Results for First Quarter of Fiscal 2010”</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60" w:type="dxa"/>
            <w:vAlign w:val="bottom"/>
            <w:gridSpan w:val="2"/>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3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443865</wp:posOffset>
            </wp:positionV>
            <wp:extent cx="1440815" cy="875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87503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Tom Rathjen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(408) 789-4458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trathjen@accuray.com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Stephanie Tomei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Manager, Marketing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(408) 789-4234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stomei@accuray.com</w:t>
      </w:r>
    </w:p>
    <w:p>
      <w:pPr>
        <w:spacing w:after="0" w:line="200" w:lineRule="exact"/>
        <w:rPr>
          <w:sz w:val="20"/>
          <w:szCs w:val="20"/>
          <w:color w:val="auto"/>
        </w:rPr>
      </w:pPr>
    </w:p>
    <w:p>
      <w:pPr>
        <w:sectPr>
          <w:pgSz w:w="11900" w:h="16838" w:orient="portrait"/>
          <w:cols w:equalWidth="0" w:num="3">
            <w:col w:w="800" w:space="720"/>
            <w:col w:w="3040" w:space="720"/>
            <w:col w:w="6140"/>
          </w:cols>
          <w:pgMar w:left="240" w:top="121" w:right="239" w:bottom="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Accuray Announces Results for First Quarter of Fiscal 2010</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SUNNYVALE, Calif., October 29, 2009 </w:t>
      </w:r>
      <w:r>
        <w:rPr>
          <w:rFonts w:ascii="Arial" w:cs="Arial" w:eastAsia="Arial" w:hAnsi="Arial"/>
          <w:sz w:val="18"/>
          <w:szCs w:val="18"/>
          <w:color w:val="auto"/>
        </w:rPr>
        <w:t>– Accuray Incorporated (Nasdaq: ARAY) (“Accuray”), a global leader in the field of radiosurgery, announced today</w:t>
      </w:r>
      <w:r>
        <w:rPr>
          <w:rFonts w:ascii="Arial" w:cs="Arial" w:eastAsia="Arial" w:hAnsi="Arial"/>
          <w:sz w:val="18"/>
          <w:szCs w:val="18"/>
          <w:b w:val="1"/>
          <w:bCs w:val="1"/>
          <w:color w:val="auto"/>
        </w:rPr>
        <w:t xml:space="preserve"> </w:t>
      </w:r>
      <w:r>
        <w:rPr>
          <w:rFonts w:ascii="Arial" w:cs="Arial" w:eastAsia="Arial" w:hAnsi="Arial"/>
          <w:sz w:val="18"/>
          <w:szCs w:val="18"/>
          <w:color w:val="auto"/>
        </w:rPr>
        <w:t>its financial results for the first quarter of fiscal year 2010, ended September 30, 2009.</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first quarter of fiscal 2010, Accuray reported total revenue of $50.6 million, compared to the first quarter of fiscal 2009 total revenue of $55.9 million. The revenue component associated with legacy Platinum contracts was $10.2 million for the first quarter of fiscal 2010 versus $18.8 million for the first quarter of fiscal 2009. Revenue, excluding revenue associated with Platinum contracts, grew year-over-year 9%.</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Accuray reported a net loss for the first quarter of fiscal 2010 of $3.3 million, or $0.06 per share, compared to a net loss of $3.2 million, or $0.06 per share, during the same period last year. The loss was driven by seasonably low first quarter revenue and lower than normal gross margin during the first quarter. Non-cash, stock based compensation charges were $3.1 million for the first quarter of fiscal 2010.</w:t>
      </w:r>
    </w:p>
    <w:p>
      <w:pPr>
        <w:spacing w:after="0" w:line="18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As previously announced, at the beginning of fiscal year 2010, Accuray has refined its definition of backlog, which will include non-contingent orders that fulfill refined criteria. Applying these refined criteria to the backlog as of June 30, 2009 would yield a backlog of $282 million. At the end of the first quarter of fiscal 2010, total backlog was $291 million. During the first quarter of fiscal 2010, nine orders for CyberKnife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Robotic Radiosurgery Systems (“CyberKnife Systems”) met the refined criteria and were added to Accuray’s backlog, which combined with service renewal orders and other ancillary accessory orders, yielded a total addition to backlog of $58.8 million. There were no cancellations to backlog in the first quarter, under either the current criteria or previous non-contingent definition.</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first quarter of fiscal 2010, four new CyberKnife Systems were installed, compared to five installations during the same period last year. At the end of the first quarter, the worldwide CyberKnife Systems installation base was 180 units.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are pleased that revenue in the first quarter exceeded our earlier guidance,” said Euan S. Thomson, Ph.D., Accuray’s president and chief executive officer. “While we anticipated a seasonably low first quarter, we expect the remainder of the year to reflect the increasing worldwide demand for full body radiosurgery treatments with the CyberKnife.”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Accuray’s cash and investment balances at the end of the first quarter of fiscal 2010 totaled $152.6 million, which includes cash and cash equivalents of $33.3 million, restricted cash of $1.5 million, short-term investments of $69.0 million and long-term investments of $48.8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statement is forward-looking and actual results may differ materially. During fiscal year 2010 Accuray maintains the expectation that revenue will be in the range of $215 million to $230 million. CyberKnife System revenue, which represents approximately two-thirds of total revenue, is driven by customer installation schedules.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 information regarding backlog segmentation, which will be discussed during the conference call, is available in the Investor Relations section of Accuray’s web site at www.accuray.com.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Call Open to Investors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Accuray will hold a conference call for financial analysts and investors today, Thursday, October 29, 2009 at 2:00 p.m. PT / 5:00 p.m. ET. The conference call dial-in numbers are 1-800-638-4930 (USA) or 1-617-614-3944 (International), Conference ID: 97746759. A live webcast of the call will also be available from the Investor Relations section on Accuray’s web site at www.accuray.com. In addition, a recording of the call will be available by calling 1-888-286-8010 (USA) or 1-617-801-6888 (International), Conference ID number: 79365074, beginning at 5:00 p.m. PT / 8:00 p.m. ET, October 29, 2009 and will be available through November 1, 2009. A webcast replay will also be available from the Investor Relations section of Accuray’s web site at www.accuray.com from approximately 5:00 p.m. PT / 8:00 p.m. ET today through Accuray’s release of its results for the second quarter of fiscal 2010, ending December 31,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CyberKnife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Robotic Radiosurgery System</w:t>
      </w:r>
    </w:p>
    <w:p>
      <w:pPr>
        <w:spacing w:after="0" w:line="17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CyberKnife Robotic Radiosurgery System is the world’s only robotic radiosurgery system designed to treat tumors anywhere in the body non-invasively. Using continual image guidance technology and computer controlled robotic mobility, the CyberKnife System automatically tracks, detects and corrects for</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line="8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tumor and patient movement in real-time throughout the treatment. This enables the CyberKnife System to deliver high-dose radiation with pinpoint precision, which minimizes damage to surrounding healthy tissue and eliminates the need for invasive head or body stabilization frames.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Accuray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Accuray Incorporated (Nasdaq: ARAY), based in Sunnyvale, Calif., is a global leader in the field of radiosurgery dedicated to providing an improved quality of life and a non-surgical treatment option for those diagnosed with cancer. Accuray develops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and markets the CyberKnife Robotic Radiosurgery System, which extends the benefits of radiosurgery to include extracranial tumors, including those in the spine, lung, prostate, liver and pancreas. To date, the CyberKnife System has been used to treat more than 70,000 patients worldwide and currently 180 CyberKnife Systems have been installed in leading hospitals in the Americas, Europe and Asia. For more information, please visit www.accuray.com</w:t>
      </w:r>
      <w:r>
        <w:rPr>
          <w:rFonts w:ascii="Arial" w:cs="Arial" w:eastAsia="Arial" w:hAnsi="Arial"/>
          <w:sz w:val="16"/>
          <w:szCs w:val="16"/>
          <w:u w:val="single" w:color="auto"/>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including those concerning Accuray’s expectations about revenue for fiscal year 2010, the portion of revenue attributable to CyberKnife System revenue, realization of backlog, customer installation schedules, and service activity. Forward looking statements involve risks and uncertainties that may lead to actual results varying materially from the forward looking statements. Accordingly, investors are cautioned not to place undue reliance on such statements. Many factors could cause actual performance or results to differ materially from these forward looking statements, including, but not limited to the uncertainties associated with the medical device industry; variability of installation and sales cycle including customer financing and construction delays; changes in the regulatory environment, including reimbursement for CyberKnife procedures; market acceptance of products; and the impact of competition. These and other risks are discussed under the heading “Risk Factors” in our report on Form 10-K for the 2009 fiscal year which has been filed with the Securities and Exchange Commission as well as our quarterly report on Form 10-Q, for the first quarter of fiscal year 2010, which will be filed with the Securities and Exchange Commission. Accuray assumes no obligation to update forward-looking statements to reflect actual performance or results, changes in assumptions or changes in other factors affecting forward-looking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Accuray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0"/>
              </w:rPr>
              <w:t>September 30, 2009</w:t>
            </w: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27,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Products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30,346</w:t>
            </w:r>
          </w:p>
        </w:tc>
        <w:tc>
          <w:tcPr>
            <w:tcW w:w="660" w:type="dxa"/>
            <w:vAlign w:val="bottom"/>
          </w:tcPr>
          <w:p>
            <w:pPr>
              <w:jc w:val="right"/>
              <w:ind w:right="47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Shared ownership program</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19,654</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net revenue</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50,575</w:t>
            </w: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Cost of products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14,651</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shared ownership program</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13,920</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other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28,956</w:t>
            </w:r>
          </w:p>
        </w:tc>
        <w:tc>
          <w:tcPr>
            <w:tcW w:w="2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8,649</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7,662</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8,930</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25,241</w:t>
            </w:r>
          </w:p>
        </w:tc>
        <w:tc>
          <w:tcPr>
            <w:tcW w:w="2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485</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basic and diluted: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660" w:type="dxa"/>
            <w:vAlign w:val="bottom"/>
          </w:tcPr>
          <w:p>
            <w:pPr>
              <w:jc w:val="right"/>
              <w:ind w:right="47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computing net income per share: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56,713</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56,713</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Cost of revenue, selling and marketing, research and development, and general and administrative expenses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include stock-based compensation charges as follows:</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660" w:type="dxa"/>
            <w:vAlign w:val="bottom"/>
          </w:tcPr>
          <w:p>
            <w:pPr>
              <w:jc w:val="right"/>
              <w:ind w:right="47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bl>
    <w:p>
      <w:pPr>
        <w:sectPr>
          <w:pgSz w:w="11900" w:h="16925"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jc w:val="center"/>
              <w:ind w:left="331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00" w:type="dxa"/>
            <w:vAlign w:val="bottom"/>
          </w:tcPr>
          <w:p>
            <w:pPr>
              <w:jc w:val="center"/>
              <w:ind w:left="3310"/>
              <w:spacing w:after="0"/>
              <w:rPr>
                <w:sz w:val="20"/>
                <w:szCs w:val="20"/>
                <w:color w:val="auto"/>
              </w:rPr>
            </w:pPr>
            <w:r>
              <w:rPr>
                <w:rFonts w:ascii="Arial" w:cs="Arial" w:eastAsia="Arial" w:hAnsi="Arial"/>
                <w:sz w:val="18"/>
                <w:szCs w:val="18"/>
                <w:b w:val="1"/>
                <w:bCs w:val="1"/>
                <w:color w:val="auto"/>
                <w:w w:val="92"/>
              </w:rPr>
              <w:t>Accuray Incorporated</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w w:val="87"/>
              </w:rPr>
              <w:t>Unaudited Condensed Consolidated Balance Sheets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color w:val="auto"/>
                <w:w w:val="88"/>
              </w:rPr>
              <w:t>(in thousands, except share amounts)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260" w:type="dxa"/>
            <w:vAlign w:val="bottom"/>
          </w:tcPr>
          <w:p>
            <w:pPr>
              <w:spacing w:after="0"/>
              <w:rPr>
                <w:sz w:val="24"/>
                <w:szCs w:val="2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1,498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68,983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16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$24 at September 30, 2009 and $484 at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June 27, 2009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30,305</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36,427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25,679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7,896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cost of revenue—current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18,166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185,867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192,502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14,061</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cost of revenue—noncurrent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1,498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8,467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Customer advances—current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15,096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revenue—current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58,169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96,417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112,419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Long-term other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advances—noncurrent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Deferred revenue—noncurrent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6,117</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102,822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w w:val="98"/>
              </w:rPr>
              <w:t>Preferred stock, $0.001 par value; authorized: 5,000,000 shares; no shares issued and outstanding.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Common stock, $0.001 par value; authorized: 100,000,000 shares; issued: 59,542,259 and 58,783,159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shares at September 30, 2009 and June 27,2009, respectively; outstanding: 57,405,241 and 56,643,529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at September 30, 2009 and June 27, 2009, respectively</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278,136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273,946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(123,730)</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(120,517)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154,870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153,902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257,629</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274,386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jc w:val="center"/>
              <w:ind w:left="3310"/>
              <w:spacing w:after="0"/>
              <w:rPr>
                <w:sz w:val="20"/>
                <w:szCs w:val="20"/>
                <w:color w:val="auto"/>
              </w:rPr>
            </w:pPr>
            <w:r>
              <w:rPr>
                <w:rFonts w:ascii="Arial" w:cs="Arial" w:eastAsia="Arial" w:hAnsi="Arial"/>
                <w:sz w:val="18"/>
                <w:szCs w:val="18"/>
                <w:color w:val="auto"/>
                <w:w w:val="99"/>
              </w:rPr>
              <w:t>5</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-7361555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-7361555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2019-12-10T21:10:47Z</dcterms:created>
  <dcterms:modified xsi:type="dcterms:W3CDTF">2019-12-10T21:10:47Z</dcterms:modified>
</cp:coreProperties>
</file>