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dp252515_s3a-2.htm"/>
      <w:bookmarkStart w:id="1" w:name="ksdp252515_s3a2"/>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 filed with the Securities and Exchange Commission on September 9, 2026 </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333-297855</w:t>
      </w:r>
    </w:p>
    <w:p>
      <w:pPr>
        <w:pStyle w:val="TextBody"/>
        <w:bidi w:val="0"/>
        <w:ind w:left="0" w:right="0" w:hanging="0"/>
        <w:jc w:val="left"/>
        <w:rPr>
          <w:bdr w:val="single" w:sz="24" w:space="1" w:color="000000"/>
        </w:rPr>
      </w:pPr>
      <w:r>
        <w:rPr>
          <w:bdr w:val="single" w:sz="24"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2"/>
        </w:rPr>
        <w:t>Amendment No. 2 to</w:t>
      </w:r>
      <w:r>
        <w:rPr>
          <w:rFonts w:ascii="Times New Roman;Times;Serif" w:hAnsi="Times New Roman;Times;Serif"/>
          <w:b w:val="false"/>
          <w:i w:val="false"/>
          <w:caps w:val="false"/>
          <w:smallCaps w:val="false"/>
          <w:sz w:val="28"/>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S-3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br/>
        <w:t>UNDER</w:t>
        <w:b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ACCURAY INCORPORATED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2930"/>
        <w:gridCol w:w="60"/>
        <w:gridCol w:w="2195"/>
      </w:tblGrid>
      <w:tr>
        <w:trPr/>
        <w:tc>
          <w:tcPr>
            <w:tcW w:w="293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center"/>
              <w:rPr/>
            </w:pPr>
            <w:r>
              <w:rPr/>
              <w:t> </w:t>
            </w:r>
          </w:p>
        </w:tc>
        <w:tc>
          <w:tcPr>
            <w:tcW w:w="2195" w:type="dxa"/>
            <w:tcBorders/>
            <w:vAlign w:val="center"/>
          </w:tcPr>
          <w:p>
            <w:pPr>
              <w:pStyle w:val="TableContents"/>
              <w:bidi w:val="0"/>
              <w:spacing w:before="0" w:after="283"/>
              <w:jc w:val="center"/>
              <w:rPr>
                <w:b/>
              </w:rPr>
            </w:pPr>
            <w:r>
              <w:rPr>
                <w:b/>
              </w:rPr>
              <w:t>20-8370041</w:t>
            </w:r>
          </w:p>
        </w:tc>
      </w:tr>
      <w:tr>
        <w:trPr/>
        <w:tc>
          <w:tcPr>
            <w:tcW w:w="2930" w:type="dxa"/>
            <w:tcBorders/>
            <w:vAlign w:val="center"/>
          </w:tcPr>
          <w:p>
            <w:pPr>
              <w:pStyle w:val="TableContents"/>
              <w:bidi w:val="0"/>
              <w:spacing w:before="0" w:after="283"/>
              <w:jc w:val="center"/>
              <w:rPr/>
            </w:pPr>
            <w:r>
              <w:rPr/>
              <w:t>(State or Other Jurisdiction of</w:t>
              <w:br/>
              <w:t>Incorporation or Organization)</w:t>
            </w:r>
          </w:p>
        </w:tc>
        <w:tc>
          <w:tcPr>
            <w:tcW w:w="60" w:type="dxa"/>
            <w:tcBorders/>
            <w:vAlign w:val="center"/>
          </w:tcPr>
          <w:p>
            <w:pPr>
              <w:pStyle w:val="TableContents"/>
              <w:bidi w:val="0"/>
              <w:spacing w:before="0" w:after="283"/>
              <w:jc w:val="center"/>
              <w:rPr/>
            </w:pPr>
            <w:r>
              <w:rPr/>
              <w:t> </w:t>
            </w:r>
          </w:p>
        </w:tc>
        <w:tc>
          <w:tcPr>
            <w:tcW w:w="2195" w:type="dxa"/>
            <w:tcBorders/>
            <w:vAlign w:val="center"/>
          </w:tcPr>
          <w:p>
            <w:pPr>
              <w:pStyle w:val="TableContents"/>
              <w:bidi w:val="0"/>
              <w:spacing w:before="0" w:after="283"/>
              <w:jc w:val="center"/>
              <w:rPr/>
            </w:pPr>
            <w:r>
              <w:rPr/>
              <w:t>(I.R.S. Employer</w:t>
              <w:br/>
              <w:t>Identification Number)</w:t>
            </w:r>
          </w:p>
        </w:tc>
      </w:tr>
    </w:tbl>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1240 Deming Way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Madison, Wisconsin 53717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(608) 824-2800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Stephen La Neve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President and 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Accuray Incorporated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1240 Deming Way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Madison, WI 53717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(608) 824-2800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Copy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Shin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Vice President,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Legal Officer and Corporate Secretary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Accuray Incorporated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1240 Deming Way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Madison, WI 53717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(608) 824-2800</w:t>
      </w:r>
    </w:p>
    <w:p>
      <w:pPr>
        <w:pStyle w:val="TextBody"/>
        <w:bidi w:val="0"/>
        <w:spacing w:before="60" w:after="60"/>
        <w:ind w:left="0" w:right="0" w:firstLine="360"/>
        <w:jc w:val="center"/>
        <w:rPr>
          <w:bdr w:val="single" w:sz="8" w:space="1" w:color="000000"/>
        </w:rPr>
      </w:pPr>
      <w:r>
        <w:rPr>
          <w:bdr w:val="single" w:sz="8" w:space="1" w:color="000000"/>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 From time to time after the effective date of this registration statement.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360"/>
        <w:jc w:val="left"/>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5810"/>
        <w:gridCol w:w="2510"/>
      </w:tblGrid>
      <w:tr>
        <w:trPr/>
        <w:tc>
          <w:tcPr>
            <w:tcW w:w="5810" w:type="dxa"/>
            <w:tcBorders/>
            <w:vAlign w:val="center"/>
          </w:tcPr>
          <w:p>
            <w:pPr>
              <w:pStyle w:val="TableContents"/>
              <w:bidi w:val="0"/>
              <w:spacing w:before="0" w:after="283"/>
              <w:ind w:left="0" w:right="0" w:hanging="0"/>
              <w:jc w:val="left"/>
              <w:rPr>
                <w:sz w:val="20"/>
              </w:rPr>
            </w:pPr>
            <w:r>
              <w:rPr>
                <w:sz w:val="20"/>
              </w:rPr>
              <w:t>Large accelerated filer  ☐</w:t>
            </w:r>
          </w:p>
        </w:tc>
        <w:tc>
          <w:tcPr>
            <w:tcW w:w="2510" w:type="dxa"/>
            <w:tcBorders/>
            <w:vAlign w:val="center"/>
          </w:tcPr>
          <w:p>
            <w:pPr>
              <w:pStyle w:val="TableContents"/>
              <w:bidi w:val="0"/>
              <w:spacing w:before="0" w:after="283"/>
              <w:ind w:left="0" w:right="0" w:hanging="0"/>
              <w:jc w:val="left"/>
              <w:rPr>
                <w:sz w:val="20"/>
              </w:rPr>
            </w:pPr>
            <w:r>
              <w:rPr>
                <w:sz w:val="20"/>
              </w:rPr>
              <w:t>Accelerated filer  ☒</w:t>
            </w:r>
          </w:p>
        </w:tc>
      </w:tr>
      <w:tr>
        <w:trPr/>
        <w:tc>
          <w:tcPr>
            <w:tcW w:w="5810" w:type="dxa"/>
            <w:tcBorders/>
            <w:vAlign w:val="center"/>
          </w:tcPr>
          <w:p>
            <w:pPr>
              <w:pStyle w:val="TableContents"/>
              <w:bidi w:val="0"/>
              <w:spacing w:before="0" w:after="283"/>
              <w:ind w:left="0" w:right="0" w:hanging="0"/>
              <w:jc w:val="left"/>
              <w:rPr/>
            </w:pPr>
            <w:r>
              <w:rPr/>
              <w:t> </w:t>
            </w:r>
          </w:p>
        </w:tc>
        <w:tc>
          <w:tcPr>
            <w:tcW w:w="2510" w:type="dxa"/>
            <w:tcBorders/>
            <w:vAlign w:val="center"/>
          </w:tcPr>
          <w:p>
            <w:pPr>
              <w:pStyle w:val="TableContents"/>
              <w:bidi w:val="0"/>
              <w:spacing w:before="0" w:after="283"/>
              <w:ind w:left="0" w:right="0" w:hanging="0"/>
              <w:jc w:val="left"/>
              <w:rPr/>
            </w:pPr>
            <w:r>
              <w:rPr/>
              <w:t> </w:t>
            </w:r>
          </w:p>
        </w:tc>
      </w:tr>
      <w:tr>
        <w:trPr/>
        <w:tc>
          <w:tcPr>
            <w:tcW w:w="5810" w:type="dxa"/>
            <w:tcBorders/>
            <w:vAlign w:val="center"/>
          </w:tcPr>
          <w:p>
            <w:pPr>
              <w:pStyle w:val="TableContents"/>
              <w:bidi w:val="0"/>
              <w:spacing w:before="0" w:after="283"/>
              <w:ind w:left="0" w:right="0" w:hanging="0"/>
              <w:jc w:val="left"/>
              <w:rPr>
                <w:sz w:val="20"/>
              </w:rPr>
            </w:pPr>
            <w:r>
              <w:rPr>
                <w:sz w:val="20"/>
              </w:rPr>
              <w:t>Non-accelerated filer  ☐  (Do not check if a smaller reporting company)</w:t>
            </w:r>
          </w:p>
        </w:tc>
        <w:tc>
          <w:tcPr>
            <w:tcW w:w="2510" w:type="dxa"/>
            <w:tcBorders/>
            <w:vAlign w:val="center"/>
          </w:tcPr>
          <w:p>
            <w:pPr>
              <w:pStyle w:val="TableContents"/>
              <w:bidi w:val="0"/>
              <w:spacing w:before="0" w:after="283"/>
              <w:ind w:left="0" w:right="0" w:hanging="0"/>
              <w:jc w:val="left"/>
              <w:rPr>
                <w:sz w:val="20"/>
              </w:rPr>
            </w:pPr>
            <w:r>
              <w:rPr>
                <w:sz w:val="20"/>
              </w:rPr>
              <w:t>Smaller reporting company  ☒</w:t>
            </w:r>
          </w:p>
        </w:tc>
      </w:tr>
      <w:tr>
        <w:trPr/>
        <w:tc>
          <w:tcPr>
            <w:tcW w:w="5810" w:type="dxa"/>
            <w:tcBorders/>
            <w:vAlign w:val="center"/>
          </w:tcPr>
          <w:p>
            <w:pPr>
              <w:pStyle w:val="TableContents"/>
              <w:bidi w:val="0"/>
              <w:spacing w:before="0" w:after="283"/>
              <w:ind w:left="0" w:right="0" w:hanging="0"/>
              <w:jc w:val="left"/>
              <w:rPr/>
            </w:pPr>
            <w:r>
              <w:rPr/>
              <w:t> </w:t>
            </w:r>
          </w:p>
        </w:tc>
        <w:tc>
          <w:tcPr>
            <w:tcW w:w="2510" w:type="dxa"/>
            <w:tcBorders/>
            <w:vAlign w:val="center"/>
          </w:tcPr>
          <w:p>
            <w:pPr>
              <w:pStyle w:val="TableContents"/>
              <w:bidi w:val="0"/>
              <w:spacing w:before="0" w:after="283"/>
              <w:jc w:val="left"/>
              <w:rPr/>
            </w:pPr>
            <w:r>
              <w:rPr/>
              <w:t> </w:t>
            </w:r>
          </w:p>
        </w:tc>
      </w:tr>
      <w:tr>
        <w:trPr/>
        <w:tc>
          <w:tcPr>
            <w:tcW w:w="5810" w:type="dxa"/>
            <w:tcBorders/>
            <w:vAlign w:val="center"/>
          </w:tcPr>
          <w:p>
            <w:pPr>
              <w:pStyle w:val="TableContents"/>
              <w:bidi w:val="0"/>
              <w:spacing w:before="0" w:after="283"/>
              <w:jc w:val="left"/>
              <w:rPr>
                <w:sz w:val="20"/>
              </w:rPr>
            </w:pPr>
            <w:r>
              <w:rPr>
                <w:sz w:val="20"/>
              </w:rPr>
              <w:t>Emerging growth company  ☐</w:t>
            </w:r>
          </w:p>
        </w:tc>
        <w:tc>
          <w:tcPr>
            <w:tcW w:w="251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color w:val="CC062A"/>
          <w:sz w:val="20"/>
        </w:rPr>
      </w:pPr>
      <w:r>
        <w:rPr>
          <w:rFonts w:ascii="Times New Roman;Times;Serif" w:hAnsi="Times New Roman;Times;Serif"/>
          <w:b/>
          <w:i w:val="false"/>
          <w:caps w:val="false"/>
          <w:smallCaps w:val="false"/>
          <w:color w:val="CC062A"/>
          <w:sz w:val="20"/>
        </w:rPr>
        <w:t>The information in this prospectus is not complete and may be changed. These securities may not be sold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pStyle w:val="TextBody"/>
        <w:bidi w:val="0"/>
        <w:spacing w:before="0" w:after="0"/>
        <w:ind w:left="0" w:right="0" w:hanging="0"/>
        <w:jc w:val="left"/>
        <w:rPr>
          <w:caps w:val="false"/>
          <w:smallCaps w:val="false"/>
          <w:color w:val="CC062A"/>
        </w:rPr>
      </w:pPr>
      <w:r>
        <w:rPr>
          <w:caps w:val="false"/>
          <w:smallCaps w:val="false"/>
          <w:color w:val="CC062A"/>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CC062A"/>
          <w:sz w:val="20"/>
        </w:rPr>
      </w:pPr>
      <w:r>
        <w:rPr>
          <w:rFonts w:ascii="Times New Roman;Times;Serif" w:hAnsi="Times New Roman;Times;Serif"/>
          <w:b/>
          <w:i w:val="false"/>
          <w:caps w:val="false"/>
          <w:smallCaps w:val="false"/>
          <w:color w:val="CC062A"/>
          <w:sz w:val="20"/>
        </w:rPr>
        <w:t>Subject to completion, dated September 9, 2026</w:t>
      </w:r>
      <w:r>
        <w:rPr>
          <w:rFonts w:ascii="Times New Roman;Times;Serif" w:hAnsi="Times New Roman;Times;Serif"/>
          <w:b w:val="false"/>
          <w:i w:val="false"/>
          <w:caps w:val="false"/>
          <w:smallCaps w:val="false"/>
          <w:color w:val="CC062A"/>
          <w:sz w:val="20"/>
        </w:rPr>
        <w:t xml:space="preserve"> </w:t>
      </w:r>
    </w:p>
    <w:p>
      <w:pPr>
        <w:pStyle w:val="TextBody"/>
        <w:bidi w:val="0"/>
        <w:spacing w:before="0" w:after="0"/>
        <w:ind w:left="0" w:right="0" w:hanging="0"/>
        <w:jc w:val="center"/>
        <w:rPr>
          <w:caps w:val="false"/>
          <w:smallCaps w:val="false"/>
          <w:color w:val="CC062A"/>
        </w:rPr>
      </w:pPr>
      <w:r>
        <w:rPr>
          <w:caps w:val="false"/>
          <w:smallCaps w:val="false"/>
          <w:color w:val="CC062A"/>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Accuray Incorporated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6,834,308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covers the offer and resale by the selling stockholders (the “Selling Stockholders”) identified herein, from time to time in one or more offerings, of up to 6,834,308 shares of our common stock, par value $0.001 per share, which consists of (i) an aggregate of 2,990,010 shares of our common stock issuable upon exercise of warrants (the “Super Premium Warrants”) that we issued to the Selling Stockholders pursuant to the Financing Agreement (as defined below), (ii) an aggregate of 2,135,721 shares of our common stock issuable upon exercise of warrants (the “Premium Warrants”) that we issued to the Selling Stockholders pursuant to the Financing Agreement and (iii) an aggregate of 1,708,577 shares of our common stock issuable upon exercise of warrants (the “Penny Warrants” and, together with the Super Premium Warrants and the Premium Warrants, the “Warrants”) that we issued to the Selling Stockholders pursuant to the Financing Agreement.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6, 2025, we entered into a senior secured financing agreement (as amended by Amendment No. 1 to the Financing Agreement, dated as of December 12, 2025 (“Amendment No. 1”), as further amended by Amendment No. 2 to the Financing Agreement, dated as of December 15, 2025 (“Amendment No. 2”), as further amended by Amendment No. 3 to the Financing Agreement, dated as of July 29, 2026 (“Amendment No. 3”), and as further amended, restated, amended and restated, modified or otherwise supplemented, the “Financing Agreement”) by and among Accuray Incorporated, as borrower, certain lenders from time to time party thereto, TCW Asset Management Company LLC, as collateral agent and administrative agent for the lenders, Wingspire Capital LLC, as servicing agent and certain other parties thereto, pursuant to which, among other facilities provided thereunder, the lenders provided a $18.25 million delayed draw term loan facility (the “the DDTL Facility”).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19, 2026, we drew $18.25 million from the DDTL Facility (the “DDTL Funding”). In connection with the DDTL Funding, we issued to the Selling Stockholders (i) the Super Premium Warrants at an exercise price of $1.50 per share, (ii) the Premium Warrants at an exercise price of $1.25 per share and (iii) the Penny Warrants at an exercise price of $0.01 per share. The exercise period for the Super Premium Warrants and the Premium Warrants begins on November 19, 2027 and ends on May 18, 2033, and the exercise period for the Penny Warrants began on May 18, 2026 and ends on May 18, 2033. Pursuant to the terms of the Warrants, we agreed to provide customary shelf registration rights to the Selling Stockholders covering the resale of the shares of our common stock issuable upon exercise of the Warrants.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shares of our common stock under this prospectus and will not receive any proceeds from the sale of shares of common stock by the Selling Stockholders. However, we will receive proceeds from any cash exercise of the Warrants. We have agreed to pay certain expenses related to the registration of the offer and sale of the shares of common stock pursuant to the registration statement of which this prospectus forms a part. The Selling Stockholders will bear all commissions and discounts, if any, attributable to the sale of the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common stock was previously listed on The Nasdaq Global Select Market under the symbol “ARAY.” Effective August 6, 2026, we transferred the listing of our common stock from The Nasdaq Global Select Market to Nasdaq Capital Markets, where we continue to trade under the same symbol “ARAY.” On September 8, 2026, the last reported sale price of our common stock on Nasdaq Capital Markets was $0.26 per share.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amend or supplement this prospectus from time to time by filing amendments or supplements as required. You should read the entire prospectus (including the documents incorporated by reference herein) and any amendments or supplements carefully before you make your investment decision.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Investing in our common stock involves a high degree of risk. You should review carefully the risks and uncertainties described under the heading “Risk Factors” beginning on page 4 of this prospectus, and under similar headings in the documents that are incorporated by reference into this prospectus.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bidi w:val="0"/>
        <w:spacing w:before="0" w:after="0"/>
        <w:ind w:left="0" w:right="0" w:hanging="0"/>
        <w:jc w:val="right"/>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5495"/>
        <w:gridCol w:w="275"/>
      </w:tblGrid>
      <w:tr>
        <w:trPr/>
        <w:tc>
          <w:tcPr>
            <w:tcW w:w="5495" w:type="dxa"/>
            <w:tcBorders/>
            <w:vAlign w:val="center"/>
          </w:tcPr>
          <w:p>
            <w:pPr>
              <w:pStyle w:val="TableContents"/>
              <w:bidi w:val="0"/>
              <w:spacing w:before="0" w:after="283"/>
              <w:jc w:val="left"/>
              <w:rPr/>
            </w:pPr>
            <w:hyperlink w:anchor="a_001">
              <w:r>
                <w:rPr>
                  <w:rStyle w:val="InternetLink"/>
                </w:rPr>
                <w:t>About this Prospectus</w:t>
              </w:r>
            </w:hyperlink>
          </w:p>
        </w:tc>
        <w:tc>
          <w:tcPr>
            <w:tcW w:w="275" w:type="dxa"/>
            <w:tcBorders/>
            <w:vAlign w:val="center"/>
          </w:tcPr>
          <w:p>
            <w:pPr>
              <w:pStyle w:val="TableContents"/>
              <w:bidi w:val="0"/>
              <w:spacing w:before="0" w:after="283"/>
              <w:jc w:val="right"/>
              <w:rPr/>
            </w:pPr>
            <w:hyperlink w:anchor="a_001">
              <w:r>
                <w:rPr>
                  <w:rStyle w:val="InternetLink"/>
                </w:rPr>
                <w:t>1</w:t>
              </w:r>
            </w:hyperlink>
          </w:p>
        </w:tc>
      </w:tr>
      <w:tr>
        <w:trPr/>
        <w:tc>
          <w:tcPr>
            <w:tcW w:w="5495" w:type="dxa"/>
            <w:tcBorders/>
            <w:vAlign w:val="center"/>
          </w:tcPr>
          <w:p>
            <w:pPr>
              <w:pStyle w:val="TableContents"/>
              <w:bidi w:val="0"/>
              <w:spacing w:before="0" w:after="283"/>
              <w:jc w:val="left"/>
              <w:rPr/>
            </w:pPr>
            <w:hyperlink w:anchor="a_002">
              <w:r>
                <w:rPr>
                  <w:rStyle w:val="InternetLink"/>
                </w:rPr>
                <w:t>Trademarks</w:t>
              </w:r>
            </w:hyperlink>
          </w:p>
        </w:tc>
        <w:tc>
          <w:tcPr>
            <w:tcW w:w="275" w:type="dxa"/>
            <w:tcBorders/>
            <w:vAlign w:val="center"/>
          </w:tcPr>
          <w:p>
            <w:pPr>
              <w:pStyle w:val="TableContents"/>
              <w:bidi w:val="0"/>
              <w:spacing w:before="0" w:after="283"/>
              <w:jc w:val="right"/>
              <w:rPr/>
            </w:pPr>
            <w:hyperlink w:anchor="a_002">
              <w:r>
                <w:rPr>
                  <w:rStyle w:val="InternetLink"/>
                </w:rPr>
                <w:t>1</w:t>
              </w:r>
            </w:hyperlink>
          </w:p>
        </w:tc>
      </w:tr>
      <w:tr>
        <w:trPr/>
        <w:tc>
          <w:tcPr>
            <w:tcW w:w="5495" w:type="dxa"/>
            <w:tcBorders/>
            <w:vAlign w:val="center"/>
          </w:tcPr>
          <w:p>
            <w:pPr>
              <w:pStyle w:val="TableContents"/>
              <w:bidi w:val="0"/>
              <w:spacing w:before="0" w:after="283"/>
              <w:jc w:val="left"/>
              <w:rPr/>
            </w:pPr>
            <w:hyperlink w:anchor="a_003">
              <w:r>
                <w:rPr>
                  <w:rStyle w:val="InternetLink"/>
                </w:rPr>
                <w:t>Cautionary Note Regarding Forward-Looking Statements</w:t>
              </w:r>
            </w:hyperlink>
          </w:p>
        </w:tc>
        <w:tc>
          <w:tcPr>
            <w:tcW w:w="275" w:type="dxa"/>
            <w:tcBorders/>
            <w:vAlign w:val="center"/>
          </w:tcPr>
          <w:p>
            <w:pPr>
              <w:pStyle w:val="TableContents"/>
              <w:bidi w:val="0"/>
              <w:spacing w:before="0" w:after="283"/>
              <w:jc w:val="right"/>
              <w:rPr/>
            </w:pPr>
            <w:hyperlink w:anchor="a_003">
              <w:r>
                <w:rPr>
                  <w:rStyle w:val="InternetLink"/>
                </w:rPr>
                <w:t>2</w:t>
              </w:r>
            </w:hyperlink>
          </w:p>
        </w:tc>
      </w:tr>
      <w:tr>
        <w:trPr/>
        <w:tc>
          <w:tcPr>
            <w:tcW w:w="5495" w:type="dxa"/>
            <w:tcBorders/>
            <w:vAlign w:val="center"/>
          </w:tcPr>
          <w:p>
            <w:pPr>
              <w:pStyle w:val="TableContents"/>
              <w:bidi w:val="0"/>
              <w:spacing w:before="0" w:after="283"/>
              <w:jc w:val="left"/>
              <w:rPr/>
            </w:pPr>
            <w:hyperlink w:anchor="a_004">
              <w:r>
                <w:rPr>
                  <w:rStyle w:val="InternetLink"/>
                </w:rPr>
                <w:t>Prospectus Summary</w:t>
              </w:r>
            </w:hyperlink>
          </w:p>
        </w:tc>
        <w:tc>
          <w:tcPr>
            <w:tcW w:w="275" w:type="dxa"/>
            <w:tcBorders/>
            <w:vAlign w:val="center"/>
          </w:tcPr>
          <w:p>
            <w:pPr>
              <w:pStyle w:val="TableContents"/>
              <w:bidi w:val="0"/>
              <w:spacing w:before="0" w:after="283"/>
              <w:jc w:val="right"/>
              <w:rPr/>
            </w:pPr>
            <w:hyperlink w:anchor="a_004">
              <w:r>
                <w:rPr>
                  <w:rStyle w:val="InternetLink"/>
                </w:rPr>
                <w:t>3</w:t>
              </w:r>
            </w:hyperlink>
          </w:p>
        </w:tc>
      </w:tr>
      <w:tr>
        <w:trPr/>
        <w:tc>
          <w:tcPr>
            <w:tcW w:w="5495" w:type="dxa"/>
            <w:tcBorders/>
            <w:vAlign w:val="center"/>
          </w:tcPr>
          <w:p>
            <w:pPr>
              <w:pStyle w:val="TableContents"/>
              <w:bidi w:val="0"/>
              <w:spacing w:before="0" w:after="283"/>
              <w:jc w:val="left"/>
              <w:rPr/>
            </w:pPr>
            <w:hyperlink w:anchor="a_005">
              <w:r>
                <w:rPr>
                  <w:rStyle w:val="InternetLink"/>
                </w:rPr>
                <w:t>Risk Factors</w:t>
              </w:r>
            </w:hyperlink>
          </w:p>
        </w:tc>
        <w:tc>
          <w:tcPr>
            <w:tcW w:w="275" w:type="dxa"/>
            <w:tcBorders/>
            <w:vAlign w:val="center"/>
          </w:tcPr>
          <w:p>
            <w:pPr>
              <w:pStyle w:val="TableContents"/>
              <w:bidi w:val="0"/>
              <w:spacing w:before="0" w:after="283"/>
              <w:jc w:val="right"/>
              <w:rPr/>
            </w:pPr>
            <w:hyperlink w:anchor="a_005">
              <w:r>
                <w:rPr>
                  <w:rStyle w:val="InternetLink"/>
                </w:rPr>
                <w:t>4</w:t>
              </w:r>
            </w:hyperlink>
          </w:p>
        </w:tc>
      </w:tr>
      <w:tr>
        <w:trPr/>
        <w:tc>
          <w:tcPr>
            <w:tcW w:w="5495" w:type="dxa"/>
            <w:tcBorders/>
            <w:vAlign w:val="center"/>
          </w:tcPr>
          <w:p>
            <w:pPr>
              <w:pStyle w:val="TableContents"/>
              <w:bidi w:val="0"/>
              <w:spacing w:before="0" w:after="283"/>
              <w:jc w:val="left"/>
              <w:rPr/>
            </w:pPr>
            <w:hyperlink w:anchor="a_006">
              <w:r>
                <w:rPr>
                  <w:rStyle w:val="InternetLink"/>
                </w:rPr>
                <w:t>Use of Proceeds</w:t>
              </w:r>
            </w:hyperlink>
          </w:p>
        </w:tc>
        <w:tc>
          <w:tcPr>
            <w:tcW w:w="275" w:type="dxa"/>
            <w:tcBorders/>
            <w:vAlign w:val="center"/>
          </w:tcPr>
          <w:p>
            <w:pPr>
              <w:pStyle w:val="TableContents"/>
              <w:bidi w:val="0"/>
              <w:spacing w:before="0" w:after="283"/>
              <w:jc w:val="right"/>
              <w:rPr/>
            </w:pPr>
            <w:hyperlink w:anchor="a_006">
              <w:r>
                <w:rPr>
                  <w:rStyle w:val="InternetLink"/>
                </w:rPr>
                <w:t>5</w:t>
              </w:r>
            </w:hyperlink>
          </w:p>
        </w:tc>
      </w:tr>
      <w:tr>
        <w:trPr/>
        <w:tc>
          <w:tcPr>
            <w:tcW w:w="5495" w:type="dxa"/>
            <w:tcBorders/>
            <w:vAlign w:val="center"/>
          </w:tcPr>
          <w:p>
            <w:pPr>
              <w:pStyle w:val="TableContents"/>
              <w:bidi w:val="0"/>
              <w:spacing w:before="0" w:after="283"/>
              <w:jc w:val="left"/>
              <w:rPr/>
            </w:pPr>
            <w:hyperlink w:anchor="a_007">
              <w:r>
                <w:rPr>
                  <w:rStyle w:val="InternetLink"/>
                </w:rPr>
                <w:t>Description of Securities</w:t>
              </w:r>
            </w:hyperlink>
          </w:p>
        </w:tc>
        <w:tc>
          <w:tcPr>
            <w:tcW w:w="275" w:type="dxa"/>
            <w:tcBorders/>
            <w:vAlign w:val="center"/>
          </w:tcPr>
          <w:p>
            <w:pPr>
              <w:pStyle w:val="TableContents"/>
              <w:bidi w:val="0"/>
              <w:spacing w:before="0" w:after="283"/>
              <w:jc w:val="right"/>
              <w:rPr/>
            </w:pPr>
            <w:hyperlink w:anchor="a_007">
              <w:r>
                <w:rPr>
                  <w:rStyle w:val="InternetLink"/>
                </w:rPr>
                <w:t>6</w:t>
              </w:r>
            </w:hyperlink>
          </w:p>
        </w:tc>
      </w:tr>
      <w:tr>
        <w:trPr/>
        <w:tc>
          <w:tcPr>
            <w:tcW w:w="5495" w:type="dxa"/>
            <w:tcBorders/>
            <w:vAlign w:val="center"/>
          </w:tcPr>
          <w:p>
            <w:pPr>
              <w:pStyle w:val="TableContents"/>
              <w:bidi w:val="0"/>
              <w:spacing w:before="0" w:after="283"/>
              <w:jc w:val="left"/>
              <w:rPr/>
            </w:pPr>
            <w:hyperlink w:anchor="a_008">
              <w:r>
                <w:rPr>
                  <w:rStyle w:val="InternetLink"/>
                </w:rPr>
                <w:t>Selling Stockholders.</w:t>
              </w:r>
            </w:hyperlink>
          </w:p>
        </w:tc>
        <w:tc>
          <w:tcPr>
            <w:tcW w:w="275" w:type="dxa"/>
            <w:tcBorders/>
            <w:vAlign w:val="center"/>
          </w:tcPr>
          <w:p>
            <w:pPr>
              <w:pStyle w:val="TableContents"/>
              <w:bidi w:val="0"/>
              <w:spacing w:before="0" w:after="283"/>
              <w:jc w:val="right"/>
              <w:rPr/>
            </w:pPr>
            <w:hyperlink w:anchor="a_008">
              <w:r>
                <w:rPr>
                  <w:rStyle w:val="InternetLink"/>
                </w:rPr>
                <w:t>11</w:t>
              </w:r>
            </w:hyperlink>
          </w:p>
        </w:tc>
      </w:tr>
      <w:tr>
        <w:trPr/>
        <w:tc>
          <w:tcPr>
            <w:tcW w:w="5495" w:type="dxa"/>
            <w:tcBorders/>
            <w:vAlign w:val="center"/>
          </w:tcPr>
          <w:p>
            <w:pPr>
              <w:pStyle w:val="TableContents"/>
              <w:bidi w:val="0"/>
              <w:spacing w:before="0" w:after="283"/>
              <w:jc w:val="left"/>
              <w:rPr/>
            </w:pPr>
            <w:hyperlink w:anchor="a_009">
              <w:r>
                <w:rPr>
                  <w:rStyle w:val="InternetLink"/>
                </w:rPr>
                <w:t>Plan of Distribution</w:t>
              </w:r>
            </w:hyperlink>
          </w:p>
        </w:tc>
        <w:tc>
          <w:tcPr>
            <w:tcW w:w="275" w:type="dxa"/>
            <w:tcBorders/>
            <w:vAlign w:val="center"/>
          </w:tcPr>
          <w:p>
            <w:pPr>
              <w:pStyle w:val="TableContents"/>
              <w:bidi w:val="0"/>
              <w:spacing w:before="0" w:after="283"/>
              <w:jc w:val="right"/>
              <w:rPr/>
            </w:pPr>
            <w:hyperlink w:anchor="a_009">
              <w:r>
                <w:rPr>
                  <w:rStyle w:val="InternetLink"/>
                </w:rPr>
                <w:t>15</w:t>
              </w:r>
            </w:hyperlink>
          </w:p>
        </w:tc>
      </w:tr>
      <w:tr>
        <w:trPr/>
        <w:tc>
          <w:tcPr>
            <w:tcW w:w="5495" w:type="dxa"/>
            <w:tcBorders/>
            <w:vAlign w:val="center"/>
          </w:tcPr>
          <w:p>
            <w:pPr>
              <w:pStyle w:val="TableContents"/>
              <w:bidi w:val="0"/>
              <w:spacing w:before="0" w:after="283"/>
              <w:jc w:val="left"/>
              <w:rPr/>
            </w:pPr>
            <w:hyperlink w:anchor="a_010">
              <w:r>
                <w:rPr>
                  <w:rStyle w:val="InternetLink"/>
                </w:rPr>
                <w:t>Legal Matters</w:t>
              </w:r>
            </w:hyperlink>
          </w:p>
        </w:tc>
        <w:tc>
          <w:tcPr>
            <w:tcW w:w="275" w:type="dxa"/>
            <w:tcBorders/>
            <w:vAlign w:val="center"/>
          </w:tcPr>
          <w:p>
            <w:pPr>
              <w:pStyle w:val="TableContents"/>
              <w:bidi w:val="0"/>
              <w:spacing w:before="0" w:after="283"/>
              <w:jc w:val="right"/>
              <w:rPr/>
            </w:pPr>
            <w:hyperlink w:anchor="a_010">
              <w:r>
                <w:rPr>
                  <w:rStyle w:val="InternetLink"/>
                </w:rPr>
                <w:t>18</w:t>
              </w:r>
            </w:hyperlink>
          </w:p>
        </w:tc>
      </w:tr>
      <w:tr>
        <w:trPr/>
        <w:tc>
          <w:tcPr>
            <w:tcW w:w="5495" w:type="dxa"/>
            <w:tcBorders/>
            <w:vAlign w:val="center"/>
          </w:tcPr>
          <w:p>
            <w:pPr>
              <w:pStyle w:val="TableContents"/>
              <w:bidi w:val="0"/>
              <w:spacing w:before="0" w:after="283"/>
              <w:jc w:val="left"/>
              <w:rPr/>
            </w:pPr>
            <w:hyperlink w:anchor="a_011">
              <w:r>
                <w:rPr>
                  <w:rStyle w:val="InternetLink"/>
                </w:rPr>
                <w:t>Experts</w:t>
              </w:r>
            </w:hyperlink>
          </w:p>
        </w:tc>
        <w:tc>
          <w:tcPr>
            <w:tcW w:w="275" w:type="dxa"/>
            <w:tcBorders/>
            <w:vAlign w:val="center"/>
          </w:tcPr>
          <w:p>
            <w:pPr>
              <w:pStyle w:val="TableContents"/>
              <w:bidi w:val="0"/>
              <w:spacing w:before="0" w:after="283"/>
              <w:jc w:val="right"/>
              <w:rPr/>
            </w:pPr>
            <w:hyperlink w:anchor="a_011">
              <w:r>
                <w:rPr>
                  <w:rStyle w:val="InternetLink"/>
                </w:rPr>
                <w:t>18</w:t>
              </w:r>
            </w:hyperlink>
          </w:p>
        </w:tc>
      </w:tr>
      <w:tr>
        <w:trPr/>
        <w:tc>
          <w:tcPr>
            <w:tcW w:w="5495" w:type="dxa"/>
            <w:tcBorders/>
            <w:vAlign w:val="center"/>
          </w:tcPr>
          <w:p>
            <w:pPr>
              <w:pStyle w:val="TableContents"/>
              <w:bidi w:val="0"/>
              <w:spacing w:before="0" w:after="283"/>
              <w:jc w:val="left"/>
              <w:rPr/>
            </w:pPr>
            <w:hyperlink w:anchor="a_012">
              <w:r>
                <w:rPr>
                  <w:rStyle w:val="InternetLink"/>
                </w:rPr>
                <w:t>Where You Can Find More Information</w:t>
              </w:r>
            </w:hyperlink>
          </w:p>
        </w:tc>
        <w:tc>
          <w:tcPr>
            <w:tcW w:w="275" w:type="dxa"/>
            <w:tcBorders/>
            <w:vAlign w:val="center"/>
          </w:tcPr>
          <w:p>
            <w:pPr>
              <w:pStyle w:val="TableContents"/>
              <w:bidi w:val="0"/>
              <w:spacing w:before="0" w:after="283"/>
              <w:jc w:val="right"/>
              <w:rPr/>
            </w:pPr>
            <w:hyperlink w:anchor="a_012">
              <w:r>
                <w:rPr>
                  <w:rStyle w:val="InternetLink"/>
                </w:rPr>
                <w:t>18</w:t>
              </w:r>
            </w:hyperlink>
          </w:p>
        </w:tc>
      </w:tr>
      <w:tr>
        <w:trPr/>
        <w:tc>
          <w:tcPr>
            <w:tcW w:w="5495" w:type="dxa"/>
            <w:tcBorders/>
            <w:vAlign w:val="center"/>
          </w:tcPr>
          <w:p>
            <w:pPr>
              <w:pStyle w:val="TableContents"/>
              <w:bidi w:val="0"/>
              <w:spacing w:before="0" w:after="283"/>
              <w:jc w:val="left"/>
              <w:rPr/>
            </w:pPr>
            <w:hyperlink w:anchor="a_013">
              <w:r>
                <w:rPr>
                  <w:rStyle w:val="InternetLink"/>
                </w:rPr>
                <w:t>Information Incorporated by Reference</w:t>
              </w:r>
            </w:hyperlink>
          </w:p>
        </w:tc>
        <w:tc>
          <w:tcPr>
            <w:tcW w:w="275" w:type="dxa"/>
            <w:tcBorders/>
            <w:vAlign w:val="center"/>
          </w:tcPr>
          <w:p>
            <w:pPr>
              <w:pStyle w:val="TableContents"/>
              <w:bidi w:val="0"/>
              <w:spacing w:before="0" w:after="283"/>
              <w:jc w:val="right"/>
              <w:rPr/>
            </w:pPr>
            <w:hyperlink w:anchor="a_013">
              <w:r>
                <w:rPr>
                  <w:rStyle w:val="InternetLink"/>
                </w:rPr>
                <w:t>18</w:t>
              </w:r>
            </w:hyperlink>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 w:name="a_001"/>
      <w:bookmarkEnd w:id="2"/>
      <w:r>
        <w:rPr>
          <w:rFonts w:ascii="Times New Roman;Times;Serif" w:hAnsi="Times New Roman;Times;Serif"/>
          <w:b/>
          <w:i w:val="false"/>
          <w:caps/>
          <w:sz w:val="20"/>
        </w:rPr>
        <w:t>About this Prospectus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Securities and Exchange Commission (the “SEC”), under the Securities Act of 1933, as amended (“Securities Act”). Under this shelf registration process, the Selling Stockholders named in this prospectus may offer or sell shares of our common stock in one or more offerings from time to time. Each time the Selling Stockholders named in this prospectus (or in any supplement to this prospectus) sell shares of our common stock under the registration statement of which this prospectus is a part, such Selling Stockholders must provide a copy of this prospectus and any applicable prospectus supplement to a potential purchaser, as required by law.</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certain circumstances, a prospectus supplement may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You should read both this prospectus and any prospectus supplement, including all documents incorporated herein or therein by reference, together with additional information described under the headings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Information Incorporated by Reference.</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Stockholders have authorized any other person to provide you with information other than the information contained or incorporated by reference in this prospectus and any accompanying prospectus supplement. If anyone provides you with different or inconsistent information, you should not rely on it. Neither we nor any of the Selling Stockholders will make an offer to sell our common stock in any jurisdiction where the offer or sale is not permitted. You should assume that the information appearing in this prospectus and any prospectus supplement is accurate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indicates, the terms “Accuray,” “Company,” “Registrant,” “we,” “us,” and “our” as used in this prospectus refer to Accuray Incorporated and our subsidiaries, and the term “common stock” refers to our common stock, par value $0.001 per share. The phrase “this prospectus” refers to this prospectus and any applicable prospectus supplement, unless the context otherwise requires.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 w:name="a_002"/>
      <w:bookmarkEnd w:id="3"/>
      <w:r>
        <w:rPr>
          <w:rFonts w:ascii="Times New Roman;Times;Serif" w:hAnsi="Times New Roman;Times;Serif"/>
          <w:b/>
          <w:i w:val="false"/>
          <w:caps/>
          <w:sz w:val="20"/>
        </w:rPr>
        <w:t>Trademarks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document or the documents incorporated by reference herein contain references to trademarks and service marks belonging to us or other entities. Solely for convenience, trademarks and trade names referred to in this prospectus may appear without the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or ™ symbols, but such references are not intended to indicate, in any way, that the applicable licensor will not assert, to the fullest extent under applicable law, its rights to these trademarks and trade names. We do not intend the use or display of other companies’ trade names, trademarks or service marks to imply a relationship with, or endorsement or sponsorship of it by, any other companies.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4" w:name="a_003"/>
      <w:bookmarkEnd w:id="4"/>
      <w:r>
        <w:rPr>
          <w:rFonts w:ascii="Times New Roman;Times;Serif" w:hAnsi="Times New Roman;Times;Serif"/>
          <w:b/>
          <w:i w:val="false"/>
          <w:caps/>
          <w:sz w:val="20"/>
        </w:rPr>
        <w:t>Cautionary Note Regarding Forward-Looking Statements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certain information incorporated herein by reference contain forward-looking statements within the “safe harbor” provisions of the Private Securities Litigation Reform Act of 1995. All statements included or incorporated by reference in this registration statement, other than statements that are purely historical, are forward-looking statements. Words such as “anticipates,” “believes,” “estimates,” “expects,” “intends,” “plans,” “predicts,” “projects,” “may,” “will be,” “will continue,” “will likely result,” and similar expressions also identify forward-looking statements. Those statements appear in this prospectus and the documents incorporated herein and therein by reference, particularly in the sections titled “Risk Factors” and “Management’s Discussion and Analysis of Financial Condition and Results of Operations” and “Business,” and include statements regarding the intent, belief or current expectations of our management that are subject to known and unknown risks, uncertainties and assumptions, and other factors that could cause actual results and the timing of certain events to differ materially from future results expressed or implied by such forward-looking statements. We refer you to the risks discussed in our other filings with the SEC incorporated by reference herein, which identify important risks and uncertainties that could cause actual results to differ materially from those contained in the forward-looking statements. The discussion of risks and uncertainties set forth in those filings should not be construed as exhaustive and should be read with the other cautionary statements in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beliefs, objectives, intentions and strategies regarding future results are not guarantees of future performance and are subject to risks and uncertainties that could cause actual results to differ materially from results contemplated by our forward-looking statements. We assume no obligation to update any forward-looking statements, whether as a result of new information, future events or otherwise, except as required by applicable law. You are cautioned not to place undue reliance on forward-looking statements, which speak only as of the date of the filing of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bdr w:val="single" w:sz="8" w:space="4" w:color="000000"/>
        </w:rPr>
      </w:pPr>
      <w:bookmarkStart w:id="5" w:name="a_004"/>
      <w:bookmarkEnd w:id="5"/>
      <w:r>
        <w:rPr>
          <w:rFonts w:ascii="Times New Roman;Times;Serif" w:hAnsi="Times New Roman;Times;Serif"/>
          <w:b/>
          <w:i w:val="false"/>
          <w:caps/>
          <w:sz w:val="20"/>
          <w:bdr w:val="single" w:sz="8" w:space="4" w:color="000000"/>
        </w:rPr>
        <w:t>Prospectus summary</w:t>
      </w:r>
    </w:p>
    <w:p>
      <w:pPr>
        <w:pStyle w:val="TextBody"/>
        <w:bidi w:val="0"/>
        <w:spacing w:before="0" w:after="0"/>
        <w:ind w:left="0" w:right="0" w:hanging="0"/>
        <w:jc w:val="center"/>
        <w:rPr>
          <w:caps/>
          <w:bdr w:val="single" w:sz="8" w:space="4" w:color="000000"/>
        </w:rPr>
      </w:pPr>
      <w:r>
        <w:rPr>
          <w:caps/>
          <w:bdr w:val="single" w:sz="8" w:space="4" w:color="000000"/>
        </w:rPr>
        <w:t> </w:t>
      </w:r>
    </w:p>
    <w:p>
      <w:pPr>
        <w:pStyle w:val="TextBody"/>
        <w:bidi w:val="0"/>
        <w:spacing w:before="0" w:after="0"/>
        <w:ind w:left="0" w:right="0" w:firstLine="360"/>
        <w:jc w:val="left"/>
        <w:rPr>
          <w:rFonts w:ascii="Times New Roman;Times;Serif" w:hAnsi="Times New Roman;Times;Serif"/>
          <w:b w:val="false"/>
          <w:i/>
          <w:caps w:val="false"/>
          <w:smallCaps w:val="false"/>
          <w:sz w:val="20"/>
          <w:bdr w:val="single" w:sz="8" w:space="4" w:color="000000"/>
        </w:rPr>
      </w:pPr>
      <w:r>
        <w:rPr>
          <w:rFonts w:ascii="Times New Roman;Times;Serif" w:hAnsi="Times New Roman;Times;Serif"/>
          <w:b w:val="false"/>
          <w:i/>
          <w:caps w:val="false"/>
          <w:smallCaps w:val="false"/>
          <w:sz w:val="20"/>
          <w:bdr w:val="single" w:sz="8" w:space="4" w:color="000000"/>
        </w:rPr>
        <w:t>This summary highlights selected information and does not contain all of the information that is important to you. This summary is qualified in its entirety by the more detailed information included or incorporated by reference in this prospectus. Before making your investment decision with respect to our securities, you should carefully read this entire prospectus, any applicable prospectus supplement and the documents referred to in “Where You Can Find More Information”.</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4" w:color="000000"/>
        </w:rPr>
      </w:pPr>
      <w:r>
        <w:rPr>
          <w:rFonts w:ascii="Times New Roman;Times;Serif" w:hAnsi="Times New Roman;Times;Serif"/>
          <w:b/>
          <w:i w:val="false"/>
          <w:caps w:val="false"/>
          <w:smallCaps w:val="false"/>
          <w:sz w:val="20"/>
          <w:bdr w:val="single" w:sz="8" w:space="4" w:color="000000"/>
        </w:rPr>
        <w:t>The Company</w:t>
      </w:r>
    </w:p>
    <w:p>
      <w:pPr>
        <w:pStyle w:val="TextBody"/>
        <w:bidi w:val="0"/>
        <w:spacing w:before="0" w:after="0"/>
        <w:ind w:left="0" w:right="0" w:hanging="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We are a radiation therapy company that develops, manufactures, sells and supports market-changing solutions that are designed to deliver radiation treatments for even the most complex cases, while making commonly treatable cases even more straightforward, to meet the full spectrum of patient needs. We believe in comparison to conventional linear accelerators, our treatment delivery, planning, and data management solutions provide better accuracy, flexibility, and control; fewer treatments with shorter treatment times; and the technology to expand beyond cancer, making it easier for clinical teams around the world to provide treatments that help patients get back to living their lives, faster.</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Our innovative technologies, the CyberKnife</w:t>
      </w:r>
      <w:r>
        <w:rPr>
          <w:rFonts w:ascii="Times New Roman;Times;Serif" w:hAnsi="Times New Roman;Times;Serif"/>
          <w:b w:val="false"/>
          <w:i w:val="false"/>
          <w:caps w:val="false"/>
          <w:smallCaps w:val="false"/>
          <w:position w:val="7"/>
          <w:sz w:val="16"/>
          <w:sz w:val="20"/>
          <w:bdr w:val="single" w:sz="8" w:space="4" w:color="000000"/>
        </w:rPr>
        <w:t>®</w:t>
      </w:r>
      <w:r>
        <w:rPr>
          <w:rFonts w:ascii="Times New Roman;Times;Serif" w:hAnsi="Times New Roman;Times;Serif"/>
          <w:b w:val="false"/>
          <w:i w:val="false"/>
          <w:caps w:val="false"/>
          <w:smallCaps w:val="false"/>
          <w:sz w:val="20"/>
          <w:bdr w:val="single" w:sz="8" w:space="4" w:color="000000"/>
        </w:rPr>
        <w:t xml:space="preserve"> and TomoTherapy</w:t>
      </w:r>
      <w:r>
        <w:rPr>
          <w:rFonts w:ascii="Times New Roman;Times;Serif" w:hAnsi="Times New Roman;Times;Serif"/>
          <w:b w:val="false"/>
          <w:i w:val="false"/>
          <w:caps w:val="false"/>
          <w:smallCaps w:val="false"/>
          <w:position w:val="7"/>
          <w:sz w:val="16"/>
          <w:sz w:val="20"/>
          <w:bdr w:val="single" w:sz="8" w:space="4" w:color="000000"/>
        </w:rPr>
        <w:t>®</w:t>
      </w:r>
      <w:r>
        <w:rPr>
          <w:rFonts w:ascii="Times New Roman;Times;Serif" w:hAnsi="Times New Roman;Times;Serif"/>
          <w:b w:val="false"/>
          <w:i w:val="false"/>
          <w:caps w:val="false"/>
          <w:smallCaps w:val="false"/>
          <w:sz w:val="20"/>
          <w:bdr w:val="single" w:sz="8" w:space="4" w:color="000000"/>
        </w:rPr>
        <w:t xml:space="preserve"> platforms, including the Radixact</w:t>
      </w:r>
      <w:r>
        <w:rPr>
          <w:rFonts w:ascii="Times New Roman;Times;Serif" w:hAnsi="Times New Roman;Times;Serif"/>
          <w:b w:val="false"/>
          <w:i w:val="false"/>
          <w:caps w:val="false"/>
          <w:smallCaps w:val="false"/>
          <w:position w:val="7"/>
          <w:sz w:val="16"/>
          <w:sz w:val="20"/>
          <w:bdr w:val="single" w:sz="8" w:space="4" w:color="000000"/>
        </w:rPr>
        <w:t>®</w:t>
      </w:r>
      <w:r>
        <w:rPr>
          <w:rFonts w:ascii="Times New Roman;Times;Serif" w:hAnsi="Times New Roman;Times;Serif"/>
          <w:b w:val="false"/>
          <w:i w:val="false"/>
          <w:caps w:val="false"/>
          <w:smallCaps w:val="false"/>
          <w:sz w:val="20"/>
          <w:bdr w:val="single" w:sz="8" w:space="4" w:color="000000"/>
        </w:rPr>
        <w:t xml:space="preserve"> System, our next generation TomoTherapy platform, are designed to deliver advanced treatments, including stereotactic radiosurgery (“SRS”), stereotactic body radiation therapy (“SBRT”), intensity modulated radiation therapy (“IMRT”), image-guided radiation therapy (“IGRT”), and adaptive radiation therapy (“ART”). The CyberKnife and TomoTherapy platforms have complementary clinical applications with the same goal: to empower our customers to deliver the most precise and accurate treatments while still minimizing dose to healthy tissue, helping to reduce the risk of side effects that may impact patients’ quality of life. Each of these systems serves patient populations treated by the same medical specialty, radiation oncology, with advanced capabilities. The CyberKnife platform is also used by neurosurgeons specializing in radiosurgery to treat patients with tumors in the brain and spine, and neurologic and/or endocrine disorders. In addition to these products, we also provide services which include post-contract customer support (warranty period services and post-warranty services), installation services, training, and other professional services.</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4" w:color="000000"/>
        </w:rPr>
      </w:pPr>
      <w:r>
        <w:rPr>
          <w:rFonts w:ascii="Times New Roman;Times;Serif" w:hAnsi="Times New Roman;Times;Serif"/>
          <w:b/>
          <w:i w:val="false"/>
          <w:caps w:val="false"/>
          <w:smallCaps w:val="false"/>
          <w:sz w:val="20"/>
          <w:bdr w:val="single" w:sz="8" w:space="4" w:color="000000"/>
        </w:rPr>
        <w:t>Corporate Information</w:t>
      </w:r>
    </w:p>
    <w:p>
      <w:pPr>
        <w:pStyle w:val="TextBody"/>
        <w:bidi w:val="0"/>
        <w:spacing w:before="0" w:after="0"/>
        <w:ind w:left="0" w:right="0" w:hanging="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 xml:space="preserve">We were incorporated in California in 1990 and commenced operations in 1992. We reincorporated in Delaware in 2007. Our principal offices in the United States are located in Madison, Wisconsin and our telephone number is (608) 824-2800. Our main corporate website address is </w:t>
      </w:r>
      <w:r>
        <w:rPr>
          <w:rFonts w:ascii="Times New Roman;Times;Serif" w:hAnsi="Times New Roman;Times;Serif"/>
          <w:b w:val="false"/>
          <w:i/>
          <w:caps w:val="false"/>
          <w:smallCaps w:val="false"/>
          <w:sz w:val="20"/>
          <w:bdr w:val="single" w:sz="8" w:space="4" w:color="000000"/>
        </w:rPr>
        <w:t>www.accuray.com</w:t>
      </w:r>
      <w:r>
        <w:rPr>
          <w:rFonts w:ascii="Times New Roman;Times;Serif" w:hAnsi="Times New Roman;Times;Serif"/>
          <w:b w:val="false"/>
          <w:i w:val="false"/>
          <w:caps w:val="false"/>
          <w:smallCaps w:val="false"/>
          <w:sz w:val="20"/>
          <w:bdr w:val="single" w:sz="8" w:space="4" w:color="000000"/>
        </w:rPr>
        <w:t xml:space="preserve">. The information on our website is not a part of nor incorporated by reference in this prospectus.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6" w:name="a_005"/>
      <w:bookmarkEnd w:id="6"/>
      <w:r>
        <w:rPr>
          <w:rFonts w:ascii="Times New Roman;Times;Serif" w:hAnsi="Times New Roman;Times;Serif"/>
          <w:b/>
          <w:i w:val="false"/>
          <w:caps/>
          <w:sz w:val="20"/>
        </w:rPr>
        <w:t>Risk Factors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investment in our securities involves a high degree of risk. Before making an investment decision, you should carefully consider the risks and uncertainties described under “Part I. Item 1A. Risk Factors” in our Annual Report on Form 10-K for the fiscal year ended June 30, 2026, which is incorporated by reference in this prospectus, together with all of the other information contained in this prospectus and the documents incorporated by reference herein. If any of these risks actually occur, our business, operating results and financial condition could be materially and adversely impacted, the market price of our common stock could decline and you could lose all or part of your investment. The risks and uncertainties described are not the only ones we face. Additional risks and uncertainties not presently known to us or that we currently deem immaterial may also impair our business operations and financial results and the value of our common stock.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7" w:name="a_006"/>
      <w:bookmarkEnd w:id="7"/>
      <w:r>
        <w:rPr>
          <w:rFonts w:ascii="Times New Roman;Times;Serif" w:hAnsi="Times New Roman;Times;Serif"/>
          <w:b/>
          <w:i w:val="false"/>
          <w:caps/>
          <w:sz w:val="20"/>
        </w:rPr>
        <w:t>Use of Proceeds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shares of our common stock by the Selling Stockholders. However, we will receive proceeds from any cash exercise of the Warrants. There can be no assurance that any of the Warrants will be exercised by the Selling Stockholders or that they will exercise the Warrants for cash instead of using the cashless exercise feature. We intend to use the net proceeds, if any, from any cash exercise of the Warrants for general corporate purposes.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8" w:name="a_007"/>
      <w:bookmarkEnd w:id="8"/>
      <w:r>
        <w:rPr>
          <w:rFonts w:ascii="Times New Roman;Times;Serif" w:hAnsi="Times New Roman;Times;Serif"/>
          <w:b/>
          <w:i w:val="false"/>
          <w:caps/>
          <w:sz w:val="20"/>
        </w:rPr>
        <w:t>Description of Securities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describes our securities and the material provisions of our amended and restated certificate of incorporation, our amended and restated bylaws, and the applicable provisions of the General Corporation Law of the State of Delaware (the “DGCL”). This summary does not purport to be complete and is qualified in its entirety by the provisions of our amended and restated certificate of incorporation, our amended and restated bylaws and the other documents described in this section, copies of which have been filed with the SEC and are referenced in the exhibits to our registration statement, of which this prospectus forms a part.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amended and restated certificate of incorporation authorizes us to issue up to 200,000,000 shares of common stock, $0.001 par value per share, and 5,000,000 shares of preferred stock, $0.001 par value per share. As of June 30, 2026, we had approximately 119,433,440 shares of common stock outstanding.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 Rights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preferences that may apply to shares of preferred stock outstanding at the time, the holders of outstanding shares of our common stock are entitled to receive dividends out of funds legally available at the times and in the amounts that our board of directors may determine.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our common stock is entitled to one vote for each share of common stock held on all matters submitted to a vote of the stockholders. Cumulative voting for the election of directors is not provided for in our amended and restated certificate of incorporation, which means that the holders of a majority of the shares voted can elect all of the directors then standing for election.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Preemptive or Similar Rights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not entitled to preemptive rights and is not subject to conversion or redemption. There are no sinking fund provisions applicable to our common stock.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 to Receive Liquidation Distributions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our dissolution or liquidation, dissolution or winding-up, the assets legally available for distribution to our stockholders are distributable ratably among the holders of our common stock, subject to the preferential rights and payment of liquidation preferences, if any, on any outstanding shares of preferred stock.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Certificate of Incorporation and Bylaws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provides for our board of directors to be divided into three classes, with staggered three-year terms. Only one class of directors is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is able to elect all of our directors. Our amended and restated certificate of incorporation and amended and restated bylaws provide that all stockholder action must be effected at a duly called meeting of stockholders and not by a consent in writing, and that only our chairperson of the board of directors, chief executive officer, president, secretary or a majority of the authorized number of directors may call a special meeting of stockholders.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requires a 66</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/3% stockholder vote for the amendment, repeal or modification of certain provisions of our amended and restated certificate of incorporation and amended and restated bylaws relating to the classification of our board of directors, the requirement that stockholder actions be effected at a duly called meeting, and the designated parties entitled to call a special meeting of the stockholders. The combination of the classification of our board of directors, the lack of cumulative voting and the 66</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/3%</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 voting requirements will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have the effect of deterring hostile takeovers or delaying changes in our control or management. These provisions are intended to enhance the likelihood of continued stability in the composition of our board of directors and its policies and to discourage certain types of transactions that may involve an actual or threatened acquisition of us.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our management.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Section 203 of the Delaware General Corporation Law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 </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before such date, the board of directors of the corporation approved either the business combination or the transaction that resulted in the stockholder becoming an interested holder;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on or after such date, the business combination is approved by the board of directors and authorized at an annual or special meeting of the stockholders, and not by written consent, by the affirmative vote of at least 66</w:t>
            </w:r>
            <w:r>
              <w:rPr>
                <w:position w:val="8"/>
                <w:sz w:val="19"/>
              </w:rPr>
              <w:t>2</w:t>
            </w:r>
            <w:r>
              <w:rPr/>
              <w:t>/3% of the outstanding voting stock that is not owned by the interested stockholder.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Section 203 defines business combination to include the following: </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155"/>
        <w:gridCol w:w="10003"/>
      </w:tblGrid>
      <w:tr>
        <w:trPr/>
        <w:tc>
          <w:tcPr>
            <w:tcW w:w="4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Symbol" w:hAnsi="Symbol"/>
              </w:rPr>
            </w:pPr>
            <w:r>
              <w:rPr>
                <w:rFonts w:ascii="Symbol" w:hAnsi="Symbol"/>
              </w:rPr>
              <w:t>·</w:t>
            </w:r>
          </w:p>
        </w:tc>
        <w:tc>
          <w:tcPr>
            <w:tcW w:w="10003" w:type="dxa"/>
            <w:tcBorders/>
            <w:vAlign w:val="center"/>
          </w:tcPr>
          <w:p>
            <w:pPr>
              <w:pStyle w:val="TableContents"/>
              <w:bidi w:val="0"/>
              <w:spacing w:before="0" w:after="283"/>
              <w:jc w:val="left"/>
              <w:rPr/>
            </w:pPr>
            <w:r>
              <w:rPr/>
              <w:t>any merger or consolidation involving the corporation and the interested stockholder;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any sale, transfer, pledge or other disposition of 10% or more of the assets of the corporation involving the interested stockholder;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subject to certain exceptions, any transaction that results in the issuance or transfer by the corporation of any stock of the corporation to the interested stockholder;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any transaction involving the corporation that has the effect of increasing the proportionate share of the stock or any class or series of the corporation beneficially owned by the interested stockholder;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receipt by the interested stockholder of the benefit of any loss, advances, guarantees, pledges or other financial benefits by or through the corporation.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of Liability; Indemnification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Section 102(b)(7) of the DGCL, our amended and restated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any breach of the director’s duty of loyalty to us or our stockholders, acts or omissions not in good faith or that involve intentional misconduct or a knowing violation of law, unlawful payment of dividends or unlawful stock repurchases or redemptions, and any transaction from which the director derived an improper personal benefit.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provides that we may indemnify to the fullest extent permitted by law any person made or threatened to be made a party to an action or proceeding, whether criminal, civil, administrative or investigative, by reason of the fact that he, his testator or intestate is or was a director, officer, employee or agent of us or any predecessor of ours, or serves or served at any other enterprise as a director, officer, employee or agent at our request or the request any of our predecessors.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Delaware law is amended to authorize corporate action further eliminating or limiting the personal liability of a director, then the liability of our directors will be eliminated or limited to the fullest extent permitted by Delaware law, as so amended. Our amended and restated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we shall indemnify and hold harmless, to the fullest extent permitted by the DGCL as it presently exists or may hereafter be amended, any director or officer of ours who was or is made or is threatened to be made a party or is otherwise involved in any action, suit or proceeding, whether civil, criminal, administrative or investigative by reason of the fact that he or she, or a person for whom he or she is the legal representative, is or was a director, officer, employee or agent of ours or is or was serving at our request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action, suit or proceeding.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Choice of Forum</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bylaws provide that, unless we consent, the Court of Chancery of the State of Delaware is the exclusive forum for any derivative action or proceeding brought on our behalf; any action asserting a breach of fiduciary duty owed by any of our directors, officers, stockholders, employees or agents to us or our stockholders; any action asserting a claim against us or any of our directors, officers, stockholders, employees or agents arising out of or relating to any provision of the DGCL or our amended and restated certificate of incorporation or our bylaws; or any action asserting a claim against us or any of our directors, officers, stockholders, employees or agents that is governed by the internal affairs doctrine;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the event that the Court of Chancery of the State of Delaware lacks subject matter jurisdiction over any such action or proceeding, the sole and exclusive forum for such action or proceeding shall be another state or federal court located within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about outstanding warrants to purchase shares of our common stock, as of July 31,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60" w:type="dxa"/>
          <w:left w:w="60" w:type="dxa"/>
          <w:bottom w:w="60" w:type="dxa"/>
          <w:right w:w="60" w:type="dxa"/>
        </w:tblCellMar>
      </w:tblPr>
      <w:tblGrid>
        <w:gridCol w:w="3548"/>
        <w:gridCol w:w="2873"/>
        <w:gridCol w:w="1413"/>
        <w:gridCol w:w="2371"/>
      </w:tblGrid>
      <w:tr>
        <w:trPr/>
        <w:tc>
          <w:tcPr>
            <w:tcW w:w="3548"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Warrants Exercisable for Common Stock  </w:t>
            </w:r>
          </w:p>
        </w:tc>
        <w:tc>
          <w:tcPr>
            <w:tcW w:w="2873"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Shares of Common Stock Issuable Upon Exercise of the Warrants  </w:t>
            </w:r>
          </w:p>
        </w:tc>
        <w:tc>
          <w:tcPr>
            <w:tcW w:w="1413"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Exercise Price Per Share  </w:t>
            </w:r>
          </w:p>
        </w:tc>
        <w:tc>
          <w:tcPr>
            <w:tcW w:w="2371"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Exercise Period  </w:t>
            </w:r>
          </w:p>
        </w:tc>
      </w:tr>
      <w:tr>
        <w:trPr/>
        <w:tc>
          <w:tcPr>
            <w:tcW w:w="3548" w:type="dxa"/>
            <w:tcBorders/>
            <w:vAlign w:val="center"/>
          </w:tcPr>
          <w:p>
            <w:pPr>
              <w:pStyle w:val="TableContents"/>
              <w:bidi w:val="0"/>
              <w:spacing w:before="0" w:after="283"/>
              <w:jc w:val="left"/>
              <w:rPr/>
            </w:pPr>
            <w:r>
              <w:rPr/>
              <w:t>June 2025 Penny Warrants held by the Selling Stockholders</w:t>
              <w:tab/>
              <w:t xml:space="preserve"> </w:t>
            </w:r>
          </w:p>
        </w:tc>
        <w:tc>
          <w:tcPr>
            <w:tcW w:w="2873" w:type="dxa"/>
            <w:tcBorders/>
            <w:vAlign w:val="center"/>
          </w:tcPr>
          <w:p>
            <w:pPr>
              <w:pStyle w:val="TableContents"/>
              <w:bidi w:val="0"/>
              <w:spacing w:before="0" w:after="283"/>
              <w:jc w:val="right"/>
              <w:rPr/>
            </w:pPr>
            <w:r>
              <w:rPr/>
              <w:t xml:space="preserve">6,247,531 </w:t>
            </w:r>
          </w:p>
        </w:tc>
        <w:tc>
          <w:tcPr>
            <w:tcW w:w="1413" w:type="dxa"/>
            <w:tcBorders/>
            <w:vAlign w:val="center"/>
          </w:tcPr>
          <w:p>
            <w:pPr>
              <w:pStyle w:val="TableContents"/>
              <w:bidi w:val="0"/>
              <w:spacing w:before="0" w:after="283"/>
              <w:jc w:val="right"/>
              <w:rPr/>
            </w:pPr>
            <w:r>
              <w:rPr/>
              <w:t xml:space="preserve">$0.01 </w:t>
            </w:r>
          </w:p>
        </w:tc>
        <w:tc>
          <w:tcPr>
            <w:tcW w:w="2371" w:type="dxa"/>
            <w:tcBorders/>
            <w:vAlign w:val="center"/>
          </w:tcPr>
          <w:p>
            <w:pPr>
              <w:pStyle w:val="TableContents"/>
              <w:bidi w:val="0"/>
              <w:spacing w:before="0" w:after="283"/>
              <w:jc w:val="right"/>
              <w:rPr/>
            </w:pPr>
            <w:r>
              <w:rPr/>
              <w:t xml:space="preserve">June 6, 2025 – June 6, 2032 </w:t>
            </w:r>
          </w:p>
        </w:tc>
      </w:tr>
      <w:tr>
        <w:trPr/>
        <w:tc>
          <w:tcPr>
            <w:tcW w:w="3548" w:type="dxa"/>
            <w:tcBorders/>
            <w:vAlign w:val="center"/>
          </w:tcPr>
          <w:p>
            <w:pPr>
              <w:pStyle w:val="TableContents"/>
              <w:bidi w:val="0"/>
              <w:spacing w:before="0" w:after="283"/>
              <w:jc w:val="left"/>
              <w:rPr/>
            </w:pPr>
            <w:r>
              <w:rPr/>
              <w:t>June 2025 Premium Warrants held by the Selling Stockholders</w:t>
              <w:tab/>
              <w:t xml:space="preserve"> </w:t>
            </w:r>
          </w:p>
        </w:tc>
        <w:tc>
          <w:tcPr>
            <w:tcW w:w="2873" w:type="dxa"/>
            <w:tcBorders/>
            <w:vAlign w:val="center"/>
          </w:tcPr>
          <w:p>
            <w:pPr>
              <w:pStyle w:val="TableContents"/>
              <w:bidi w:val="0"/>
              <w:spacing w:before="0" w:after="283"/>
              <w:jc w:val="right"/>
              <w:rPr/>
            </w:pPr>
            <w:r>
              <w:rPr/>
              <w:t xml:space="preserve">17,180,710 </w:t>
            </w:r>
          </w:p>
        </w:tc>
        <w:tc>
          <w:tcPr>
            <w:tcW w:w="1413" w:type="dxa"/>
            <w:tcBorders/>
            <w:vAlign w:val="center"/>
          </w:tcPr>
          <w:p>
            <w:pPr>
              <w:pStyle w:val="TableContents"/>
              <w:bidi w:val="0"/>
              <w:spacing w:before="0" w:after="283"/>
              <w:jc w:val="right"/>
              <w:rPr/>
            </w:pPr>
            <w:r>
              <w:rPr/>
              <w:t xml:space="preserve">$1.68 </w:t>
            </w:r>
          </w:p>
        </w:tc>
        <w:tc>
          <w:tcPr>
            <w:tcW w:w="2371" w:type="dxa"/>
            <w:tcBorders/>
            <w:vAlign w:val="center"/>
          </w:tcPr>
          <w:p>
            <w:pPr>
              <w:pStyle w:val="TableContents"/>
              <w:bidi w:val="0"/>
              <w:spacing w:before="0" w:after="283"/>
              <w:jc w:val="right"/>
              <w:rPr/>
            </w:pPr>
            <w:r>
              <w:rPr/>
              <w:t xml:space="preserve">December 7, 2025 – June 6, 2032 </w:t>
            </w:r>
          </w:p>
        </w:tc>
      </w:tr>
      <w:tr>
        <w:trPr/>
        <w:tc>
          <w:tcPr>
            <w:tcW w:w="3548" w:type="dxa"/>
            <w:tcBorders/>
            <w:vAlign w:val="center"/>
          </w:tcPr>
          <w:p>
            <w:pPr>
              <w:pStyle w:val="TableContents"/>
              <w:bidi w:val="0"/>
              <w:spacing w:before="0" w:after="283"/>
              <w:jc w:val="left"/>
              <w:rPr/>
            </w:pPr>
            <w:r>
              <w:rPr/>
              <w:t>December 2025 Penny Warrants held by the Selling Stockholders</w:t>
              <w:tab/>
              <w:t xml:space="preserve"> </w:t>
            </w:r>
          </w:p>
        </w:tc>
        <w:tc>
          <w:tcPr>
            <w:tcW w:w="2873" w:type="dxa"/>
            <w:tcBorders/>
            <w:vAlign w:val="center"/>
          </w:tcPr>
          <w:p>
            <w:pPr>
              <w:pStyle w:val="TableContents"/>
              <w:bidi w:val="0"/>
              <w:spacing w:before="0" w:after="283"/>
              <w:jc w:val="right"/>
              <w:rPr/>
            </w:pPr>
            <w:r>
              <w:rPr/>
              <w:t xml:space="preserve">1,750,129 </w:t>
            </w:r>
          </w:p>
        </w:tc>
        <w:tc>
          <w:tcPr>
            <w:tcW w:w="1413" w:type="dxa"/>
            <w:tcBorders/>
            <w:vAlign w:val="center"/>
          </w:tcPr>
          <w:p>
            <w:pPr>
              <w:pStyle w:val="TableContents"/>
              <w:bidi w:val="0"/>
              <w:spacing w:before="0" w:after="283"/>
              <w:jc w:val="right"/>
              <w:rPr/>
            </w:pPr>
            <w:r>
              <w:rPr/>
              <w:t xml:space="preserve">$0.01 </w:t>
            </w:r>
          </w:p>
        </w:tc>
        <w:tc>
          <w:tcPr>
            <w:tcW w:w="2371" w:type="dxa"/>
            <w:tcBorders/>
            <w:vAlign w:val="center"/>
          </w:tcPr>
          <w:p>
            <w:pPr>
              <w:pStyle w:val="TableContents"/>
              <w:bidi w:val="0"/>
              <w:spacing w:before="0" w:after="283"/>
              <w:jc w:val="right"/>
              <w:rPr/>
            </w:pPr>
            <w:r>
              <w:rPr/>
              <w:t xml:space="preserve">December 15, 2025 – December 15, 2032 </w:t>
            </w:r>
          </w:p>
        </w:tc>
      </w:tr>
      <w:tr>
        <w:trPr/>
        <w:tc>
          <w:tcPr>
            <w:tcW w:w="3548" w:type="dxa"/>
            <w:tcBorders/>
            <w:vAlign w:val="center"/>
          </w:tcPr>
          <w:p>
            <w:pPr>
              <w:pStyle w:val="TableContents"/>
              <w:bidi w:val="0"/>
              <w:spacing w:before="0" w:after="283"/>
              <w:jc w:val="left"/>
              <w:rPr/>
            </w:pPr>
            <w:r>
              <w:rPr/>
              <w:t>December 2025 Premium Warrants held by the Selling Stockholders</w:t>
              <w:tab/>
              <w:t xml:space="preserve"> </w:t>
            </w:r>
          </w:p>
        </w:tc>
        <w:tc>
          <w:tcPr>
            <w:tcW w:w="2873" w:type="dxa"/>
            <w:tcBorders/>
            <w:vAlign w:val="center"/>
          </w:tcPr>
          <w:p>
            <w:pPr>
              <w:pStyle w:val="TableContents"/>
              <w:bidi w:val="0"/>
              <w:spacing w:before="0" w:after="283"/>
              <w:jc w:val="right"/>
              <w:rPr/>
            </w:pPr>
            <w:r>
              <w:rPr/>
              <w:t xml:space="preserve">2,187,661 </w:t>
            </w:r>
          </w:p>
        </w:tc>
        <w:tc>
          <w:tcPr>
            <w:tcW w:w="1413" w:type="dxa"/>
            <w:tcBorders/>
            <w:vAlign w:val="center"/>
          </w:tcPr>
          <w:p>
            <w:pPr>
              <w:pStyle w:val="TableContents"/>
              <w:bidi w:val="0"/>
              <w:spacing w:before="0" w:after="283"/>
              <w:jc w:val="right"/>
              <w:rPr/>
            </w:pPr>
            <w:r>
              <w:rPr/>
              <w:t xml:space="preserve">$1.25 </w:t>
            </w:r>
          </w:p>
        </w:tc>
        <w:tc>
          <w:tcPr>
            <w:tcW w:w="2371" w:type="dxa"/>
            <w:tcBorders/>
            <w:vAlign w:val="center"/>
          </w:tcPr>
          <w:p>
            <w:pPr>
              <w:pStyle w:val="TableContents"/>
              <w:bidi w:val="0"/>
              <w:spacing w:before="0" w:after="283"/>
              <w:jc w:val="right"/>
              <w:rPr/>
            </w:pPr>
            <w:r>
              <w:rPr/>
              <w:t xml:space="preserve">June 16, 2026 – December 15, 2032 </w:t>
            </w:r>
          </w:p>
        </w:tc>
      </w:tr>
      <w:tr>
        <w:trPr/>
        <w:tc>
          <w:tcPr>
            <w:tcW w:w="3548" w:type="dxa"/>
            <w:tcBorders/>
            <w:vAlign w:val="center"/>
          </w:tcPr>
          <w:p>
            <w:pPr>
              <w:pStyle w:val="TableContents"/>
              <w:bidi w:val="0"/>
              <w:spacing w:before="0" w:after="283"/>
              <w:jc w:val="left"/>
              <w:rPr/>
            </w:pPr>
            <w:r>
              <w:rPr/>
              <w:t>December 2025 Super Premium Warrants held by the Selling Stockholders</w:t>
              <w:tab/>
              <w:t xml:space="preserve"> </w:t>
            </w:r>
          </w:p>
        </w:tc>
        <w:tc>
          <w:tcPr>
            <w:tcW w:w="2873" w:type="dxa"/>
            <w:tcBorders/>
            <w:vAlign w:val="center"/>
          </w:tcPr>
          <w:p>
            <w:pPr>
              <w:pStyle w:val="TableContents"/>
              <w:bidi w:val="0"/>
              <w:spacing w:before="0" w:after="283"/>
              <w:jc w:val="right"/>
              <w:rPr/>
            </w:pPr>
            <w:r>
              <w:rPr/>
              <w:t xml:space="preserve">3,062,726 </w:t>
            </w:r>
          </w:p>
        </w:tc>
        <w:tc>
          <w:tcPr>
            <w:tcW w:w="1413" w:type="dxa"/>
            <w:tcBorders/>
            <w:vAlign w:val="center"/>
          </w:tcPr>
          <w:p>
            <w:pPr>
              <w:pStyle w:val="TableContents"/>
              <w:bidi w:val="0"/>
              <w:spacing w:before="0" w:after="283"/>
              <w:jc w:val="right"/>
              <w:rPr/>
            </w:pPr>
            <w:r>
              <w:rPr/>
              <w:t xml:space="preserve">$1.50 </w:t>
            </w:r>
          </w:p>
        </w:tc>
        <w:tc>
          <w:tcPr>
            <w:tcW w:w="2371" w:type="dxa"/>
            <w:tcBorders/>
            <w:vAlign w:val="center"/>
          </w:tcPr>
          <w:p>
            <w:pPr>
              <w:pStyle w:val="TableContents"/>
              <w:bidi w:val="0"/>
              <w:spacing w:before="0" w:after="283"/>
              <w:jc w:val="right"/>
              <w:rPr/>
            </w:pPr>
            <w:r>
              <w:rPr/>
              <w:t xml:space="preserve">June 16, 2026 – December 15, 2032 </w:t>
            </w:r>
          </w:p>
        </w:tc>
      </w:tr>
      <w:tr>
        <w:trPr/>
        <w:tc>
          <w:tcPr>
            <w:tcW w:w="3548" w:type="dxa"/>
            <w:tcBorders/>
            <w:vAlign w:val="center"/>
          </w:tcPr>
          <w:p>
            <w:pPr>
              <w:pStyle w:val="TableContents"/>
              <w:bidi w:val="0"/>
              <w:spacing w:before="0" w:after="283"/>
              <w:jc w:val="left"/>
              <w:rPr/>
            </w:pPr>
            <w:r>
              <w:rPr/>
              <w:t>Penny Warrants held by the Selling Stockholders</w:t>
              <w:tab/>
              <w:t xml:space="preserve"> </w:t>
            </w:r>
          </w:p>
        </w:tc>
        <w:tc>
          <w:tcPr>
            <w:tcW w:w="2873" w:type="dxa"/>
            <w:tcBorders/>
            <w:vAlign w:val="center"/>
          </w:tcPr>
          <w:p>
            <w:pPr>
              <w:pStyle w:val="TableContents"/>
              <w:bidi w:val="0"/>
              <w:spacing w:before="0" w:after="283"/>
              <w:jc w:val="right"/>
              <w:rPr/>
            </w:pPr>
            <w:r>
              <w:rPr/>
              <w:t xml:space="preserve">1,708,577 </w:t>
            </w:r>
          </w:p>
        </w:tc>
        <w:tc>
          <w:tcPr>
            <w:tcW w:w="1413" w:type="dxa"/>
            <w:tcBorders/>
            <w:vAlign w:val="center"/>
          </w:tcPr>
          <w:p>
            <w:pPr>
              <w:pStyle w:val="TableContents"/>
              <w:bidi w:val="0"/>
              <w:spacing w:before="0" w:after="283"/>
              <w:jc w:val="right"/>
              <w:rPr/>
            </w:pPr>
            <w:r>
              <w:rPr/>
              <w:t xml:space="preserve">$0.01 </w:t>
            </w:r>
          </w:p>
        </w:tc>
        <w:tc>
          <w:tcPr>
            <w:tcW w:w="2371" w:type="dxa"/>
            <w:tcBorders/>
            <w:vAlign w:val="center"/>
          </w:tcPr>
          <w:p>
            <w:pPr>
              <w:pStyle w:val="TableContents"/>
              <w:bidi w:val="0"/>
              <w:spacing w:before="0" w:after="283"/>
              <w:jc w:val="right"/>
              <w:rPr/>
            </w:pPr>
            <w:r>
              <w:rPr/>
              <w:t xml:space="preserve">May 18, 2026 – May 18, 2033 </w:t>
            </w:r>
          </w:p>
        </w:tc>
      </w:tr>
      <w:tr>
        <w:trPr/>
        <w:tc>
          <w:tcPr>
            <w:tcW w:w="3548" w:type="dxa"/>
            <w:tcBorders/>
            <w:vAlign w:val="center"/>
          </w:tcPr>
          <w:p>
            <w:pPr>
              <w:pStyle w:val="TableContents"/>
              <w:bidi w:val="0"/>
              <w:spacing w:before="0" w:after="283"/>
              <w:jc w:val="left"/>
              <w:rPr/>
            </w:pPr>
            <w:r>
              <w:rPr/>
              <w:t>Premium Warrants held by the Selling Stockholders</w:t>
              <w:tab/>
              <w:t xml:space="preserve"> </w:t>
            </w:r>
          </w:p>
        </w:tc>
        <w:tc>
          <w:tcPr>
            <w:tcW w:w="2873" w:type="dxa"/>
            <w:tcBorders/>
            <w:vAlign w:val="center"/>
          </w:tcPr>
          <w:p>
            <w:pPr>
              <w:pStyle w:val="TableContents"/>
              <w:bidi w:val="0"/>
              <w:spacing w:before="0" w:after="283"/>
              <w:jc w:val="right"/>
              <w:rPr/>
            </w:pPr>
            <w:r>
              <w:rPr/>
              <w:t xml:space="preserve">2,135,721 </w:t>
            </w:r>
          </w:p>
        </w:tc>
        <w:tc>
          <w:tcPr>
            <w:tcW w:w="1413" w:type="dxa"/>
            <w:tcBorders/>
            <w:vAlign w:val="center"/>
          </w:tcPr>
          <w:p>
            <w:pPr>
              <w:pStyle w:val="TableContents"/>
              <w:bidi w:val="0"/>
              <w:spacing w:before="0" w:after="283"/>
              <w:jc w:val="right"/>
              <w:rPr/>
            </w:pPr>
            <w:r>
              <w:rPr/>
              <w:t xml:space="preserve">$1.25 </w:t>
            </w:r>
          </w:p>
        </w:tc>
        <w:tc>
          <w:tcPr>
            <w:tcW w:w="2371" w:type="dxa"/>
            <w:tcBorders/>
            <w:vAlign w:val="center"/>
          </w:tcPr>
          <w:p>
            <w:pPr>
              <w:pStyle w:val="TableContents"/>
              <w:bidi w:val="0"/>
              <w:spacing w:before="0" w:after="283"/>
              <w:jc w:val="right"/>
              <w:rPr/>
            </w:pPr>
            <w:r>
              <w:rPr/>
              <w:t xml:space="preserve">November 19, 2026 – May 18, 2033 </w:t>
            </w:r>
          </w:p>
        </w:tc>
      </w:tr>
      <w:tr>
        <w:trPr/>
        <w:tc>
          <w:tcPr>
            <w:tcW w:w="3548" w:type="dxa"/>
            <w:tcBorders/>
            <w:vAlign w:val="center"/>
          </w:tcPr>
          <w:p>
            <w:pPr>
              <w:pStyle w:val="TableContents"/>
              <w:bidi w:val="0"/>
              <w:spacing w:before="0" w:after="283"/>
              <w:jc w:val="left"/>
              <w:rPr/>
            </w:pPr>
            <w:r>
              <w:rPr/>
              <w:t>Super Premium Warrants held by the Selling Stockholders</w:t>
              <w:tab/>
              <w:t xml:space="preserve"> </w:t>
            </w:r>
          </w:p>
        </w:tc>
        <w:tc>
          <w:tcPr>
            <w:tcW w:w="2873" w:type="dxa"/>
            <w:tcBorders/>
            <w:vAlign w:val="center"/>
          </w:tcPr>
          <w:p>
            <w:pPr>
              <w:pStyle w:val="TableContents"/>
              <w:bidi w:val="0"/>
              <w:spacing w:before="0" w:after="283"/>
              <w:jc w:val="right"/>
              <w:rPr/>
            </w:pPr>
            <w:r>
              <w:rPr/>
              <w:t xml:space="preserve">2,990,010 </w:t>
            </w:r>
          </w:p>
        </w:tc>
        <w:tc>
          <w:tcPr>
            <w:tcW w:w="1413" w:type="dxa"/>
            <w:tcBorders/>
            <w:vAlign w:val="center"/>
          </w:tcPr>
          <w:p>
            <w:pPr>
              <w:pStyle w:val="TableContents"/>
              <w:bidi w:val="0"/>
              <w:spacing w:before="0" w:after="283"/>
              <w:jc w:val="right"/>
              <w:rPr/>
            </w:pPr>
            <w:r>
              <w:rPr/>
              <w:t xml:space="preserve">$1.50 </w:t>
            </w:r>
          </w:p>
        </w:tc>
        <w:tc>
          <w:tcPr>
            <w:tcW w:w="2371" w:type="dxa"/>
            <w:tcBorders/>
            <w:vAlign w:val="center"/>
          </w:tcPr>
          <w:p>
            <w:pPr>
              <w:pStyle w:val="TableContents"/>
              <w:bidi w:val="0"/>
              <w:spacing w:before="0" w:after="283"/>
              <w:jc w:val="right"/>
              <w:rPr/>
            </w:pPr>
            <w:r>
              <w:rPr/>
              <w:t xml:space="preserve">November 19, 2026 – May 18, 2033 </w:t>
            </w:r>
          </w:p>
        </w:tc>
      </w:tr>
      <w:tr>
        <w:trPr/>
        <w:tc>
          <w:tcPr>
            <w:tcW w:w="3548" w:type="dxa"/>
            <w:tcBorders/>
            <w:vAlign w:val="center"/>
          </w:tcPr>
          <w:p>
            <w:pPr>
              <w:pStyle w:val="TableContents"/>
              <w:bidi w:val="0"/>
              <w:spacing w:before="0" w:after="283"/>
              <w:jc w:val="left"/>
              <w:rPr/>
            </w:pPr>
            <w:r>
              <w:rPr/>
              <w:t xml:space="preserve">July 2026 Penny Warrants held by the Selling Stockholders </w:t>
            </w:r>
          </w:p>
        </w:tc>
        <w:tc>
          <w:tcPr>
            <w:tcW w:w="2873" w:type="dxa"/>
            <w:tcBorders/>
            <w:vAlign w:val="center"/>
          </w:tcPr>
          <w:p>
            <w:pPr>
              <w:pStyle w:val="TableContents"/>
              <w:bidi w:val="0"/>
              <w:spacing w:before="0" w:after="283"/>
              <w:jc w:val="right"/>
              <w:rPr/>
            </w:pPr>
            <w:r>
              <w:rPr/>
              <w:t xml:space="preserve">15,253,473 </w:t>
            </w:r>
          </w:p>
        </w:tc>
        <w:tc>
          <w:tcPr>
            <w:tcW w:w="1413" w:type="dxa"/>
            <w:tcBorders/>
            <w:vAlign w:val="center"/>
          </w:tcPr>
          <w:p>
            <w:pPr>
              <w:pStyle w:val="TableContents"/>
              <w:bidi w:val="0"/>
              <w:spacing w:before="0" w:after="283"/>
              <w:jc w:val="right"/>
              <w:rPr/>
            </w:pPr>
            <w:r>
              <w:rPr/>
              <w:t xml:space="preserve">$0.01 </w:t>
            </w:r>
          </w:p>
        </w:tc>
        <w:tc>
          <w:tcPr>
            <w:tcW w:w="2371" w:type="dxa"/>
            <w:tcBorders/>
            <w:vAlign w:val="center"/>
          </w:tcPr>
          <w:p>
            <w:pPr>
              <w:pStyle w:val="TableContents"/>
              <w:bidi w:val="0"/>
              <w:spacing w:before="0" w:after="283"/>
              <w:jc w:val="right"/>
              <w:rPr/>
            </w:pPr>
            <w:r>
              <w:rPr/>
              <w:t xml:space="preserve">July 29, 2026 – July 29, 2033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6, 2025, we issued to certain lenders party to the Financing Agreement (i) warrants to purchase 17,180,710 shares of common stock, which warrants are exercisable on and after December 7, 2025 and expire on June 6, 2032 and have an exercise price of $1.68 per share, subject to certain adjustments (the “June 2025 Premium Warrants”) and (ii) warrants to purchase 6,247,531 shares of common stock, which warrants are exercisable on and after June 6, 2025 and expire on June 6, 2032 and have an exercise price of $0.01 per share (the “June 2025 Penny Warrants” and, together with the June 2025 Premium Warrants, the “June 2025 Warrants”).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2025, in connection with our entry into Amendment No. 1 and Amendment No. 2, we issued to certain lenders party thereto (i) warrants to purchase 3,062,726 shares of common stock, which warrants are exercisable on and after June 16, 2026 and expire on December 15, 2032 and have an exercise price of $1.50 per share, subject to certain adjustments (the “December 2025 Super Premium Warrants”) (ii) warrants to purchase 2,187,661 shares of common stock, which warrants are exercisable on and after June 16, 2026 and expire on December 15, 2032 and have an exercise price of $1.25 per share, subject to certain adjustments (the “December 2025 Premium Warrants”) and (iii) warrants to purchase 1,750,129 shares of common stock, which warrants are exercisable on and after December 15, 2025 and expire on December 15, 2032 and have an exercise price of $0.01 per share (the “December 2025 Penny Warrants” and, together with the December 2025 Premium Warrants and the December 2025 Super Premium Warrants, the “December 2025 Warrants”).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2026, in connection with the DDTL Funding, we issued to certain lenders party to the Financing Agreement (i) the Super Premium Warrants to purchase 2,990,010 shares of common stock, which warrants are exercisable on and after November 19, 2026 and expire on May 18, 2033 and have an exercise price of $1.50 per share, subject to certain adjustments (ii) the Premium Warrants to purchase 2,135,721 shares of common stock, which warrants are exercisable on and after November 19, 2026 and expire on May 18, 2033 and have an exercise price of $1.25 per share, subject to certain adjustments and (iii) the Penny Warrants to purchase 1,708,577 shares of common stock, which warrants are exercisable on and after May 18, 2026 and expire on May 18, 2033 and have an exercise price of $0.01 per share.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29, 2026, in connection with our entry into Amendment No. 3, we issued to certain lenders party thereto warrants to purchase 15,253,473 shares of common stock, which warrants are exercisable after July 29, 2026 and expire on June 29, 2033 and have an exercise price of $0.01 per share, subject to certain adjustments (the “July 2026 Penny Warrants”). </w:t>
      </w:r>
    </w:p>
    <w:p>
      <w:pPr>
        <w:pStyle w:val="TextBody"/>
        <w:bidi w:val="0"/>
        <w:spacing w:before="0" w:after="0"/>
        <w:ind w:left="0" w:right="0" w:firstLine="360"/>
        <w:jc w:val="left"/>
        <w:rPr>
          <w:caps w:val="false"/>
          <w:smallCaps w:val="false"/>
        </w:rPr>
      </w:pPr>
      <w:r>
        <w:rPr>
          <w:caps w:val="false"/>
          <w:smallCaps w:val="false"/>
        </w:rPr>
        <w:t xml:space="preserve">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June 2025 Warrants, the December 2025 Warrants, the Warrants and the July 2026 Penny Warrants have certain anti-dilution protection provisions, including price-based anti-dilution protection in the event that we sell stock at a price below (i) $1.25 in the case of the June 2025 Premium Warrants, (ii) $1.12 in the case of the December 2025 Super Premium Warrants  and the Super Premium Warrants, (iii) $0.93 in the case of the December 2025 Premium Warrants and the Premium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Warrants and (iv) $1.00 in the case of the June 2025 Penny Warrants, the December 2025 Penny Warrants, the Penny Warrants and the July 2026 Penny Warrants. We agreed to issue the June 2025 Warrants, the December 2025 Warrants and the July 2026 Penny Warrants in connection with, and to induce the lenders to enter into, the Financing Agreement, including Amendment No. 1, Amendment No. 2 and Amendment No. 3 thereto. We agreed to issue the Warrants in connection with the DDTL Funding, pursuant to terms of the Financing Agreement.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June 2025 Warrants, the December 2025 Warrants, the Warrants and the July 2026 Penny Warrants provide that we will, among other things, prepare and file with the SEC a registration statement covering the resale of the shares underlying the June 2025 Warrants, the December 2025 Warrants, the Warrants and the July 2026 Penny Warrants. The registration statement of which this prospectus is a part has been filed by us in satisfaction of our obligations under the Warrants to file such registration statement. </w:t>
      </w:r>
      <w:r>
        <w:rPr>
          <w:rFonts w:ascii="Times New Roman;Times;Serif" w:hAnsi="Times New Roman;Times;Serif"/>
          <w:b w:val="false"/>
          <w:i w:val="false"/>
          <w:caps w:val="false"/>
          <w:smallCaps w:val="false"/>
          <w:sz w:val="20"/>
          <w:shd w:fill="FFFFFF" w:val="clear"/>
        </w:rPr>
        <w:t xml:space="preserve">We have also agreed to use commercially reasonable efforts to keep the registration statement of which this prospectus is a part </w:t>
      </w:r>
      <w:r>
        <w:rPr>
          <w:rFonts w:ascii="Times New Roman;Times;Serif" w:hAnsi="Times New Roman;Times;Serif"/>
          <w:b w:val="false"/>
          <w:i w:val="false"/>
          <w:caps w:val="false"/>
          <w:smallCaps w:val="false"/>
          <w:sz w:val="20"/>
        </w:rPr>
        <w:t xml:space="preserve">continuously </w:t>
      </w:r>
      <w:r>
        <w:rPr>
          <w:rFonts w:ascii="Times New Roman;Times;Serif" w:hAnsi="Times New Roman;Times;Serif"/>
          <w:b w:val="false"/>
          <w:i w:val="false"/>
          <w:caps w:val="false"/>
          <w:smallCaps w:val="false"/>
          <w:sz w:val="20"/>
          <w:shd w:fill="FFFFFF" w:val="clear"/>
        </w:rPr>
        <w:t xml:space="preserve">effective, supplemented and amended as required by the Securities Act, in order to permit this prospectus to be usable by the Selling Stockholders for a period from the date the registration statement becomes effective to, and including, the date upon which all registrable securities have been sold and no longer subject to restrictions on transfer or the securities no longer constitute registrable securities (whichever is earlier). </w:t>
      </w:r>
    </w:p>
    <w:p>
      <w:pPr>
        <w:pStyle w:val="TextBody"/>
        <w:bidi w:val="0"/>
        <w:spacing w:before="0" w:after="0"/>
        <w:ind w:left="0" w:right="0" w:firstLine="360"/>
        <w:jc w:val="left"/>
        <w:rPr>
          <w:caps w:val="false"/>
          <w:smallCaps w:val="false"/>
        </w:rPr>
      </w:pPr>
      <w:r>
        <w:rPr>
          <w:caps w:val="false"/>
          <w:smallCaps w:val="false"/>
        </w:rPr>
        <w:t xml:space="preserve">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foregoing summary of the terms and conditions of the June 2025 Warrants, the December 2025 Warrants, the Warrants and the July 2026 Penny Warrants does not purport to be complete and is qualified in its entirety by reference to the Form of June 2025 Premium Warrants, Form of June 2025 Penny Warrants, Form of Super Premium Warrants, Form of Premium Warrants, Form of Penny Warrants and Form of July 2026 Penny Warrants that are attached as exhibits to the registration statement of which this prospectus forms a part.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common stock is listed on Nasdaq Capital Markets under the symbol "ARAY."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Computershare Trust Company, N.A.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9" w:name="a_008"/>
      <w:bookmarkEnd w:id="9"/>
      <w:r>
        <w:rPr>
          <w:rFonts w:ascii="Times New Roman;Times;Serif" w:hAnsi="Times New Roman;Times;Serif"/>
          <w:b/>
          <w:i w:val="false"/>
          <w:caps/>
          <w:sz w:val="20"/>
        </w:rPr>
        <w:t>Selling Stockholders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covers the offering for resale from time to time, in one or more offerings, of up to 6,834,308 shares of our common stock, consisting of (i) 2,990,010 shares of our common stock issuable upon exercise of the Super Premium Warrants, (ii) 2,135,721 shares of our common stock issuable upon exercise of the Premium Warrants and (iii) 1,708,577 shares of our common stock issuable upon exercise of the Penny Warrants by the Selling Stockholders. The term “Selling Stockholders” includes the stockholders listed below and their permitted transferees who may acquire shares from a Selling Stockholder after the date of this prospectus. Information concerning the Selling Stockholders may change after the date of this prospectus and changed information will be presented in a supplement to this prospectus if and when required.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table below sets forth the following information, as of July 31, 2026: (i) the name of each Selling Stockholder, (ii) the number of shares of common stock beneficially owned by each Selling Stockholder, (iii) the number of shares of common stock offered by each Selling Stockholder hereunder, (iv) the number of shares of common stock beneficially owned by each Selling Stockholder following the completion of this offering (assuming each Selling Stockholder sells all of the shares of our common stock covered by this prospectus) and (v) the percentage of common stock beneficially owned by each Selling Stockholder following the completion of this offering (assuming each Selling Stockholder sells all of the shares of our common stock covered by this prospectus), based on 119,433,440 shares of our common stock outstanding as of June 30, 2026.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are not making any representation that any shares of common stock covered by this prospectus will be offered for sale. Because each Selling Stockholder may dispose of all, none or some portion of the shares of common stock covered by this prospectus, no estimate can be given as to the number of shares that will be beneficially owned by a Selling Stockholder upon termination of this offering. In addition, the Selling Stockholders may have sold, transferred or otherwise disposed of their shares of common stock in transactions exempt from the registration requirements of the Securities Act after the date on which the information in the table is presented. For purposes of the table below, however, we have assumed that after termination of this offering, none of the shares of common stock registered for resale under this prospectus will be beneficially owned by the Selling Stockholders, and we have further assumed that the Selling Stockholders will not acquire beneficial ownership of any additional shares of common stock during this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is prepared based on information provided to us by the Selling Stockholders. Except as may be described below, none of the Selling Stockholders has had any position, office or other material relationship with us or any of our predecessors or affiliates within the past three years. In addition, based on information provided to us, none of the Selling Stockholders that are affiliates of broker-dealers, if any, purchased the shares of our common stock outside the ordinary course of business or, at the time of their acquisition of such shares, had any agreements, understandings or arrangements with any other persons, directly or indirectly, to dispose of the shares. Information concerning the Selling Stockholders may change from time to time, and any changed information will be set forth in supplements to this prospectus to the extent required.</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60" w:type="dxa"/>
          <w:left w:w="60" w:type="dxa"/>
          <w:bottom w:w="60" w:type="dxa"/>
          <w:right w:w="60" w:type="dxa"/>
        </w:tblCellMar>
      </w:tblPr>
      <w:tblGrid>
        <w:gridCol w:w="1584"/>
        <w:gridCol w:w="1730"/>
        <w:gridCol w:w="1837"/>
        <w:gridCol w:w="1501"/>
        <w:gridCol w:w="1714"/>
        <w:gridCol w:w="1839"/>
      </w:tblGrid>
      <w:tr>
        <w:trPr/>
        <w:tc>
          <w:tcPr>
            <w:tcW w:w="1584"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Name of Selling Stockholder  </w:t>
            </w:r>
            <w:r>
              <w:rPr>
                <w:rFonts w:ascii="Times New Roman;Times;Serif" w:hAnsi="Times New Roman;Times;Serif"/>
                <w:b w:val="false"/>
                <w:i w:val="false"/>
                <w:caps w:val="false"/>
                <w:smallCaps w:val="false"/>
                <w:sz w:val="20"/>
              </w:rPr>
              <w:t xml:space="preserve"> </w:t>
            </w:r>
          </w:p>
        </w:tc>
        <w:tc>
          <w:tcPr>
            <w:tcW w:w="173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Shares of Common Stock Beneficially Owned Before this Offering (1)  </w:t>
            </w:r>
            <w:r>
              <w:rPr>
                <w:rFonts w:ascii="Times New Roman;Times;Serif" w:hAnsi="Times New Roman;Times;Serif"/>
                <w:b w:val="false"/>
                <w:i w:val="false"/>
                <w:caps w:val="false"/>
                <w:smallCaps w:val="false"/>
                <w:sz w:val="20"/>
              </w:rPr>
              <w:t xml:space="preserve"> </w:t>
            </w:r>
          </w:p>
        </w:tc>
        <w:tc>
          <w:tcPr>
            <w:tcW w:w="1837"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Percentage of Shares of Common Stock Beneficially Owned Before this Offering  </w:t>
            </w:r>
            <w:r>
              <w:rPr>
                <w:rFonts w:ascii="Times New Roman;Times;Serif" w:hAnsi="Times New Roman;Times;Serif"/>
                <w:b w:val="false"/>
                <w:i w:val="false"/>
                <w:caps w:val="false"/>
                <w:smallCaps w:val="false"/>
                <w:sz w:val="20"/>
              </w:rPr>
              <w:t xml:space="preserve"> </w:t>
            </w:r>
          </w:p>
        </w:tc>
        <w:tc>
          <w:tcPr>
            <w:tcW w:w="1501"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Shares of Common Stock Offered by this Prospectus (1) </w:t>
            </w:r>
            <w:r>
              <w:rPr>
                <w:rFonts w:ascii="Times New Roman;Times;Serif" w:hAnsi="Times New Roman;Times;Serif"/>
                <w:b w:val="false"/>
                <w:i w:val="false"/>
                <w:caps w:val="false"/>
                <w:smallCaps w:val="false"/>
                <w:sz w:val="20"/>
              </w:rPr>
              <w:t xml:space="preserve">  </w:t>
            </w:r>
          </w:p>
        </w:tc>
        <w:tc>
          <w:tcPr>
            <w:tcW w:w="1714"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Shares of Common Stock Beneficially Owned After this Offering (1)  </w:t>
            </w:r>
            <w:r>
              <w:rPr>
                <w:rFonts w:ascii="Times New Roman;Times;Serif" w:hAnsi="Times New Roman;Times;Serif"/>
                <w:b w:val="false"/>
                <w:i w:val="false"/>
                <w:caps w:val="false"/>
                <w:smallCaps w:val="false"/>
                <w:sz w:val="20"/>
              </w:rPr>
              <w:t xml:space="preserve"> </w:t>
            </w:r>
          </w:p>
        </w:tc>
        <w:tc>
          <w:tcPr>
            <w:tcW w:w="1839"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Percentage of Shares of Common Stock Beneficially Owned After this Offering  </w:t>
            </w:r>
            <w:r>
              <w:rPr>
                <w:rFonts w:ascii="Times New Roman;Times;Serif" w:hAnsi="Times New Roman;Times;Serif"/>
                <w:b w:val="false"/>
                <w:i w:val="false"/>
                <w:caps w:val="false"/>
                <w:smallCaps w:val="false"/>
                <w:sz w:val="20"/>
              </w:rPr>
              <w:t xml:space="preserve"> </w:t>
            </w:r>
          </w:p>
        </w:tc>
      </w:tr>
      <w:tr>
        <w:trPr/>
        <w:tc>
          <w:tcPr>
            <w:tcW w:w="1584" w:type="dxa"/>
            <w:tcBorders/>
            <w:tcMar>
              <w:top w:w="0" w:type="dxa"/>
              <w:left w:w="0" w:type="dxa"/>
              <w:bottom w:w="0" w:type="dxa"/>
              <w:right w:w="0" w:type="dxa"/>
            </w:tcMar>
            <w:vAlign w:val="center"/>
          </w:tcPr>
          <w:p>
            <w:pPr>
              <w:pStyle w:val="TableContents"/>
              <w:bidi w:val="0"/>
              <w:spacing w:before="0" w:after="283"/>
              <w:jc w:val="left"/>
              <w:rPr/>
            </w:pPr>
            <w:r>
              <w:rPr>
                <w:sz w:val="20"/>
              </w:rPr>
              <w:t>First Trust Alternative Opportunities Fund (2)</w:t>
            </w:r>
            <w:r>
              <w:rPr/>
              <w:t xml:space="preserve"> </w:t>
            </w:r>
          </w:p>
        </w:tc>
        <w:tc>
          <w:tcPr>
            <w:tcW w:w="1730" w:type="dxa"/>
            <w:tcBorders/>
            <w:tcMar>
              <w:top w:w="0" w:type="dxa"/>
              <w:left w:w="0" w:type="dxa"/>
              <w:bottom w:w="0" w:type="dxa"/>
              <w:right w:w="0" w:type="dxa"/>
            </w:tcMar>
            <w:vAlign w:val="center"/>
          </w:tcPr>
          <w:p>
            <w:pPr>
              <w:pStyle w:val="TableContents"/>
              <w:bidi w:val="0"/>
              <w:spacing w:before="0" w:after="283"/>
              <w:jc w:val="right"/>
              <w:rPr/>
            </w:pPr>
            <w:r>
              <w:rPr>
                <w:sz w:val="20"/>
              </w:rPr>
              <w:t>6,022,059</w:t>
            </w:r>
            <w:r>
              <w:rPr/>
              <w:t xml:space="preserve"> </w:t>
            </w:r>
          </w:p>
        </w:tc>
        <w:tc>
          <w:tcPr>
            <w:tcW w:w="1837" w:type="dxa"/>
            <w:tcBorders/>
            <w:tcMar>
              <w:top w:w="0" w:type="dxa"/>
              <w:left w:w="0" w:type="dxa"/>
              <w:bottom w:w="0" w:type="dxa"/>
              <w:right w:w="0" w:type="dxa"/>
            </w:tcMar>
            <w:vAlign w:val="center"/>
          </w:tcPr>
          <w:p>
            <w:pPr>
              <w:pStyle w:val="TableContents"/>
              <w:bidi w:val="0"/>
              <w:spacing w:before="0" w:after="283"/>
              <w:jc w:val="right"/>
              <w:rPr/>
            </w:pPr>
            <w:r>
              <w:rPr>
                <w:sz w:val="20"/>
              </w:rPr>
              <w:t>5.04%</w:t>
            </w:r>
            <w:r>
              <w:rPr/>
              <w:t xml:space="preserve"> </w:t>
            </w:r>
          </w:p>
        </w:tc>
        <w:tc>
          <w:tcPr>
            <w:tcW w:w="1501" w:type="dxa"/>
            <w:tcBorders/>
            <w:tcMar>
              <w:top w:w="0" w:type="dxa"/>
              <w:left w:w="0" w:type="dxa"/>
              <w:bottom w:w="0" w:type="dxa"/>
              <w:right w:w="0" w:type="dxa"/>
            </w:tcMar>
            <w:vAlign w:val="center"/>
          </w:tcPr>
          <w:p>
            <w:pPr>
              <w:pStyle w:val="TableContents"/>
              <w:bidi w:val="0"/>
              <w:spacing w:before="0" w:after="283"/>
              <w:jc w:val="right"/>
              <w:rPr/>
            </w:pPr>
            <w:r>
              <w:rPr/>
              <w:t> </w:t>
            </w:r>
            <w:r>
              <w:rPr>
                <w:sz w:val="20"/>
              </w:rPr>
              <w:t>1,053,623</w:t>
            </w:r>
            <w:r>
              <w:rPr/>
              <w:t xml:space="preserve"> </w:t>
            </w:r>
          </w:p>
        </w:tc>
        <w:tc>
          <w:tcPr>
            <w:tcW w:w="1714" w:type="dxa"/>
            <w:tcBorders/>
            <w:tcMar>
              <w:top w:w="0" w:type="dxa"/>
              <w:left w:w="0" w:type="dxa"/>
              <w:bottom w:w="0" w:type="dxa"/>
              <w:right w:w="0" w:type="dxa"/>
            </w:tcMar>
            <w:vAlign w:val="center"/>
          </w:tcPr>
          <w:p>
            <w:pPr>
              <w:pStyle w:val="TableContents"/>
              <w:bidi w:val="0"/>
              <w:spacing w:before="0" w:after="283"/>
              <w:jc w:val="right"/>
              <w:rPr/>
            </w:pPr>
            <w:r>
              <w:rPr>
                <w:sz w:val="20"/>
              </w:rPr>
              <w:t>4,968,436</w:t>
            </w:r>
            <w:r>
              <w:rPr/>
              <w:t xml:space="preserve"> </w:t>
            </w:r>
          </w:p>
        </w:tc>
        <w:tc>
          <w:tcPr>
            <w:tcW w:w="1839" w:type="dxa"/>
            <w:tcBorders/>
            <w:tcMar>
              <w:top w:w="0" w:type="dxa"/>
              <w:left w:w="0" w:type="dxa"/>
              <w:bottom w:w="0" w:type="dxa"/>
              <w:right w:w="0" w:type="dxa"/>
            </w:tcMar>
            <w:vAlign w:val="center"/>
          </w:tcPr>
          <w:p>
            <w:pPr>
              <w:pStyle w:val="TableContents"/>
              <w:bidi w:val="0"/>
              <w:spacing w:before="0" w:after="283"/>
              <w:jc w:val="right"/>
              <w:rPr/>
            </w:pPr>
            <w:r>
              <w:rPr>
                <w:sz w:val="20"/>
              </w:rPr>
              <w:t>4.16%</w:t>
            </w:r>
            <w:r>
              <w:rPr/>
              <w:t xml:space="preserve"> </w:t>
            </w:r>
          </w:p>
        </w:tc>
      </w:tr>
      <w:tr>
        <w:trPr/>
        <w:tc>
          <w:tcPr>
            <w:tcW w:w="1584" w:type="dxa"/>
            <w:tcBorders/>
            <w:tcMar>
              <w:top w:w="0" w:type="dxa"/>
              <w:left w:w="0" w:type="dxa"/>
              <w:bottom w:w="0" w:type="dxa"/>
              <w:right w:w="0" w:type="dxa"/>
            </w:tcMar>
            <w:vAlign w:val="center"/>
          </w:tcPr>
          <w:p>
            <w:pPr>
              <w:pStyle w:val="TableContents"/>
              <w:bidi w:val="0"/>
              <w:spacing w:before="0" w:after="283"/>
              <w:jc w:val="left"/>
              <w:rPr/>
            </w:pPr>
            <w:r>
              <w:rPr>
                <w:sz w:val="20"/>
              </w:rPr>
              <w:t>First Trust Private Credit Fund (3)</w:t>
            </w:r>
            <w:r>
              <w:rPr/>
              <w:t xml:space="preserve"> </w:t>
            </w:r>
          </w:p>
        </w:tc>
        <w:tc>
          <w:tcPr>
            <w:tcW w:w="1730" w:type="dxa"/>
            <w:tcBorders/>
            <w:tcMar>
              <w:top w:w="0" w:type="dxa"/>
              <w:left w:w="0" w:type="dxa"/>
              <w:bottom w:w="0" w:type="dxa"/>
              <w:right w:w="0" w:type="dxa"/>
            </w:tcMar>
            <w:vAlign w:val="center"/>
          </w:tcPr>
          <w:p>
            <w:pPr>
              <w:pStyle w:val="TableContents"/>
              <w:bidi w:val="0"/>
              <w:spacing w:before="0" w:after="283"/>
              <w:jc w:val="right"/>
              <w:rPr/>
            </w:pPr>
            <w:r>
              <w:rPr>
                <w:sz w:val="20"/>
              </w:rPr>
              <w:t>2,641,814</w:t>
            </w:r>
            <w:r>
              <w:rPr/>
              <w:t xml:space="preserve"> </w:t>
            </w:r>
          </w:p>
        </w:tc>
        <w:tc>
          <w:tcPr>
            <w:tcW w:w="1837" w:type="dxa"/>
            <w:tcBorders/>
            <w:tcMar>
              <w:top w:w="0" w:type="dxa"/>
              <w:left w:w="0" w:type="dxa"/>
              <w:bottom w:w="0" w:type="dxa"/>
              <w:right w:w="0" w:type="dxa"/>
            </w:tcMar>
            <w:vAlign w:val="center"/>
          </w:tcPr>
          <w:p>
            <w:pPr>
              <w:pStyle w:val="TableContents"/>
              <w:bidi w:val="0"/>
              <w:spacing w:before="0" w:after="283"/>
              <w:jc w:val="right"/>
              <w:rPr/>
            </w:pPr>
            <w:r>
              <w:rPr>
                <w:sz w:val="20"/>
              </w:rPr>
              <w:t>2.21%</w:t>
            </w:r>
            <w:r>
              <w:rPr/>
              <w:t xml:space="preserve"> </w:t>
            </w:r>
          </w:p>
        </w:tc>
        <w:tc>
          <w:tcPr>
            <w:tcW w:w="1501" w:type="dxa"/>
            <w:tcBorders/>
            <w:tcMar>
              <w:top w:w="0" w:type="dxa"/>
              <w:left w:w="0" w:type="dxa"/>
              <w:bottom w:w="0" w:type="dxa"/>
              <w:right w:w="0" w:type="dxa"/>
            </w:tcMar>
            <w:vAlign w:val="center"/>
          </w:tcPr>
          <w:p>
            <w:pPr>
              <w:pStyle w:val="TableContents"/>
              <w:bidi w:val="0"/>
              <w:spacing w:before="0" w:after="283"/>
              <w:jc w:val="right"/>
              <w:rPr/>
            </w:pPr>
            <w:r>
              <w:rPr/>
              <w:t> </w:t>
            </w:r>
            <w:r>
              <w:rPr>
                <w:sz w:val="20"/>
              </w:rPr>
              <w:t>170,857</w:t>
            </w:r>
            <w:r>
              <w:rPr/>
              <w:t xml:space="preserve"> </w:t>
            </w:r>
          </w:p>
        </w:tc>
        <w:tc>
          <w:tcPr>
            <w:tcW w:w="1714" w:type="dxa"/>
            <w:tcBorders/>
            <w:tcMar>
              <w:top w:w="0" w:type="dxa"/>
              <w:left w:w="0" w:type="dxa"/>
              <w:bottom w:w="0" w:type="dxa"/>
              <w:right w:w="0" w:type="dxa"/>
            </w:tcMar>
            <w:vAlign w:val="center"/>
          </w:tcPr>
          <w:p>
            <w:pPr>
              <w:pStyle w:val="TableContents"/>
              <w:bidi w:val="0"/>
              <w:spacing w:before="0" w:after="283"/>
              <w:jc w:val="right"/>
              <w:rPr/>
            </w:pPr>
            <w:r>
              <w:rPr>
                <w:sz w:val="20"/>
              </w:rPr>
              <w:t>2,470,957</w:t>
            </w:r>
            <w:r>
              <w:rPr/>
              <w:t xml:space="preserve"> </w:t>
            </w:r>
          </w:p>
        </w:tc>
        <w:tc>
          <w:tcPr>
            <w:tcW w:w="1839" w:type="dxa"/>
            <w:tcBorders/>
            <w:tcMar>
              <w:top w:w="0" w:type="dxa"/>
              <w:left w:w="0" w:type="dxa"/>
              <w:bottom w:w="0" w:type="dxa"/>
              <w:right w:w="0" w:type="dxa"/>
            </w:tcMar>
            <w:vAlign w:val="center"/>
          </w:tcPr>
          <w:p>
            <w:pPr>
              <w:pStyle w:val="TableContents"/>
              <w:bidi w:val="0"/>
              <w:spacing w:before="0" w:after="283"/>
              <w:jc w:val="right"/>
              <w:rPr/>
            </w:pPr>
            <w:r>
              <w:rPr>
                <w:sz w:val="20"/>
              </w:rPr>
              <w:t>2.07%</w:t>
            </w:r>
            <w:r>
              <w:rPr/>
              <w:t xml:space="preserve"> </w:t>
            </w:r>
          </w:p>
        </w:tc>
      </w:tr>
      <w:tr>
        <w:trPr/>
        <w:tc>
          <w:tcPr>
            <w:tcW w:w="1584" w:type="dxa"/>
            <w:tcBorders/>
            <w:tcMar>
              <w:top w:w="0" w:type="dxa"/>
              <w:left w:w="0" w:type="dxa"/>
              <w:bottom w:w="0" w:type="dxa"/>
              <w:right w:w="0" w:type="dxa"/>
            </w:tcMar>
            <w:vAlign w:val="center"/>
          </w:tcPr>
          <w:p>
            <w:pPr>
              <w:pStyle w:val="TableContents"/>
              <w:bidi w:val="0"/>
              <w:spacing w:before="0" w:after="283"/>
              <w:jc w:val="left"/>
              <w:rPr/>
            </w:pPr>
            <w:r>
              <w:rPr>
                <w:sz w:val="20"/>
              </w:rPr>
              <w:t>First Trust Enhanced Private Credit Fund (4)</w:t>
            </w:r>
            <w:r>
              <w:rPr/>
              <w:t xml:space="preserve"> </w:t>
            </w:r>
          </w:p>
        </w:tc>
        <w:tc>
          <w:tcPr>
            <w:tcW w:w="1730" w:type="dxa"/>
            <w:tcBorders/>
            <w:tcMar>
              <w:top w:w="0" w:type="dxa"/>
              <w:left w:w="0" w:type="dxa"/>
              <w:bottom w:w="0" w:type="dxa"/>
              <w:right w:w="0" w:type="dxa"/>
            </w:tcMar>
            <w:vAlign w:val="center"/>
          </w:tcPr>
          <w:p>
            <w:pPr>
              <w:pStyle w:val="TableContents"/>
              <w:bidi w:val="0"/>
              <w:spacing w:before="0" w:after="283"/>
              <w:jc w:val="right"/>
              <w:rPr/>
            </w:pPr>
            <w:r>
              <w:rPr>
                <w:sz w:val="20"/>
              </w:rPr>
              <w:t>1,007,426</w:t>
            </w:r>
            <w:r>
              <w:rPr/>
              <w:t xml:space="preserve"> </w:t>
            </w:r>
          </w:p>
        </w:tc>
        <w:tc>
          <w:tcPr>
            <w:tcW w:w="1837" w:type="dxa"/>
            <w:tcBorders/>
            <w:tcMar>
              <w:top w:w="0" w:type="dxa"/>
              <w:left w:w="0" w:type="dxa"/>
              <w:bottom w:w="0" w:type="dxa"/>
              <w:right w:w="0" w:type="dxa"/>
            </w:tcMar>
            <w:vAlign w:val="center"/>
          </w:tcPr>
          <w:p>
            <w:pPr>
              <w:pStyle w:val="TableContents"/>
              <w:bidi w:val="0"/>
              <w:spacing w:before="0" w:after="283"/>
              <w:jc w:val="right"/>
              <w:rPr/>
            </w:pPr>
            <w:r>
              <w:rPr>
                <w:sz w:val="20"/>
              </w:rPr>
              <w:t>*</w:t>
            </w:r>
            <w:r>
              <w:rPr/>
              <w:t xml:space="preserve"> </w:t>
            </w:r>
          </w:p>
        </w:tc>
        <w:tc>
          <w:tcPr>
            <w:tcW w:w="1501" w:type="dxa"/>
            <w:tcBorders/>
            <w:tcMar>
              <w:top w:w="0" w:type="dxa"/>
              <w:left w:w="0" w:type="dxa"/>
              <w:bottom w:w="0" w:type="dxa"/>
              <w:right w:w="0" w:type="dxa"/>
            </w:tcMar>
            <w:vAlign w:val="center"/>
          </w:tcPr>
          <w:p>
            <w:pPr>
              <w:pStyle w:val="TableContents"/>
              <w:bidi w:val="0"/>
              <w:spacing w:before="0" w:after="283"/>
              <w:jc w:val="right"/>
              <w:rPr/>
            </w:pPr>
            <w:r>
              <w:rPr/>
              <w:t> </w:t>
            </w:r>
            <w:r>
              <w:rPr>
                <w:sz w:val="20"/>
              </w:rPr>
              <w:t>142,381</w:t>
            </w:r>
            <w:r>
              <w:rPr/>
              <w:t xml:space="preserve"> </w:t>
            </w:r>
          </w:p>
        </w:tc>
        <w:tc>
          <w:tcPr>
            <w:tcW w:w="1714" w:type="dxa"/>
            <w:tcBorders/>
            <w:tcMar>
              <w:top w:w="0" w:type="dxa"/>
              <w:left w:w="0" w:type="dxa"/>
              <w:bottom w:w="0" w:type="dxa"/>
              <w:right w:w="0" w:type="dxa"/>
            </w:tcMar>
            <w:vAlign w:val="center"/>
          </w:tcPr>
          <w:p>
            <w:pPr>
              <w:pStyle w:val="TableContents"/>
              <w:bidi w:val="0"/>
              <w:spacing w:before="0" w:after="283"/>
              <w:jc w:val="right"/>
              <w:rPr/>
            </w:pPr>
            <w:r>
              <w:rPr>
                <w:sz w:val="20"/>
              </w:rPr>
              <w:t>865,045</w:t>
            </w:r>
            <w:r>
              <w:rPr/>
              <w:t xml:space="preserve"> </w:t>
            </w:r>
          </w:p>
        </w:tc>
        <w:tc>
          <w:tcPr>
            <w:tcW w:w="1839" w:type="dxa"/>
            <w:tcBorders/>
            <w:tcMar>
              <w:top w:w="0" w:type="dxa"/>
              <w:left w:w="0" w:type="dxa"/>
              <w:bottom w:w="0" w:type="dxa"/>
              <w:right w:w="0" w:type="dxa"/>
            </w:tcMar>
            <w:vAlign w:val="center"/>
          </w:tcPr>
          <w:p>
            <w:pPr>
              <w:pStyle w:val="TableContents"/>
              <w:bidi w:val="0"/>
              <w:spacing w:before="0" w:after="283"/>
              <w:jc w:val="right"/>
              <w:rPr/>
            </w:pPr>
            <w:r>
              <w:rPr>
                <w:sz w:val="20"/>
              </w:rPr>
              <w:t>*</w:t>
            </w:r>
            <w:r>
              <w:rPr/>
              <w:t xml:space="preserve"> </w:t>
            </w:r>
          </w:p>
        </w:tc>
      </w:tr>
      <w:tr>
        <w:trPr/>
        <w:tc>
          <w:tcPr>
            <w:tcW w:w="1584" w:type="dxa"/>
            <w:tcBorders/>
            <w:tcMar>
              <w:top w:w="0" w:type="dxa"/>
              <w:left w:w="0" w:type="dxa"/>
              <w:bottom w:w="0" w:type="dxa"/>
              <w:right w:w="0" w:type="dxa"/>
            </w:tcMar>
            <w:vAlign w:val="center"/>
          </w:tcPr>
          <w:p>
            <w:pPr>
              <w:pStyle w:val="TableContents"/>
              <w:bidi w:val="0"/>
              <w:spacing w:before="0" w:after="283"/>
              <w:jc w:val="left"/>
              <w:rPr/>
            </w:pPr>
            <w:r>
              <w:rPr>
                <w:sz w:val="20"/>
              </w:rPr>
              <w:t>Asilia Credit Fund, LP (5)</w:t>
            </w:r>
            <w:r>
              <w:rPr/>
              <w:t xml:space="preserve"> </w:t>
            </w:r>
          </w:p>
        </w:tc>
        <w:tc>
          <w:tcPr>
            <w:tcW w:w="1730" w:type="dxa"/>
            <w:tcBorders/>
            <w:tcMar>
              <w:top w:w="0" w:type="dxa"/>
              <w:left w:w="0" w:type="dxa"/>
              <w:bottom w:w="0" w:type="dxa"/>
              <w:right w:w="0" w:type="dxa"/>
            </w:tcMar>
            <w:vAlign w:val="center"/>
          </w:tcPr>
          <w:p>
            <w:pPr>
              <w:pStyle w:val="TableContents"/>
              <w:bidi w:val="0"/>
              <w:spacing w:before="0" w:after="283"/>
              <w:jc w:val="right"/>
              <w:rPr/>
            </w:pPr>
            <w:r>
              <w:rPr>
                <w:sz w:val="20"/>
              </w:rPr>
              <w:t>6,447,533</w:t>
            </w:r>
            <w:r>
              <w:rPr/>
              <w:t xml:space="preserve"> </w:t>
            </w:r>
          </w:p>
        </w:tc>
        <w:tc>
          <w:tcPr>
            <w:tcW w:w="1837" w:type="dxa"/>
            <w:tcBorders/>
            <w:tcMar>
              <w:top w:w="0" w:type="dxa"/>
              <w:left w:w="0" w:type="dxa"/>
              <w:bottom w:w="0" w:type="dxa"/>
              <w:right w:w="0" w:type="dxa"/>
            </w:tcMar>
            <w:vAlign w:val="center"/>
          </w:tcPr>
          <w:p>
            <w:pPr>
              <w:pStyle w:val="TableContents"/>
              <w:bidi w:val="0"/>
              <w:spacing w:before="0" w:after="283"/>
              <w:jc w:val="right"/>
              <w:rPr/>
            </w:pPr>
            <w:r>
              <w:rPr>
                <w:sz w:val="20"/>
              </w:rPr>
              <w:t>5.40%</w:t>
            </w:r>
            <w:r>
              <w:rPr/>
              <w:t xml:space="preserve"> </w:t>
            </w:r>
          </w:p>
        </w:tc>
        <w:tc>
          <w:tcPr>
            <w:tcW w:w="1501" w:type="dxa"/>
            <w:tcBorders/>
            <w:tcMar>
              <w:top w:w="0" w:type="dxa"/>
              <w:left w:w="0" w:type="dxa"/>
              <w:bottom w:w="0" w:type="dxa"/>
              <w:right w:w="0" w:type="dxa"/>
            </w:tcMar>
            <w:vAlign w:val="center"/>
          </w:tcPr>
          <w:p>
            <w:pPr>
              <w:pStyle w:val="TableContents"/>
              <w:bidi w:val="0"/>
              <w:spacing w:before="0" w:after="283"/>
              <w:jc w:val="right"/>
              <w:rPr/>
            </w:pPr>
            <w:r>
              <w:rPr/>
              <w:t> </w:t>
            </w:r>
            <w:r>
              <w:rPr>
                <w:sz w:val="20"/>
              </w:rPr>
              <w:t>911,241</w:t>
            </w:r>
            <w:r>
              <w:rPr/>
              <w:t xml:space="preserve"> </w:t>
            </w:r>
          </w:p>
        </w:tc>
        <w:tc>
          <w:tcPr>
            <w:tcW w:w="1714" w:type="dxa"/>
            <w:tcBorders/>
            <w:tcMar>
              <w:top w:w="0" w:type="dxa"/>
              <w:left w:w="0" w:type="dxa"/>
              <w:bottom w:w="0" w:type="dxa"/>
              <w:right w:w="0" w:type="dxa"/>
            </w:tcMar>
            <w:vAlign w:val="center"/>
          </w:tcPr>
          <w:p>
            <w:pPr>
              <w:pStyle w:val="TableContents"/>
              <w:bidi w:val="0"/>
              <w:spacing w:before="0" w:after="283"/>
              <w:jc w:val="right"/>
              <w:rPr/>
            </w:pPr>
            <w:r>
              <w:rPr>
                <w:sz w:val="20"/>
              </w:rPr>
              <w:t>5,536,292</w:t>
            </w:r>
            <w:r>
              <w:rPr/>
              <w:t xml:space="preserve"> </w:t>
            </w:r>
          </w:p>
        </w:tc>
        <w:tc>
          <w:tcPr>
            <w:tcW w:w="1839" w:type="dxa"/>
            <w:tcBorders/>
            <w:tcMar>
              <w:top w:w="0" w:type="dxa"/>
              <w:left w:w="0" w:type="dxa"/>
              <w:bottom w:w="0" w:type="dxa"/>
              <w:right w:w="0" w:type="dxa"/>
            </w:tcMar>
            <w:vAlign w:val="center"/>
          </w:tcPr>
          <w:p>
            <w:pPr>
              <w:pStyle w:val="TableContents"/>
              <w:bidi w:val="0"/>
              <w:spacing w:before="0" w:after="283"/>
              <w:jc w:val="right"/>
              <w:rPr/>
            </w:pPr>
            <w:r>
              <w:rPr>
                <w:sz w:val="20"/>
              </w:rPr>
              <w:t>4.64%</w:t>
            </w:r>
            <w:r>
              <w:rPr/>
              <w:t xml:space="preserve"> </w:t>
            </w:r>
          </w:p>
        </w:tc>
      </w:tr>
      <w:tr>
        <w:trPr/>
        <w:tc>
          <w:tcPr>
            <w:tcW w:w="1584" w:type="dxa"/>
            <w:tcBorders/>
            <w:tcMar>
              <w:top w:w="0" w:type="dxa"/>
              <w:left w:w="0" w:type="dxa"/>
              <w:bottom w:w="0" w:type="dxa"/>
              <w:right w:w="0" w:type="dxa"/>
            </w:tcMar>
            <w:vAlign w:val="center"/>
          </w:tcPr>
          <w:p>
            <w:pPr>
              <w:pStyle w:val="TableContents"/>
              <w:bidi w:val="0"/>
              <w:spacing w:before="0" w:after="283"/>
              <w:jc w:val="left"/>
              <w:rPr/>
            </w:pPr>
            <w:r>
              <w:rPr>
                <w:sz w:val="20"/>
              </w:rPr>
              <w:t>Walnut Capital Fund I, LP (6)</w:t>
            </w:r>
            <w:r>
              <w:rPr/>
              <w:t xml:space="preserve"> </w:t>
            </w:r>
          </w:p>
        </w:tc>
        <w:tc>
          <w:tcPr>
            <w:tcW w:w="1730" w:type="dxa"/>
            <w:tcBorders/>
            <w:tcMar>
              <w:top w:w="0" w:type="dxa"/>
              <w:left w:w="0" w:type="dxa"/>
              <w:bottom w:w="0" w:type="dxa"/>
              <w:right w:w="0" w:type="dxa"/>
            </w:tcMar>
            <w:vAlign w:val="center"/>
          </w:tcPr>
          <w:p>
            <w:pPr>
              <w:pStyle w:val="TableContents"/>
              <w:bidi w:val="0"/>
              <w:spacing w:before="0" w:after="283"/>
              <w:jc w:val="right"/>
              <w:rPr/>
            </w:pPr>
            <w:r>
              <w:rPr/>
              <w:t> </w:t>
            </w:r>
            <w:r>
              <w:rPr>
                <w:sz w:val="20"/>
              </w:rPr>
              <w:t>1,242,103</w:t>
            </w:r>
            <w:r>
              <w:rPr/>
              <w:t xml:space="preserve"> </w:t>
            </w:r>
          </w:p>
        </w:tc>
        <w:tc>
          <w:tcPr>
            <w:tcW w:w="1837" w:type="dxa"/>
            <w:tcBorders/>
            <w:tcMar>
              <w:top w:w="0" w:type="dxa"/>
              <w:left w:w="0" w:type="dxa"/>
              <w:bottom w:w="0" w:type="dxa"/>
              <w:right w:w="0" w:type="dxa"/>
            </w:tcMar>
            <w:vAlign w:val="center"/>
          </w:tcPr>
          <w:p>
            <w:pPr>
              <w:pStyle w:val="TableContents"/>
              <w:bidi w:val="0"/>
              <w:spacing w:before="0" w:after="283"/>
              <w:jc w:val="right"/>
              <w:rPr/>
            </w:pPr>
            <w:r>
              <w:rPr>
                <w:sz w:val="20"/>
              </w:rPr>
              <w:t>1.04%</w:t>
            </w:r>
            <w:r>
              <w:rPr/>
              <w:t xml:space="preserve"> </w:t>
            </w:r>
          </w:p>
        </w:tc>
        <w:tc>
          <w:tcPr>
            <w:tcW w:w="1501" w:type="dxa"/>
            <w:tcBorders/>
            <w:tcMar>
              <w:top w:w="0" w:type="dxa"/>
              <w:left w:w="0" w:type="dxa"/>
              <w:bottom w:w="0" w:type="dxa"/>
              <w:right w:w="0" w:type="dxa"/>
            </w:tcMar>
            <w:vAlign w:val="center"/>
          </w:tcPr>
          <w:p>
            <w:pPr>
              <w:pStyle w:val="TableContents"/>
              <w:bidi w:val="0"/>
              <w:spacing w:before="0" w:after="283"/>
              <w:jc w:val="right"/>
              <w:rPr/>
            </w:pPr>
            <w:r>
              <w:rPr/>
              <w:t> </w:t>
            </w:r>
            <w:r>
              <w:rPr>
                <w:sz w:val="20"/>
              </w:rPr>
              <w:t>227,811</w:t>
            </w:r>
            <w:r>
              <w:rPr/>
              <w:t xml:space="preserve"> </w:t>
            </w:r>
          </w:p>
        </w:tc>
        <w:tc>
          <w:tcPr>
            <w:tcW w:w="1714" w:type="dxa"/>
            <w:tcBorders/>
            <w:tcMar>
              <w:top w:w="0" w:type="dxa"/>
              <w:left w:w="0" w:type="dxa"/>
              <w:bottom w:w="0" w:type="dxa"/>
              <w:right w:w="0" w:type="dxa"/>
            </w:tcMar>
            <w:vAlign w:val="center"/>
          </w:tcPr>
          <w:p>
            <w:pPr>
              <w:pStyle w:val="TableContents"/>
              <w:bidi w:val="0"/>
              <w:spacing w:before="0" w:after="283"/>
              <w:jc w:val="right"/>
              <w:rPr/>
            </w:pPr>
            <w:r>
              <w:rPr/>
              <w:t> </w:t>
            </w:r>
            <w:r>
              <w:rPr>
                <w:sz w:val="20"/>
              </w:rPr>
              <w:t>1,014,292</w:t>
            </w:r>
            <w:r>
              <w:rPr/>
              <w:t xml:space="preserve"> </w:t>
            </w:r>
          </w:p>
        </w:tc>
        <w:tc>
          <w:tcPr>
            <w:tcW w:w="1839" w:type="dxa"/>
            <w:tcBorders/>
            <w:tcMar>
              <w:top w:w="0" w:type="dxa"/>
              <w:left w:w="0" w:type="dxa"/>
              <w:bottom w:w="0" w:type="dxa"/>
              <w:right w:w="0" w:type="dxa"/>
            </w:tcMar>
            <w:vAlign w:val="center"/>
          </w:tcPr>
          <w:p>
            <w:pPr>
              <w:pStyle w:val="TableContents"/>
              <w:bidi w:val="0"/>
              <w:spacing w:before="0" w:after="283"/>
              <w:jc w:val="right"/>
              <w:rPr/>
            </w:pPr>
            <w:r>
              <w:rPr>
                <w:sz w:val="20"/>
              </w:rPr>
              <w:t>*</w:t>
            </w:r>
            <w:r>
              <w:rPr/>
              <w:t xml:space="preserve"> </w:t>
            </w:r>
          </w:p>
        </w:tc>
      </w:tr>
      <w:tr>
        <w:trPr/>
        <w:tc>
          <w:tcPr>
            <w:tcW w:w="1584" w:type="dxa"/>
            <w:tcBorders/>
            <w:tcMar>
              <w:top w:w="0" w:type="dxa"/>
              <w:left w:w="0" w:type="dxa"/>
              <w:bottom w:w="0" w:type="dxa"/>
              <w:right w:w="0" w:type="dxa"/>
            </w:tcMar>
            <w:vAlign w:val="center"/>
          </w:tcPr>
          <w:p>
            <w:pPr>
              <w:pStyle w:val="TableContents"/>
              <w:bidi w:val="0"/>
              <w:spacing w:before="0" w:after="283"/>
              <w:jc w:val="left"/>
              <w:rPr/>
            </w:pPr>
            <w:r>
              <w:rPr>
                <w:sz w:val="20"/>
              </w:rPr>
              <w:t>Nationwide Mutual Insurance Company (7)</w:t>
            </w:r>
            <w:r>
              <w:rPr/>
              <w:t xml:space="preserve"> </w:t>
            </w:r>
          </w:p>
        </w:tc>
        <w:tc>
          <w:tcPr>
            <w:tcW w:w="1730" w:type="dxa"/>
            <w:tcBorders/>
            <w:tcMar>
              <w:top w:w="0" w:type="dxa"/>
              <w:left w:w="0" w:type="dxa"/>
              <w:bottom w:w="0" w:type="dxa"/>
              <w:right w:w="0" w:type="dxa"/>
            </w:tcMar>
            <w:vAlign w:val="center"/>
          </w:tcPr>
          <w:p>
            <w:pPr>
              <w:pStyle w:val="TableContents"/>
              <w:bidi w:val="0"/>
              <w:spacing w:before="0" w:after="283"/>
              <w:jc w:val="right"/>
              <w:rPr/>
            </w:pPr>
            <w:r>
              <w:rPr>
                <w:sz w:val="20"/>
              </w:rPr>
              <w:t>6,564,567</w:t>
            </w:r>
            <w:r>
              <w:rPr/>
              <w:t xml:space="preserve"> </w:t>
            </w:r>
          </w:p>
        </w:tc>
        <w:tc>
          <w:tcPr>
            <w:tcW w:w="1837" w:type="dxa"/>
            <w:tcBorders/>
            <w:tcMar>
              <w:top w:w="0" w:type="dxa"/>
              <w:left w:w="0" w:type="dxa"/>
              <w:bottom w:w="0" w:type="dxa"/>
              <w:right w:w="0" w:type="dxa"/>
            </w:tcMar>
            <w:vAlign w:val="center"/>
          </w:tcPr>
          <w:p>
            <w:pPr>
              <w:pStyle w:val="TableContents"/>
              <w:bidi w:val="0"/>
              <w:spacing w:before="0" w:after="283"/>
              <w:jc w:val="right"/>
              <w:rPr/>
            </w:pPr>
            <w:r>
              <w:rPr>
                <w:sz w:val="20"/>
              </w:rPr>
              <w:t>5.50%</w:t>
            </w:r>
            <w:r>
              <w:rPr/>
              <w:t xml:space="preserve"> </w:t>
            </w:r>
          </w:p>
        </w:tc>
        <w:tc>
          <w:tcPr>
            <w:tcW w:w="1501" w:type="dxa"/>
            <w:tcBorders/>
            <w:tcMar>
              <w:top w:w="0" w:type="dxa"/>
              <w:left w:w="0" w:type="dxa"/>
              <w:bottom w:w="0" w:type="dxa"/>
              <w:right w:w="0" w:type="dxa"/>
            </w:tcMar>
            <w:vAlign w:val="center"/>
          </w:tcPr>
          <w:p>
            <w:pPr>
              <w:pStyle w:val="TableContents"/>
              <w:bidi w:val="0"/>
              <w:spacing w:before="0" w:after="283"/>
              <w:jc w:val="right"/>
              <w:rPr/>
            </w:pPr>
            <w:r>
              <w:rPr/>
              <w:t> </w:t>
            </w:r>
            <w:r>
              <w:rPr>
                <w:sz w:val="20"/>
              </w:rPr>
              <w:t>854,288</w:t>
            </w:r>
            <w:r>
              <w:rPr/>
              <w:t xml:space="preserve"> </w:t>
            </w:r>
          </w:p>
        </w:tc>
        <w:tc>
          <w:tcPr>
            <w:tcW w:w="1714" w:type="dxa"/>
            <w:tcBorders/>
            <w:tcMar>
              <w:top w:w="0" w:type="dxa"/>
              <w:left w:w="0" w:type="dxa"/>
              <w:bottom w:w="0" w:type="dxa"/>
              <w:right w:w="0" w:type="dxa"/>
            </w:tcMar>
            <w:vAlign w:val="center"/>
          </w:tcPr>
          <w:p>
            <w:pPr>
              <w:pStyle w:val="TableContents"/>
              <w:bidi w:val="0"/>
              <w:spacing w:before="0" w:after="283"/>
              <w:jc w:val="right"/>
              <w:rPr/>
            </w:pPr>
            <w:r>
              <w:rPr>
                <w:sz w:val="20"/>
              </w:rPr>
              <w:t>5,710,279</w:t>
            </w:r>
            <w:r>
              <w:rPr/>
              <w:t xml:space="preserve"> </w:t>
            </w:r>
          </w:p>
        </w:tc>
        <w:tc>
          <w:tcPr>
            <w:tcW w:w="1839" w:type="dxa"/>
            <w:tcBorders/>
            <w:tcMar>
              <w:top w:w="0" w:type="dxa"/>
              <w:left w:w="0" w:type="dxa"/>
              <w:bottom w:w="0" w:type="dxa"/>
              <w:right w:w="0" w:type="dxa"/>
            </w:tcMar>
            <w:vAlign w:val="center"/>
          </w:tcPr>
          <w:p>
            <w:pPr>
              <w:pStyle w:val="TableContents"/>
              <w:bidi w:val="0"/>
              <w:spacing w:before="0" w:after="283"/>
              <w:jc w:val="right"/>
              <w:rPr/>
            </w:pPr>
            <w:r>
              <w:rPr>
                <w:sz w:val="20"/>
              </w:rPr>
              <w:t>4.78%</w:t>
            </w:r>
            <w:r>
              <w:rPr/>
              <w:t xml:space="preserve"> </w:t>
            </w:r>
          </w:p>
        </w:tc>
      </w:tr>
      <w:tr>
        <w:trPr/>
        <w:tc>
          <w:tcPr>
            <w:tcW w:w="1584" w:type="dxa"/>
            <w:tcBorders/>
            <w:tcMar>
              <w:top w:w="0" w:type="dxa"/>
              <w:left w:w="0" w:type="dxa"/>
              <w:bottom w:w="0" w:type="dxa"/>
              <w:right w:w="0" w:type="dxa"/>
            </w:tcMar>
            <w:vAlign w:val="center"/>
          </w:tcPr>
          <w:p>
            <w:pPr>
              <w:pStyle w:val="TableContents"/>
              <w:bidi w:val="0"/>
              <w:spacing w:before="0" w:after="283"/>
              <w:jc w:val="left"/>
              <w:rPr/>
            </w:pPr>
            <w:r>
              <w:rPr>
                <w:sz w:val="20"/>
              </w:rPr>
              <w:t>TCW Rescue Financing Fund II LP (8)</w:t>
            </w:r>
            <w:r>
              <w:rPr/>
              <w:t xml:space="preserve"> </w:t>
            </w:r>
          </w:p>
        </w:tc>
        <w:tc>
          <w:tcPr>
            <w:tcW w:w="1730" w:type="dxa"/>
            <w:tcBorders/>
            <w:tcMar>
              <w:top w:w="0" w:type="dxa"/>
              <w:left w:w="0" w:type="dxa"/>
              <w:bottom w:w="0" w:type="dxa"/>
              <w:right w:w="0" w:type="dxa"/>
            </w:tcMar>
            <w:vAlign w:val="center"/>
          </w:tcPr>
          <w:p>
            <w:pPr>
              <w:pStyle w:val="TableContents"/>
              <w:bidi w:val="0"/>
              <w:spacing w:before="0" w:after="283"/>
              <w:jc w:val="right"/>
              <w:rPr/>
            </w:pPr>
            <w:r>
              <w:rPr>
                <w:sz w:val="20"/>
              </w:rPr>
              <w:t>25,610,247</w:t>
            </w:r>
            <w:r>
              <w:rPr/>
              <w:t xml:space="preserve"> </w:t>
            </w:r>
          </w:p>
        </w:tc>
        <w:tc>
          <w:tcPr>
            <w:tcW w:w="1837" w:type="dxa"/>
            <w:tcBorders/>
            <w:tcMar>
              <w:top w:w="0" w:type="dxa"/>
              <w:left w:w="0" w:type="dxa"/>
              <w:bottom w:w="0" w:type="dxa"/>
              <w:right w:w="0" w:type="dxa"/>
            </w:tcMar>
            <w:vAlign w:val="center"/>
          </w:tcPr>
          <w:p>
            <w:pPr>
              <w:pStyle w:val="TableContents"/>
              <w:bidi w:val="0"/>
              <w:spacing w:before="0" w:after="283"/>
              <w:jc w:val="right"/>
              <w:rPr/>
            </w:pPr>
            <w:r>
              <w:rPr>
                <w:sz w:val="20"/>
              </w:rPr>
              <w:t>21.44%</w:t>
            </w:r>
            <w:r>
              <w:rPr/>
              <w:t xml:space="preserve"> </w:t>
            </w:r>
          </w:p>
        </w:tc>
        <w:tc>
          <w:tcPr>
            <w:tcW w:w="1501" w:type="dxa"/>
            <w:tcBorders/>
            <w:tcMar>
              <w:top w:w="0" w:type="dxa"/>
              <w:left w:w="0" w:type="dxa"/>
              <w:bottom w:w="0" w:type="dxa"/>
              <w:right w:w="0" w:type="dxa"/>
            </w:tcMar>
            <w:vAlign w:val="center"/>
          </w:tcPr>
          <w:p>
            <w:pPr>
              <w:pStyle w:val="TableContents"/>
              <w:bidi w:val="0"/>
              <w:spacing w:before="0" w:after="283"/>
              <w:jc w:val="right"/>
              <w:rPr/>
            </w:pPr>
            <w:r>
              <w:rPr/>
              <w:t> </w:t>
            </w:r>
            <w:r>
              <w:rPr>
                <w:sz w:val="20"/>
              </w:rPr>
              <w:t>3,232,091</w:t>
            </w:r>
            <w:r>
              <w:rPr/>
              <w:t xml:space="preserve"> </w:t>
            </w:r>
          </w:p>
        </w:tc>
        <w:tc>
          <w:tcPr>
            <w:tcW w:w="1714" w:type="dxa"/>
            <w:tcBorders/>
            <w:tcMar>
              <w:top w:w="0" w:type="dxa"/>
              <w:left w:w="0" w:type="dxa"/>
              <w:bottom w:w="0" w:type="dxa"/>
              <w:right w:w="0" w:type="dxa"/>
            </w:tcMar>
            <w:vAlign w:val="center"/>
          </w:tcPr>
          <w:p>
            <w:pPr>
              <w:pStyle w:val="TableContents"/>
              <w:bidi w:val="0"/>
              <w:spacing w:before="0" w:after="283"/>
              <w:jc w:val="right"/>
              <w:rPr/>
            </w:pPr>
            <w:r>
              <w:rPr>
                <w:sz w:val="20"/>
              </w:rPr>
              <w:t>22,378,156</w:t>
            </w:r>
            <w:r>
              <w:rPr/>
              <w:t xml:space="preserve"> </w:t>
            </w:r>
          </w:p>
        </w:tc>
        <w:tc>
          <w:tcPr>
            <w:tcW w:w="1839" w:type="dxa"/>
            <w:tcBorders/>
            <w:tcMar>
              <w:top w:w="0" w:type="dxa"/>
              <w:left w:w="0" w:type="dxa"/>
              <w:bottom w:w="0" w:type="dxa"/>
              <w:right w:w="0" w:type="dxa"/>
            </w:tcMar>
            <w:vAlign w:val="center"/>
          </w:tcPr>
          <w:p>
            <w:pPr>
              <w:pStyle w:val="TableContents"/>
              <w:bidi w:val="0"/>
              <w:spacing w:before="0" w:after="283"/>
              <w:jc w:val="right"/>
              <w:rPr/>
            </w:pPr>
            <w:r>
              <w:rPr>
                <w:sz w:val="20"/>
              </w:rPr>
              <w:t>18.74%</w:t>
            </w:r>
            <w:r>
              <w:rPr/>
              <w:t xml:space="preserve"> </w:t>
            </w:r>
          </w:p>
        </w:tc>
      </w:tr>
      <w:tr>
        <w:trPr/>
        <w:tc>
          <w:tcPr>
            <w:tcW w:w="1584" w:type="dxa"/>
            <w:tcBorders>
              <w:bottom w:val="single" w:sz="4" w:space="0" w:color="000000"/>
            </w:tcBorders>
            <w:tcMar>
              <w:top w:w="0" w:type="dxa"/>
              <w:left w:w="0" w:type="dxa"/>
              <w:bottom w:w="28" w:type="dxa"/>
              <w:right w:w="0" w:type="dxa"/>
            </w:tcMar>
            <w:vAlign w:val="center"/>
          </w:tcPr>
          <w:p>
            <w:pPr>
              <w:pStyle w:val="TableContents"/>
              <w:bidi w:val="0"/>
              <w:spacing w:before="0" w:after="283"/>
              <w:jc w:val="left"/>
              <w:rPr/>
            </w:pPr>
            <w:r>
              <w:rPr>
                <w:sz w:val="20"/>
              </w:rPr>
              <w:t>West Virginia Direct Lending LLC (9)</w:t>
            </w:r>
            <w:r>
              <w:rPr/>
              <w:t xml:space="preserve"> </w:t>
            </w:r>
          </w:p>
        </w:tc>
        <w:tc>
          <w:tcPr>
            <w:tcW w:w="1730" w:type="dxa"/>
            <w:tcBorders>
              <w:bottom w:val="single" w:sz="4" w:space="0" w:color="000000"/>
            </w:tcBorders>
            <w:tcMar>
              <w:top w:w="0" w:type="dxa"/>
              <w:left w:w="0" w:type="dxa"/>
              <w:bottom w:w="28" w:type="dxa"/>
              <w:right w:w="0" w:type="dxa"/>
            </w:tcMar>
            <w:vAlign w:val="center"/>
          </w:tcPr>
          <w:p>
            <w:pPr>
              <w:pStyle w:val="TableContents"/>
              <w:bidi w:val="0"/>
              <w:spacing w:before="0" w:after="283"/>
              <w:jc w:val="right"/>
              <w:rPr/>
            </w:pPr>
            <w:r>
              <w:rPr/>
              <w:t> </w:t>
            </w:r>
            <w:r>
              <w:rPr>
                <w:sz w:val="20"/>
              </w:rPr>
              <w:t>1,319,555</w:t>
            </w:r>
            <w:r>
              <w:rPr/>
              <w:t xml:space="preserve"> </w:t>
            </w:r>
          </w:p>
        </w:tc>
        <w:tc>
          <w:tcPr>
            <w:tcW w:w="1837" w:type="dxa"/>
            <w:tcBorders>
              <w:bottom w:val="single" w:sz="4" w:space="0" w:color="000000"/>
            </w:tcBorders>
            <w:tcMar>
              <w:top w:w="0" w:type="dxa"/>
              <w:left w:w="0" w:type="dxa"/>
              <w:bottom w:w="28" w:type="dxa"/>
              <w:right w:w="0" w:type="dxa"/>
            </w:tcMar>
            <w:vAlign w:val="center"/>
          </w:tcPr>
          <w:p>
            <w:pPr>
              <w:pStyle w:val="TableContents"/>
              <w:bidi w:val="0"/>
              <w:spacing w:before="0" w:after="283"/>
              <w:jc w:val="right"/>
              <w:rPr/>
            </w:pPr>
            <w:r>
              <w:rPr>
                <w:sz w:val="20"/>
              </w:rPr>
              <w:t>1.10%</w:t>
            </w:r>
            <w:r>
              <w:rPr/>
              <w:t xml:space="preserve"> </w:t>
            </w:r>
          </w:p>
        </w:tc>
        <w:tc>
          <w:tcPr>
            <w:tcW w:w="1501" w:type="dxa"/>
            <w:tcBorders>
              <w:bottom w:val="single" w:sz="4" w:space="0" w:color="000000"/>
            </w:tcBorders>
            <w:tcMar>
              <w:top w:w="0" w:type="dxa"/>
              <w:left w:w="0" w:type="dxa"/>
              <w:bottom w:w="28" w:type="dxa"/>
              <w:right w:w="0" w:type="dxa"/>
            </w:tcMar>
            <w:vAlign w:val="center"/>
          </w:tcPr>
          <w:p>
            <w:pPr>
              <w:pStyle w:val="TableContents"/>
              <w:bidi w:val="0"/>
              <w:spacing w:before="0" w:after="283"/>
              <w:jc w:val="right"/>
              <w:rPr/>
            </w:pPr>
            <w:r>
              <w:rPr/>
              <w:t> </w:t>
            </w:r>
            <w:r>
              <w:rPr>
                <w:sz w:val="20"/>
              </w:rPr>
              <w:t>242,016</w:t>
            </w:r>
            <w:r>
              <w:rPr/>
              <w:t xml:space="preserve"> </w:t>
            </w:r>
          </w:p>
        </w:tc>
        <w:tc>
          <w:tcPr>
            <w:tcW w:w="1714" w:type="dxa"/>
            <w:tcBorders>
              <w:bottom w:val="single" w:sz="4" w:space="0" w:color="000000"/>
            </w:tcBorders>
            <w:tcMar>
              <w:top w:w="0" w:type="dxa"/>
              <w:left w:w="0" w:type="dxa"/>
              <w:bottom w:w="28" w:type="dxa"/>
              <w:right w:w="0" w:type="dxa"/>
            </w:tcMar>
            <w:vAlign w:val="center"/>
          </w:tcPr>
          <w:p>
            <w:pPr>
              <w:pStyle w:val="TableContents"/>
              <w:bidi w:val="0"/>
              <w:spacing w:before="0" w:after="283"/>
              <w:jc w:val="right"/>
              <w:rPr/>
            </w:pPr>
            <w:r>
              <w:rPr/>
              <w:t> </w:t>
            </w:r>
            <w:r>
              <w:rPr>
                <w:sz w:val="20"/>
              </w:rPr>
              <w:t>1,077,539</w:t>
            </w:r>
            <w:r>
              <w:rPr/>
              <w:t xml:space="preserve"> </w:t>
            </w:r>
          </w:p>
        </w:tc>
        <w:tc>
          <w:tcPr>
            <w:tcW w:w="1839" w:type="dxa"/>
            <w:tcBorders>
              <w:bottom w:val="single" w:sz="4" w:space="0" w:color="000000"/>
            </w:tcBorders>
            <w:tcMar>
              <w:top w:w="0" w:type="dxa"/>
              <w:left w:w="0" w:type="dxa"/>
              <w:bottom w:w="28" w:type="dxa"/>
              <w:right w:w="0" w:type="dxa"/>
            </w:tcMar>
            <w:vAlign w:val="center"/>
          </w:tcPr>
          <w:p>
            <w:pPr>
              <w:pStyle w:val="TableContents"/>
              <w:bidi w:val="0"/>
              <w:spacing w:before="0" w:after="283"/>
              <w:jc w:val="right"/>
              <w:rPr/>
            </w:pPr>
            <w:r>
              <w:rPr>
                <w:sz w:val="20"/>
              </w:rPr>
              <w:t>*</w:t>
            </w:r>
            <w:r>
              <w:rPr/>
              <w:t xml:space="preserv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caps w:val="false"/>
          <w:smallCaps w:val="false"/>
        </w:rPr>
      </w:pPr>
      <w:r>
        <w:rPr>
          <w:caps w:val="false"/>
          <w:smallCaps w:val="false"/>
        </w:rPr>
        <w:t> </w:t>
      </w:r>
    </w:p>
    <w:tbl>
      <w:tblPr>
        <w:tblW w:w="6435" w:type="dxa"/>
        <w:jc w:val="left"/>
        <w:tblInd w:w="0" w:type="dxa"/>
        <w:tblLayout w:type="fixed"/>
        <w:tblCellMar>
          <w:top w:w="28" w:type="dxa"/>
          <w:left w:w="0" w:type="dxa"/>
          <w:bottom w:w="0" w:type="dxa"/>
          <w:right w:w="0" w:type="dxa"/>
        </w:tblCellMar>
      </w:tblPr>
      <w:tblGrid>
        <w:gridCol w:w="710"/>
        <w:gridCol w:w="1280"/>
        <w:gridCol w:w="935"/>
        <w:gridCol w:w="1160"/>
        <w:gridCol w:w="1400"/>
        <w:gridCol w:w="950"/>
      </w:tblGrid>
      <w:tr>
        <w:trPr/>
        <w:tc>
          <w:tcPr>
            <w:tcW w:w="710" w:type="dxa"/>
            <w:tcBorders>
              <w:top w:val="single" w:sz="8" w:space="0" w:color="000000"/>
            </w:tcBorders>
            <w:vAlign w:val="center"/>
          </w:tcPr>
          <w:p>
            <w:pPr>
              <w:pStyle w:val="TableContents"/>
              <w:bidi w:val="0"/>
              <w:spacing w:before="0" w:after="283"/>
              <w:jc w:val="left"/>
              <w:rPr/>
            </w:pPr>
            <w:r>
              <w:rPr/>
              <w:t xml:space="preserve">Total </w:t>
            </w:r>
          </w:p>
        </w:tc>
        <w:tc>
          <w:tcPr>
            <w:tcW w:w="1280" w:type="dxa"/>
            <w:tcBorders>
              <w:top w:val="single" w:sz="8" w:space="0" w:color="000000"/>
            </w:tcBorders>
            <w:vAlign w:val="center"/>
          </w:tcPr>
          <w:p>
            <w:pPr>
              <w:pStyle w:val="TableContents"/>
              <w:bidi w:val="0"/>
              <w:spacing w:before="0" w:after="283"/>
              <w:jc w:val="right"/>
              <w:rPr/>
            </w:pPr>
            <w:r>
              <w:rPr/>
              <w:t xml:space="preserve">50,855,304 </w:t>
            </w:r>
          </w:p>
        </w:tc>
        <w:tc>
          <w:tcPr>
            <w:tcW w:w="935" w:type="dxa"/>
            <w:tcBorders>
              <w:top w:val="single" w:sz="8" w:space="0" w:color="000000"/>
            </w:tcBorders>
            <w:vAlign w:val="center"/>
          </w:tcPr>
          <w:p>
            <w:pPr>
              <w:pStyle w:val="TableContents"/>
              <w:bidi w:val="0"/>
              <w:spacing w:before="0" w:after="283"/>
              <w:jc w:val="right"/>
              <w:rPr/>
            </w:pPr>
            <w:r>
              <w:rPr/>
              <w:t xml:space="preserve">42.58% </w:t>
            </w:r>
          </w:p>
        </w:tc>
        <w:tc>
          <w:tcPr>
            <w:tcW w:w="1160" w:type="dxa"/>
            <w:tcBorders>
              <w:top w:val="single" w:sz="8" w:space="0" w:color="000000"/>
            </w:tcBorders>
            <w:vAlign w:val="center"/>
          </w:tcPr>
          <w:p>
            <w:pPr>
              <w:pStyle w:val="TableContents"/>
              <w:bidi w:val="0"/>
              <w:spacing w:before="0" w:after="283"/>
              <w:jc w:val="right"/>
              <w:rPr/>
            </w:pPr>
            <w:r>
              <w:rPr/>
              <w:t xml:space="preserve">6,834,308 </w:t>
            </w:r>
          </w:p>
        </w:tc>
        <w:tc>
          <w:tcPr>
            <w:tcW w:w="1400" w:type="dxa"/>
            <w:tcBorders>
              <w:top w:val="single" w:sz="8" w:space="0" w:color="000000"/>
            </w:tcBorders>
            <w:vAlign w:val="center"/>
          </w:tcPr>
          <w:p>
            <w:pPr>
              <w:pStyle w:val="TableContents"/>
              <w:bidi w:val="0"/>
              <w:spacing w:before="0" w:after="283"/>
              <w:jc w:val="right"/>
              <w:rPr/>
            </w:pPr>
            <w:r>
              <w:rPr/>
              <w:t>  </w:t>
            </w:r>
            <w:r>
              <w:rPr/>
              <w:t xml:space="preserve">44,020,996 </w:t>
            </w:r>
          </w:p>
        </w:tc>
        <w:tc>
          <w:tcPr>
            <w:tcW w:w="950" w:type="dxa"/>
            <w:tcBorders>
              <w:top w:val="single" w:sz="8" w:space="0" w:color="000000"/>
            </w:tcBorders>
            <w:vAlign w:val="center"/>
          </w:tcPr>
          <w:p>
            <w:pPr>
              <w:pStyle w:val="TableContents"/>
              <w:bidi w:val="0"/>
              <w:spacing w:before="0" w:after="283"/>
              <w:jc w:val="right"/>
              <w:rPr/>
            </w:pPr>
            <w:r>
              <w:rPr/>
              <w:t xml:space="preserve">36.86% </w:t>
            </w:r>
          </w:p>
        </w:tc>
      </w:tr>
    </w:tbl>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Less than 1%.</w:t>
      </w:r>
    </w:p>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7"/>
        <w:gridCol w:w="9861"/>
      </w:tblGrid>
      <w:tr>
        <w:trPr/>
        <w:tc>
          <w:tcPr>
            <w:tcW w:w="3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pPr>
            <w:r>
              <w:rPr/>
              <w:t xml:space="preserve">(1) </w:t>
            </w:r>
          </w:p>
        </w:tc>
        <w:tc>
          <w:tcPr>
            <w:tcW w:w="986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Includes shares issuable to the Selling Stockholders upon exercise of outstanding June 2025 Warrants, December 2025 Warrants, Warrants and July 2026 Penny Warrants.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 xml:space="preserve">(2) </w:t>
            </w:r>
          </w:p>
        </w:tc>
        <w:tc>
          <w:tcPr>
            <w:tcW w:w="9947" w:type="dxa"/>
            <w:tcBorders/>
            <w:vAlign w:val="center"/>
          </w:tcPr>
          <w:p>
            <w:pPr>
              <w:pStyle w:val="TableContents"/>
              <w:bidi w:val="0"/>
              <w:spacing w:before="0" w:after="283"/>
              <w:jc w:val="left"/>
              <w:rPr/>
            </w:pPr>
            <w:r>
              <w:rPr>
                <w:shd w:fill="FFFFFF" w:val="clear"/>
              </w:rPr>
              <w:t>First Trust Alternative Opportunities Fund (“FTAOF”) is the direct holder of the Warrants pursuant to which the shares reported may be issued, which includes (a) 460,960 shares of common stock under a Super Premium Warrant issued by the Company to FTAOF on May 18, 2026 which Super Premium Warrant is exercisable on November 19, 2026, expires on May 18, 2033 and has an exercise price of $1.50 per share of common stock, subject to certain adjustments, (b) 329,257 shares of common stock under a Premium Warrant issued by the Company to FTAOF on May 18, 2026 which Premium Warrant is exercisable on November 19, 2026, expires on May 18, 2033 and has an exercise price of $1.25 per share of common stock, subject to certain adjustments, (c) 263,406 shares of common stock under Penny Warrants issued by the Company to FTAOF on December 15, 2025, (d) 1,079,246 shares of common stock under the December 2025 Warrants issued by the Company to FTAOF, (e) 3,611,854 shares of common stock under the June 2025 Warrants issued by the Company to FTAOF pursuant to the Financing Agreement and (f) 277,336 shares of common stock under the July 2026 Penny Warrants issued by the Company to FTAOF pursuant to the Financing Agreement. First Trust Capital Management, LP (“FTCM”) is the investment advisor to FTAOF. Michael Peck, CEO of FTCM, Thomas Reckley, President of FTCM and Chad Eisenberg, COO of FTCM share voting and dispositive power over the 5,744,723 shares of common stock issuable upon exercise of the June 2025 Warrants, the December 2025 Warrants and the Warrants held by FTAOF. The address of FTAOF is 235 West Galena Street, Milwaukee, WI 53201. FTAOF acts as lender in principal amount of $21.3 million to the Company pursuant to the Financing Agreement. The foregoing reference to the Financing Agreement does not purport to be complete and is subject to, and qualified in its entirety by reference to the Financing Agreement, including Amendment No. 1, Amendment No. 2 and Amendment No. 3 thereto, each of which is attached as an exhibit to the registration statement of which this prospectus forms a part.</w:t>
            </w:r>
            <w:r>
              <w:rPr/>
              <w:t xml:space="preserve">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 xml:space="preserve">(3) </w:t>
            </w:r>
          </w:p>
        </w:tc>
        <w:tc>
          <w:tcPr>
            <w:tcW w:w="9947" w:type="dxa"/>
            <w:tcBorders/>
            <w:vAlign w:val="center"/>
          </w:tcPr>
          <w:p>
            <w:pPr>
              <w:pStyle w:val="TableContents"/>
              <w:bidi w:val="0"/>
              <w:spacing w:before="0" w:after="283"/>
              <w:jc w:val="left"/>
              <w:rPr/>
            </w:pPr>
            <w:r>
              <w:rPr>
                <w:shd w:fill="FFFFFF" w:val="clear"/>
              </w:rPr>
              <w:t>First Trust Private Credit Fund (“FTPCF”) is the direct holder of the Warrants pursuant to which the shares reported may be issued, which includes (a) 74,750 shares of common stock under a Super Premium Warrant issued by the Company to FTPCF on May 18, 2026 which Super Premium Warrant is exercisable on November 19, 2026, expires on May 18, 2033 and has an exercise price of $1.50 per share of common stock, subject to certain adjustments, (b) 53,393 shares of common stock under a Premium Warrant issued by the Company to FTPCF on May 18, 2026 which Premium Warrant is exercisable on November 19, 2026, expires on May 18, 2033 and has an exercise price of $1.25 per share of common stock, subject to certain adjustments, (c) 42,714 shares of common stock under Penny Warrants issued by the Company to FTPCF on May 18, 2026, (d) 175,013 shares of common stock under the December 2025 Warrants issued by the Company to FTPCF, (e) 585,706 shares of common stock under the June 2025 Warrants issued by the Company to FTPCF pursuant to the Financing Agreement and (f) 1,710,238 shares of common stock under the July 2026 Penny Warrants issued by the Company to FTPCF pursuant to the Financing Agreement. First Trust Capital Management, LP (“FTCM”) is the investment advisor to FTPCF. Michael Peck, CEO of FTCM, Thomas Reckley, President of FTCM and Chad Eisenberg, COO of FTCM share voting and dispositive power over the 931,576 shares of common stock issuable upon exercise of the June 2025 Warrants, the December 2025 Warrants and the Warrants held by FTPCF. The address of FTPCF is 235 West Galena Street, Milwaukee, WI 53201. FTPCF acts as lender in principal amount of $3.5 million to the Company pursuant to the Financing Agreement. The foregoing reference to the Financing Agreement does not purport to be complete and is subject to, and qualified in its entirety by reference to the Financing Agreement, Amendment No. 1, Amendment No. 2 and Amendment No. 3 thereto, each of which is attached as an exhibit to the registration statement of which this prospectus forms a part.</w:t>
            </w:r>
            <w:r>
              <w:rPr/>
              <w:t xml:space="preserve">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 xml:space="preserve">(4) </w:t>
            </w:r>
          </w:p>
        </w:tc>
        <w:tc>
          <w:tcPr>
            <w:tcW w:w="9947"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First Trust Enhanced Private Credit Fund (“FTEPCF”) is the direct holder of the Warrants pursuant to which the shares reported may be issued, which includes (a) 62,292 shares of common stock under a Super Premium Warrant issued by the Company to FTEPCF on May 18, 2026 which Super Premium Warrant is exercisable on November 19, 2026, expires on May 18, 2033 and has an exercise price of $1.50 per share of common stock, subject to certain adjustments, (b) 44,494 shares of common stock under a Premium Warrant issued by the Company to FTEPCF on May 18, 2026 which Premium Warrant is exercisable on November 19, 2026, expires on May 18, 2033 and has an exercise price of $1.25 per share of common stock, subject to certain adjustments, (c) 35,595 shares of common stock under Penny Warrants issued by the Company to FTEPCF on May 18, 2026, (d) 145,844 shares of common stock under the </w:t>
            </w:r>
            <w:r>
              <w:rPr>
                <w:rFonts w:ascii="Times New Roman;Times;Serif" w:hAnsi="Times New Roman;Times;Serif"/>
                <w:b w:val="false"/>
                <w:i w:val="false"/>
                <w:caps w:val="false"/>
                <w:smallCaps w:val="false"/>
                <w:sz w:val="20"/>
              </w:rPr>
              <w:t xml:space="preserve">December 2025 Warrants </w:t>
            </w:r>
            <w:r>
              <w:rPr>
                <w:rFonts w:ascii="Times New Roman;Times;Serif" w:hAnsi="Times New Roman;Times;Serif"/>
                <w:b w:val="false"/>
                <w:i w:val="false"/>
                <w:caps w:val="false"/>
                <w:smallCaps w:val="false"/>
                <w:sz w:val="20"/>
                <w:shd w:fill="FFFFFF" w:val="clear"/>
              </w:rPr>
              <w:t xml:space="preserve">issued by the Company to FTEPCF, (e) 488,088 shares of common stock under the </w:t>
            </w:r>
            <w:r>
              <w:rPr>
                <w:rFonts w:ascii="Times New Roman;Times;Serif" w:hAnsi="Times New Roman;Times;Serif"/>
                <w:b w:val="false"/>
                <w:i w:val="false"/>
                <w:caps w:val="false"/>
                <w:smallCaps w:val="false"/>
                <w:sz w:val="20"/>
              </w:rPr>
              <w:t xml:space="preserve">June 2025 Warrants </w:t>
            </w:r>
            <w:r>
              <w:rPr>
                <w:rFonts w:ascii="Times New Roman;Times;Serif" w:hAnsi="Times New Roman;Times;Serif"/>
                <w:b w:val="false"/>
                <w:i w:val="false"/>
                <w:caps w:val="false"/>
                <w:smallCaps w:val="false"/>
                <w:sz w:val="20"/>
                <w:shd w:fill="FFFFFF" w:val="clear"/>
              </w:rPr>
              <w:t xml:space="preserve">issued by the Company to FTEPCF pursuant to the Financing Agreement and (f) 231,113 shares of common stock under the July 2026 Penny Warrants issued by the Company to FTEPCF pursuant to the Financing Agreement. First Trust Capital Management First Trust Capital Management, LP (“FTCM”) is the investment advisor to FTEPCF. Michael Peck, CEO of FTCM, Thomas Reckley, President of FTCM and Chad Eisenberg, COO of FTCM share voting and dispositive power over the </w:t>
            </w:r>
            <w:r>
              <w:rPr>
                <w:rFonts w:ascii="Times New Roman;Times;Serif" w:hAnsi="Times New Roman;Times;Serif"/>
                <w:b w:val="false"/>
                <w:i w:val="false"/>
                <w:caps w:val="false"/>
                <w:smallCaps w:val="false"/>
                <w:sz w:val="20"/>
              </w:rPr>
              <w:t xml:space="preserve">776,313 </w:t>
            </w:r>
            <w:r>
              <w:rPr>
                <w:rFonts w:ascii="Times New Roman;Times;Serif" w:hAnsi="Times New Roman;Times;Serif"/>
                <w:b w:val="false"/>
                <w:i w:val="false"/>
                <w:caps w:val="false"/>
                <w:smallCaps w:val="false"/>
                <w:sz w:val="20"/>
                <w:shd w:fill="FFFFFF" w:val="clear"/>
              </w:rPr>
              <w:t xml:space="preserve">shares of common stock issuable upon exercise of the June 2025 Warrants, the December 2025 Warrants and the Warrants held by FTEPCF. The address of FTEPCF is 235 West Galena Street, Milwaukee, WI 53201. FTEPCF acts as lender in principal amount of $2.9 million to the Company pursuant to the Financing Agreement. The foregoing reference to the Financing Agreement does not purport to be complete and is subject to, and qualified in its entirety by </w:t>
            </w:r>
            <w:r>
              <w:rPr>
                <w:rFonts w:ascii="Times New Roman;Times;Serif" w:hAnsi="Times New Roman;Times;Serif"/>
                <w:b w:val="false"/>
                <w:i w:val="false"/>
                <w:caps w:val="false"/>
                <w:smallCaps w:val="false"/>
                <w:sz w:val="20"/>
              </w:rPr>
              <w:t xml:space="preserve">reference to the Financing Agreement, including Amendment No. 1, Amendment No. 2 and Amendment No. 3 thereto, </w:t>
            </w:r>
            <w:r>
              <w:rPr>
                <w:rFonts w:ascii="Times New Roman;Times;Serif" w:hAnsi="Times New Roman;Times;Serif"/>
                <w:b w:val="false"/>
                <w:i w:val="false"/>
                <w:caps w:val="false"/>
                <w:smallCaps w:val="false"/>
                <w:sz w:val="20"/>
                <w:shd w:fill="FFFFFF" w:val="clear"/>
              </w:rPr>
              <w:t xml:space="preserve">each of which is attached </w:t>
            </w:r>
            <w:r>
              <w:rPr>
                <w:rFonts w:ascii="Times New Roman;Times;Serif" w:hAnsi="Times New Roman;Times;Serif"/>
                <w:b w:val="false"/>
                <w:i w:val="false"/>
                <w:caps w:val="false"/>
                <w:smallCaps w:val="false"/>
                <w:sz w:val="20"/>
              </w:rPr>
              <w:t xml:space="preserve">as an exhibit to the registration statement of which this prospectus forms a part.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 xml:space="preserve">(5) </w:t>
            </w:r>
          </w:p>
        </w:tc>
        <w:tc>
          <w:tcPr>
            <w:tcW w:w="9946" w:type="dxa"/>
            <w:tcBorders/>
            <w:vAlign w:val="center"/>
          </w:tcPr>
          <w:p>
            <w:pPr>
              <w:pStyle w:val="TableContents"/>
              <w:bidi w:val="0"/>
              <w:spacing w:before="0" w:after="283"/>
              <w:jc w:val="left"/>
              <w:rPr/>
            </w:pPr>
            <w:r>
              <w:rPr>
                <w:shd w:fill="FFFFFF" w:val="clear"/>
              </w:rPr>
              <w:t>Asilia Credit Fund, LP (“Asilia”) is the direct holder of the Warrants pursuant to which the shares reported may be issued, which includes (a) 398,668 shares of common stock under a Super Premium Warrant issued by the Company to Asilia on May 18, 2026 which Super Premium Warrant is exercisable on November 19, 2026, expires on May 18, 2033 and has an exercise price of $1.50 per share of common stock, subject to certain adjustments, (b) 284,763 shares of common stock under a Premium Warrant issued by the Company to Asilia on May 18, 2026 which Premium Warrant is exercisable on November 19, 2026, expires on May 18, 2033 and has an exercise price of $1.25 per share of common stock, subject to certain adjustments, (c) 227,810 shares of common stock under Penny Warrants issued by the Company to Asilia on May 18, 2026, (d) 933,402 shares of common stock under the December 2025 Warrants issued by the Company to Asilia, (e) 3,123,765 shares of common stock under the June 2025 Warrants issued by the Company to Asilia pursuant to the Financing Agreement and (f) 1,479,125 shares of common stock under the July 2026 Penny Warrants issued by the Company to Asilia pursuant to the Financing Agreement. Asilia is managed by K. Austin Read and Jonathan S. Gardner. K. Austin Read and Jonathan S. Gardner share voting and dispositive power over the 4,968,408 shares of common stock issuable upon exercise of the June 2025 Warrants, the December 2025 Warrants and the Warrants held by Asilia. The address of Asilia is 2250 S West Temple St, Salt Lake City, UT 84115. Asilia acts as lender in principal amount of $18.4 million to the Company pursuant to the Financing Agreement. The foregoing reference to the Financing Agreement does not purport to be complete and is subject to, and qualified in its entirety by reference to the Financing Agreement,</w:t>
            </w:r>
            <w:r>
              <w:rPr/>
              <w:t xml:space="preserv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including Amendment No. 1, Amendment No. 2 and Amendment No. 3 thereto, </w:t>
      </w:r>
      <w:r>
        <w:rPr>
          <w:rFonts w:ascii="Times New Roman;Times;Serif" w:hAnsi="Times New Roman;Times;Serif"/>
          <w:b w:val="false"/>
          <w:i w:val="false"/>
          <w:caps w:val="false"/>
          <w:smallCaps w:val="false"/>
          <w:sz w:val="20"/>
          <w:shd w:fill="FFFFFF" w:val="clear"/>
        </w:rPr>
        <w:t xml:space="preserve">each of which is attached </w:t>
      </w:r>
      <w:r>
        <w:rPr>
          <w:rFonts w:ascii="Times New Roman;Times;Serif" w:hAnsi="Times New Roman;Times;Serif"/>
          <w:b w:val="false"/>
          <w:i w:val="false"/>
          <w:caps w:val="false"/>
          <w:smallCaps w:val="false"/>
          <w:sz w:val="20"/>
        </w:rPr>
        <w:t xml:space="preserve">as an exhibit to the registration statement of which this prospectus forms a part. </w:t>
      </w:r>
    </w:p>
    <w:p>
      <w:pPr>
        <w:pStyle w:val="TextBody"/>
        <w:bidi w:val="0"/>
        <w:spacing w:before="0" w:after="0"/>
        <w:ind w:left="36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 xml:space="preserve">(6) </w:t>
            </w:r>
          </w:p>
        </w:tc>
        <w:tc>
          <w:tcPr>
            <w:tcW w:w="9947" w:type="dxa"/>
            <w:tcBorders/>
            <w:vAlign w:val="center"/>
          </w:tcPr>
          <w:p>
            <w:pPr>
              <w:pStyle w:val="TableContents"/>
              <w:bidi w:val="0"/>
              <w:spacing w:before="0" w:after="283"/>
              <w:jc w:val="left"/>
              <w:rPr/>
            </w:pPr>
            <w:r>
              <w:rPr>
                <w:shd w:fill="FFFFFF" w:val="clear"/>
              </w:rPr>
              <w:t xml:space="preserve">Walnut Capital Fund I, LP (“Walnut”) is the direct holder of the Warrants pursuant to which the shares reported may be issued, which includes (a) 99,667 shares of common stock under a Super Premium Warrant issued by the Company to Walnut on May 18, 2026 which Super Premium Warrant is exercisable on November 19, 2026, expires on May 18, 2033 and has an exercise price of $1.50 per share of common stock, subject to certain adjustments, (b) 71,191 shares of common stock under a Premium Warrant issued by the Company to Walnut on May 18, 2026 which Premium Warrant is exercisable on November 19, 2026, expires on May 18, 2033 and has an exercise price of $1.25 per share of common stock, subject to certain adjustments, (c) 56,953 shares of common stock under Penny Warrants issued by the Company to Walnut on May 18, 2026, (d) 233,351 shares of common stock under the </w:t>
            </w:r>
            <w:r>
              <w:rPr/>
              <w:t xml:space="preserve">December 2025 Warrants </w:t>
            </w:r>
            <w:r>
              <w:rPr>
                <w:shd w:fill="FFFFFF" w:val="clear"/>
              </w:rPr>
              <w:t xml:space="preserve">issued by the Company to Walnut and (e) 780,841 shares of common stock under the </w:t>
            </w:r>
            <w:r>
              <w:rPr/>
              <w:t xml:space="preserve">June 2025 Warrants </w:t>
            </w:r>
            <w:r>
              <w:rPr>
                <w:shd w:fill="FFFFFF" w:val="clear"/>
              </w:rPr>
              <w:t xml:space="preserve">issued by the Company to Walnut pursuant to the Financing Agreement. Walnut is managed by Michael S. Chang. Michael S. Chang holds sole voting and dispositive power over the 1,242,103 shares of common stock issuable upon exercise of the June 2025 Warrants, the December 2025 Warrants and the Warrants held by Walnut. The address of Walnut is 453 S Spring St., Ste 400, Los Angeles, CA, 90013. Walnut acts as lender in principal amount of $4.6 million to the Company pursuant to the Financing Agreement. The foregoing reference to the Financing Agreement does not purport to be complete and is subject to, and qualified in its entirety by </w:t>
            </w:r>
            <w:r>
              <w:rPr/>
              <w:t xml:space="preserve">reference to the Financing Agreement, including Amendment No. 1, Amendment No. 2 and Amendment No. 3 thereto, </w:t>
            </w:r>
            <w:r>
              <w:rPr>
                <w:shd w:fill="FFFFFF" w:val="clear"/>
              </w:rPr>
              <w:t xml:space="preserve">each of which is attached </w:t>
            </w:r>
            <w:r>
              <w:rPr/>
              <w:t xml:space="preserve">as an exhibit to the registration statement of which this prospectus forms a part.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 xml:space="preserve">(7) </w:t>
            </w:r>
          </w:p>
        </w:tc>
        <w:tc>
          <w:tcPr>
            <w:tcW w:w="9948" w:type="dxa"/>
            <w:tcBorders/>
            <w:vAlign w:val="center"/>
          </w:tcPr>
          <w:p>
            <w:pPr>
              <w:pStyle w:val="TableContents"/>
              <w:bidi w:val="0"/>
              <w:spacing w:before="0" w:after="283"/>
              <w:jc w:val="left"/>
              <w:rPr/>
            </w:pPr>
            <w:r>
              <w:rPr>
                <w:shd w:fill="FFFFFF" w:val="clear"/>
              </w:rPr>
              <w:t>Nationwide Mutual Insurance Company (“Nationwide”) is the direct holder of the Warrants pursuant to which the shares reported may be issued, which includes (a) 373,751 shares of common stock under a Super Premium Warrant issued by the Company to Nationwide on May 18, 2026 which Super Premium Warrant is exercisable on November 19, 2026, expires on May 18, 2033 and has an exercise price of $1.50 per share of common stock, subject to certain adjustments, (b) 266,965 shares of common stock under a Premium Warrant issued by the Company to Nationwide on May 18, 2026 which Premium Warrant is exercisable on November 19, 2026, expires on May 18, 2033 and has an exercise price of $1.25 per share of common stock, subject to certain adjustments, (c) 213,572 shares of common stock under Penny Warrants issued by the Company to Nationwide on May 18, 2026, (d) 875,065 shares of common stock under the December 2025 Warrants issued by the Company to Nationwide, (e) 2,928,530 shares of common stock under the June 2025 Warrants issued by the Company to Nationwide pursuant to the Financing Agreement and (f) 1,906,684 shares of common stock under the July 2026 Penny Warrants issued by the Company to Nationwide pursuant to the Financing Agreement. The Chief Investment Officer of Nationwide and his authorized delegates each have voting and dispositive power over 4,657,883 shares of common stock issuable upon exercise of the June 2025 Warrants, the December 2025 Warrants and the Warrants held by Nationwide. The address of Nationwide is One Nationwide Plaza, Columbus, Ohio 43215. Nationwide acts as lender in principal amount of $17.3 million to the Company pursuant to the Financing Agreement. The foregoing reference to the Financing Agreement does not purport to be complete and is subject to, and qualified in its entirety by reference to the Financing Agreement, including Amendment No. 1, Amendment No. 2 and Amendment No. 3 thereto, each of which is attached as an exhibit to the registration statement of which this prospectus forms a part.</w:t>
            </w:r>
            <w:r>
              <w:rPr/>
              <w:t xml:space="preserve">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 xml:space="preserve">(8) </w:t>
            </w:r>
          </w:p>
        </w:tc>
        <w:tc>
          <w:tcPr>
            <w:tcW w:w="9949" w:type="dxa"/>
            <w:tcBorders/>
            <w:vAlign w:val="center"/>
          </w:tcPr>
          <w:p>
            <w:pPr>
              <w:pStyle w:val="TableContents"/>
              <w:bidi w:val="0"/>
              <w:spacing w:before="0" w:after="283"/>
              <w:jc w:val="left"/>
              <w:rPr/>
            </w:pPr>
            <w:r>
              <w:rPr>
                <w:shd w:fill="FFFFFF" w:val="clear"/>
              </w:rPr>
              <w:t>TCW Rescue Financing Fund II LP (“TCW Rescue Financing”) is the direct holder of the Warrants pursuant to which the shares reported may be issued, which includes (a) 1,414,040 shares of common stock under a Super Premium Warrant issued by the Company to TCW Rescue Financing on May 18, 2026 which Super Premium Warrant is exercisable on November 19, 2026, expires on May 18, 2033 and has an exercise price of $1.50 per share of common stock, subject to certain adjustments, (b) 1,010,028 shares of common stock under a Premium Warrant issued by the Company to TCW Rescue Financing on May 18, 2026 which Premium Warrant is exercisable on November 19, 2026, expires on May 18, 2033 and has an exercise price of $1.25 per share of common stock, subject to certain adjustments, (c) 808,023 shares of common stock under Penny Warrants issued by the Company to TCW Rescue Financing, (d) 3,310,694 shares of common stock under the December 2025 Warrants issued by the Company to TCW Rescue Financing, (e) 11,079,719 shares of common stock under the June 2025 Warrants issued by the Company to TCW Rescue Financing pursuant to the Financing Agreement and (f) 7,987,743 shares of common stock under the July 2026 Penny Warrants issued by the Company to TCW Rescue Financing pursuant to the Financing Agreement.  TCW Rescue Financing is an indirect subsidiary of The TCW Group, Inc. (“TCW Group”). TCW Group and its direct and indirect subsidiaries collectively constitute The TCW Group, Inc. business unit (the “TCW Business Unit”). The TCW Business Unit is primarily engaged in the provision of investment management services. The TCW Business Unit is managed separately and operated independently. The TCW Business Unit has shared voting and dispositive power over 18,942,059 shares of common stock, which includes the shares described in this footnote and in footnote 9 below. The address of TCW Rescue Financing, TCW Group and the TCW Business Unit is 515 South Flower Street, Los Angeles, CA 90071. Affiliates of TCW Group act as collateral agent and lenders in principal amount of $120 million to the Company pursuant to the Financing Agreement. In addition, TCW Asset Management Company LLC (“TCW Asset Management”), an affiliate of TCW Group, is party to the Governance Agreement, dated as of June 6, 2025 (the “Governance Agreement”), pursuant to which TCW Asset Management has the right to appoint one director of the Company. Each agreement referenced above is qualified in its entirety by reference to the Financing Agreement, including Amendment No. 1, Amendment No. 2 and Amendment No. 3 thereto, and Governance Agreement, each of which is attached as an exhibit to the registration statement of which this prospectus forms a part.</w:t>
            </w:r>
            <w:r>
              <w:rPr/>
              <w:t xml:space="preserve">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(9)</w:t>
            </w:r>
          </w:p>
        </w:tc>
        <w:tc>
          <w:tcPr>
            <w:tcW w:w="9950" w:type="dxa"/>
            <w:tcBorders/>
            <w:vAlign w:val="center"/>
          </w:tcPr>
          <w:p>
            <w:pPr>
              <w:pStyle w:val="TableContents"/>
              <w:bidi w:val="0"/>
              <w:spacing w:before="0" w:after="283"/>
              <w:jc w:val="left"/>
              <w:rPr/>
            </w:pPr>
            <w:r>
              <w:rPr>
                <w:shd w:fill="FFFFFF" w:val="clear"/>
              </w:rPr>
              <w:t xml:space="preserve">West Virginia Direct Lending LLC (“WV Direct Lending”) is the direct holder of the Warrants pursuant to which the shares reported may be issued, which includes (a) 105,882 shares of common stock under a Super Premium Warrant issued by the Company to WV Direct Lending on May 18, 2026 which Super Premium Warrant is exercisable on November 19, 2026, expires on May 18, 2033 and has an exercise price of $1.50 per share of common stock, subject to certain adjustments, (b) 75,630 shares of common stock under a Premium Warrant issued by the Company to WV Direct Lending on May 18, 2026 which Premium Warrant is exercisable on November 19, 2026, expires on May 18, 2033 and has an exercise price of $1.25 per share of common stock, subject to certain adjustments, (c) 60,504 shares of common stock under Penny Warrants issued by the Company to WV Direct Lending, (d) 247,901 shares of common stock under the </w:t>
            </w:r>
            <w:r>
              <w:rPr/>
              <w:t xml:space="preserve">December 2025 Warrants </w:t>
            </w:r>
            <w:r>
              <w:rPr>
                <w:shd w:fill="FFFFFF" w:val="clear"/>
              </w:rPr>
              <w:t xml:space="preserve">issued by the Company to WV Direct Lending and (e) 829,638 shares of common stock under the </w:t>
            </w:r>
            <w:r>
              <w:rPr/>
              <w:t xml:space="preserve">June 2025 Warrants </w:t>
            </w:r>
            <w:r>
              <w:rPr>
                <w:shd w:fill="FFFFFF" w:val="clear"/>
              </w:rPr>
              <w:t>issued by the Company to WV Direct Lending pursuant to the Financing Agreement. WV Direct Lending’s sole investment advisor is an indirect subsidiary of TCW Group. TCW Group and its direct and indirect subsidiaries collectively constitute the TCW Business Unit. The TCW Business Unit has shared voting and dispositive power over 18,942,059 shares of common stock, which includes the shares described in this footnote and in footnote 8 above. The address of TCW Direct Lending is 515 South Flower Street, Los Angeles, CA 90071. Affiliates of TCW Group act as collateral agent and lenders in principal amount of $120 million to the Company pursuant to the Financing Agreement. In addition, TCW Asset Management, an affiliate of TCW Group, is party to the Governance Agreement, pursuant to which TCW Asset Management has the right to appoint one director of the Company. Each agreement referenced above is qualified in its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entirety by reference to Financing Agreement, including Amendment No. 1, Amendment No. 2 and Amendment No. 3 thereto, </w:t>
      </w:r>
      <w:r>
        <w:rPr>
          <w:rFonts w:ascii="Times New Roman;Times;Serif" w:hAnsi="Times New Roman;Times;Serif"/>
          <w:b w:val="false"/>
          <w:i w:val="false"/>
          <w:caps w:val="false"/>
          <w:smallCaps w:val="false"/>
          <w:sz w:val="20"/>
          <w:shd w:fill="FFFFFF" w:val="clear"/>
        </w:rPr>
        <w:t xml:space="preserve">and Governance Agreement, each of which is attached </w:t>
      </w:r>
      <w:r>
        <w:rPr>
          <w:rFonts w:ascii="Times New Roman;Times;Serif" w:hAnsi="Times New Roman;Times;Serif"/>
          <w:b w:val="false"/>
          <w:i w:val="false"/>
          <w:caps w:val="false"/>
          <w:smallCaps w:val="false"/>
          <w:sz w:val="20"/>
        </w:rPr>
        <w:t xml:space="preserve">as an exhibit </w:t>
      </w:r>
      <w:r>
        <w:rPr>
          <w:rFonts w:ascii="Times New Roman;Times;Serif" w:hAnsi="Times New Roman;Times;Serif"/>
          <w:b w:val="false"/>
          <w:i w:val="false"/>
          <w:caps w:val="false"/>
          <w:smallCaps w:val="false"/>
          <w:sz w:val="20"/>
          <w:shd w:fill="FFFFFF" w:val="clear"/>
        </w:rPr>
        <w:t>to the registration statement of which this prospectus forms a part</w:t>
      </w:r>
      <w:r>
        <w:rPr>
          <w:rFonts w:ascii="Times New Roman;Times;Serif" w:hAnsi="Times New Roman;Times;Serif"/>
          <w:b w:val="false"/>
          <w:i w:val="false"/>
          <w:caps w:val="false"/>
          <w:smallCaps w:val="false"/>
          <w:sz w:val="20"/>
        </w:rPr>
        <w:t xml:space="preserve">. </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 w:name="a_009"/>
      <w:bookmarkEnd w:id="10"/>
      <w:r>
        <w:rPr>
          <w:rFonts w:ascii="Times New Roman;Times;Serif" w:hAnsi="Times New Roman;Times;Serif"/>
          <w:b/>
          <w:i w:val="false"/>
          <w:caps/>
          <w:sz w:val="20"/>
        </w:rPr>
        <w:t>Plan of Distribution</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which as used herein includes donees, pledgees, transferees or other successors-in-interest selling shares of common stock or interests in shares of common stock received after the date of this prospectus from the Selling Stockholders as a gift, pledge, partnership or other distribution or other transfer, may, from time to time, sell, transfer or otherwise dispose of any or all of their shares of common stock or interests in shares of common stock covered hereby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use any one or more of the following methods when disposing of the shares or interests therein:</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on any national securities exchange or quotation service on which the securities may be listed or quoted at the time of sale;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4"/>
        <w:gridCol w:w="411"/>
        <w:gridCol w:w="9670"/>
      </w:tblGrid>
      <w:tr>
        <w:trPr/>
        <w:tc>
          <w:tcPr>
            <w:tcW w:w="12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rFonts w:ascii="Symbol" w:hAnsi="Symbol"/>
              </w:rPr>
            </w:pPr>
            <w:r>
              <w:rPr>
                <w:rFonts w:ascii="Symbol" w:hAnsi="Symbol"/>
              </w:rPr>
              <w:t>·</w:t>
            </w:r>
          </w:p>
        </w:tc>
        <w:tc>
          <w:tcPr>
            <w:tcW w:w="9670" w:type="dxa"/>
            <w:tcBorders/>
            <w:vAlign w:val="center"/>
          </w:tcPr>
          <w:p>
            <w:pPr>
              <w:pStyle w:val="TableContents"/>
              <w:bidi w:val="0"/>
              <w:spacing w:before="0" w:after="283"/>
              <w:jc w:val="left"/>
              <w:rPr/>
            </w:pPr>
            <w:r>
              <w:rPr/>
              <w:t>in the over-the-counter market;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39"/>
        <w:gridCol w:w="10024"/>
      </w:tblGrid>
      <w:tr>
        <w:trPr/>
        <w:tc>
          <w:tcPr>
            <w:tcW w:w="4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Symbol" w:hAnsi="Symbol"/>
              </w:rPr>
            </w:pPr>
            <w:r>
              <w:rPr>
                <w:rFonts w:ascii="Symbol" w:hAnsi="Symbol"/>
              </w:rPr>
              <w:t>·</w:t>
            </w:r>
          </w:p>
        </w:tc>
        <w:tc>
          <w:tcPr>
            <w:tcW w:w="10024" w:type="dxa"/>
            <w:tcBorders/>
            <w:vAlign w:val="center"/>
          </w:tcPr>
          <w:p>
            <w:pPr>
              <w:pStyle w:val="TableContents"/>
              <w:bidi w:val="0"/>
              <w:spacing w:before="0" w:after="283"/>
              <w:jc w:val="left"/>
              <w:rPr/>
            </w:pPr>
            <w:r>
              <w:rPr/>
              <w:t>in transactions otherwise than on these exchanges or systems or in the over-the-counter market;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40"/>
        <w:gridCol w:w="10023"/>
      </w:tblGrid>
      <w:tr>
        <w:trPr/>
        <w:tc>
          <w:tcPr>
            <w:tcW w:w="4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23" w:type="dxa"/>
            <w:tcBorders/>
            <w:vAlign w:val="center"/>
          </w:tcPr>
          <w:p>
            <w:pPr>
              <w:pStyle w:val="TableContents"/>
              <w:bidi w:val="0"/>
              <w:spacing w:before="0" w:after="283"/>
              <w:jc w:val="left"/>
              <w:rPr/>
            </w:pPr>
            <w:r>
              <w:rPr/>
              <w:t>ordinary brokerage transactions and transactions in which the broker-dealer solicits purchasers;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block trades in which the broker-dealer will attempt to sell the shares as agent, but may position and resell a portion of the block as principal to facilitate the transaction;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51"/>
        <w:gridCol w:w="10009"/>
      </w:tblGrid>
      <w:tr>
        <w:trPr/>
        <w:tc>
          <w:tcPr>
            <w:tcW w:w="4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Symbol" w:hAnsi="Symbol"/>
              </w:rPr>
            </w:pPr>
            <w:r>
              <w:rPr>
                <w:rFonts w:ascii="Symbol" w:hAnsi="Symbol"/>
              </w:rPr>
              <w:t>·</w:t>
            </w:r>
          </w:p>
        </w:tc>
        <w:tc>
          <w:tcPr>
            <w:tcW w:w="10009" w:type="dxa"/>
            <w:tcBorders/>
            <w:vAlign w:val="center"/>
          </w:tcPr>
          <w:p>
            <w:pPr>
              <w:pStyle w:val="TableContents"/>
              <w:bidi w:val="0"/>
              <w:spacing w:before="0" w:after="283"/>
              <w:jc w:val="left"/>
              <w:rPr/>
            </w:pPr>
            <w:r>
              <w:rPr/>
              <w:t>purchases by a broker-dealer as principal and resale by the broker-dealer for its account;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162"/>
        <w:gridCol w:w="9994"/>
      </w:tblGrid>
      <w:tr>
        <w:trPr/>
        <w:tc>
          <w:tcPr>
            <w:tcW w:w="4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Symbol" w:hAnsi="Symbol"/>
              </w:rPr>
            </w:pPr>
            <w:r>
              <w:rPr>
                <w:rFonts w:ascii="Symbol" w:hAnsi="Symbol"/>
              </w:rPr>
              <w:t>·</w:t>
            </w:r>
          </w:p>
        </w:tc>
        <w:tc>
          <w:tcPr>
            <w:tcW w:w="9994" w:type="dxa"/>
            <w:tcBorders/>
            <w:vAlign w:val="center"/>
          </w:tcPr>
          <w:p>
            <w:pPr>
              <w:pStyle w:val="TableContents"/>
              <w:bidi w:val="0"/>
              <w:spacing w:before="0" w:after="283"/>
              <w:jc w:val="left"/>
              <w:rPr/>
            </w:pPr>
            <w:r>
              <w:rPr/>
              <w:t>an exchange distribution in accordance with the rules of the applicable exchange;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7"/>
        <w:gridCol w:w="388"/>
        <w:gridCol w:w="9700"/>
      </w:tblGrid>
      <w:tr>
        <w:trPr/>
        <w:tc>
          <w:tcPr>
            <w:tcW w:w="11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rFonts w:ascii="Symbol" w:hAnsi="Symbol"/>
              </w:rPr>
            </w:pPr>
            <w:r>
              <w:rPr>
                <w:rFonts w:ascii="Symbol" w:hAnsi="Symbol"/>
              </w:rPr>
              <w:t>·</w:t>
            </w:r>
          </w:p>
        </w:tc>
        <w:tc>
          <w:tcPr>
            <w:tcW w:w="9700" w:type="dxa"/>
            <w:tcBorders/>
            <w:vAlign w:val="center"/>
          </w:tcPr>
          <w:p>
            <w:pPr>
              <w:pStyle w:val="TableContents"/>
              <w:bidi w:val="0"/>
              <w:spacing w:before="0" w:after="283"/>
              <w:jc w:val="left"/>
              <w:rPr/>
            </w:pPr>
            <w:r>
              <w:rPr/>
              <w:t>privately negotiated transactions;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4"/>
        <w:gridCol w:w="772"/>
        <w:gridCol w:w="9199"/>
      </w:tblGrid>
      <w:tr>
        <w:trPr/>
        <w:tc>
          <w:tcPr>
            <w:tcW w:w="23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rFonts w:ascii="Symbol" w:hAnsi="Symbol"/>
              </w:rPr>
            </w:pPr>
            <w:r>
              <w:rPr>
                <w:rFonts w:ascii="Symbol" w:hAnsi="Symbol"/>
              </w:rPr>
              <w:t>·</w:t>
            </w:r>
          </w:p>
        </w:tc>
        <w:tc>
          <w:tcPr>
            <w:tcW w:w="9199" w:type="dxa"/>
            <w:tcBorders/>
            <w:vAlign w:val="center"/>
          </w:tcPr>
          <w:p>
            <w:pPr>
              <w:pStyle w:val="TableContents"/>
              <w:bidi w:val="0"/>
              <w:spacing w:before="0" w:after="283"/>
              <w:jc w:val="left"/>
              <w:rPr/>
            </w:pPr>
            <w:r>
              <w:rPr/>
              <w:t>through agents;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36"/>
        <w:gridCol w:w="10028"/>
      </w:tblGrid>
      <w:tr>
        <w:trPr/>
        <w:tc>
          <w:tcPr>
            <w:tcW w:w="4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Symbol" w:hAnsi="Symbol"/>
              </w:rPr>
            </w:pPr>
            <w:r>
              <w:rPr>
                <w:rFonts w:ascii="Symbol" w:hAnsi="Symbol"/>
              </w:rPr>
              <w:t>·</w:t>
            </w:r>
          </w:p>
        </w:tc>
        <w:tc>
          <w:tcPr>
            <w:tcW w:w="10028" w:type="dxa"/>
            <w:tcBorders/>
            <w:vAlign w:val="center"/>
          </w:tcPr>
          <w:p>
            <w:pPr>
              <w:pStyle w:val="TableContents"/>
              <w:bidi w:val="0"/>
              <w:spacing w:before="0" w:after="283"/>
              <w:jc w:val="left"/>
              <w:rPr/>
            </w:pPr>
            <w:r>
              <w:rPr/>
              <w:t>through one or more underwriters in a public offering on a firm commitment or best-efforts basis;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through the settlement of short sales (including short sales “against the box”), in each case subject to compliance with the Securities Act and other applicable laws;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through the writing or settlement of options or other hedging transactions, whether through an options exchange or otherwise;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broker-dealers may agree with the Selling Stockholders to sell a specified number of such shares at a stipulated price per share;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178"/>
        <w:gridCol w:w="9973"/>
      </w:tblGrid>
      <w:tr>
        <w:trPr/>
        <w:tc>
          <w:tcPr>
            <w:tcW w:w="5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Symbol" w:hAnsi="Symbol"/>
              </w:rPr>
            </w:pPr>
            <w:r>
              <w:rPr>
                <w:rFonts w:ascii="Symbol" w:hAnsi="Symbol"/>
              </w:rPr>
              <w:t>·</w:t>
            </w:r>
          </w:p>
        </w:tc>
        <w:tc>
          <w:tcPr>
            <w:tcW w:w="9973" w:type="dxa"/>
            <w:tcBorders/>
            <w:vAlign w:val="center"/>
          </w:tcPr>
          <w:p>
            <w:pPr>
              <w:pStyle w:val="TableContents"/>
              <w:bidi w:val="0"/>
              <w:spacing w:before="0" w:after="283"/>
              <w:jc w:val="left"/>
              <w:rPr/>
            </w:pPr>
            <w:r>
              <w:rPr/>
              <w:t>in other ways not involving market makers or established trading markets;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273"/>
        <w:gridCol w:w="9850"/>
      </w:tblGrid>
      <w:tr>
        <w:trPr/>
        <w:tc>
          <w:tcPr>
            <w:tcW w:w="8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rFonts w:ascii="Symbol" w:hAnsi="Symbol"/>
              </w:rPr>
            </w:pPr>
            <w:r>
              <w:rPr>
                <w:rFonts w:ascii="Symbol" w:hAnsi="Symbol"/>
              </w:rPr>
              <w:t>·</w:t>
            </w:r>
          </w:p>
        </w:tc>
        <w:tc>
          <w:tcPr>
            <w:tcW w:w="9850" w:type="dxa"/>
            <w:tcBorders/>
            <w:vAlign w:val="center"/>
          </w:tcPr>
          <w:p>
            <w:pPr>
              <w:pStyle w:val="TableContents"/>
              <w:bidi w:val="0"/>
              <w:spacing w:before="0" w:after="283"/>
              <w:jc w:val="left"/>
              <w:rPr/>
            </w:pPr>
            <w:r>
              <w:rPr/>
              <w:t>by pledge to secure debts and other obligations;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273"/>
        <w:gridCol w:w="9850"/>
      </w:tblGrid>
      <w:tr>
        <w:trPr/>
        <w:tc>
          <w:tcPr>
            <w:tcW w:w="8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rFonts w:ascii="Symbol" w:hAnsi="Symbol"/>
              </w:rPr>
            </w:pPr>
            <w:r>
              <w:rPr>
                <w:rFonts w:ascii="Symbol" w:hAnsi="Symbol"/>
              </w:rPr>
              <w:t>·</w:t>
            </w:r>
          </w:p>
        </w:tc>
        <w:tc>
          <w:tcPr>
            <w:tcW w:w="9850" w:type="dxa"/>
            <w:tcBorders/>
            <w:vAlign w:val="center"/>
          </w:tcPr>
          <w:p>
            <w:pPr>
              <w:pStyle w:val="TableContents"/>
              <w:bidi w:val="0"/>
              <w:spacing w:before="0" w:after="283"/>
              <w:jc w:val="left"/>
              <w:rPr/>
            </w:pPr>
            <w:r>
              <w:rPr/>
              <w:t>a combination of any such methods of sale;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237"/>
        <w:gridCol w:w="9897"/>
      </w:tblGrid>
      <w:tr>
        <w:trPr/>
        <w:tc>
          <w:tcPr>
            <w:tcW w:w="7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Symbol" w:hAnsi="Symbol"/>
              </w:rPr>
            </w:pPr>
            <w:r>
              <w:rPr>
                <w:rFonts w:ascii="Symbol" w:hAnsi="Symbol"/>
              </w:rPr>
              <w:t>·</w:t>
            </w:r>
          </w:p>
        </w:tc>
        <w:tc>
          <w:tcPr>
            <w:tcW w:w="9897" w:type="dxa"/>
            <w:tcBorders/>
            <w:vAlign w:val="center"/>
          </w:tcPr>
          <w:p>
            <w:pPr>
              <w:pStyle w:val="TableContents"/>
              <w:bidi w:val="0"/>
              <w:spacing w:before="0" w:after="283"/>
              <w:jc w:val="left"/>
              <w:rPr/>
            </w:pPr>
            <w:r>
              <w:rPr/>
              <w:t>any other method permitted pursuant to applicable law.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also sell shares under Rule 144 under the Securities Act, if available, rather than under this prospectus, provided that they meet the criteria and conform to the requirements of these provisions.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from time to time, pledge or grant a security interest in some or all of the shares of common stock owned by them and, if the Selling Stockholders default in the performance of their secured obligations, the pledgees or secured parties may offer and sell the shares of common stock, from time to time, under this prospectus, or under an amendment to this prospectus under Rule 424 or other applicable provision of the Securities Act amending the list of Selling Stockholders to include the pledgee, transferee or other successor-in-interest as a Selling Stockholder under this prospectus. The Selling Stockholders also may transfer the shares of common stock in other circumstances, in which case the transferees, pledgees or other successors-in-interest will be the selling beneficial owners for purposes of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or other disposition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proceeds to the Selling Stockholders from the sale or other disposition of the common stock covered by this prospectus will be the price at which the shares of common stock are sold or otherwise disposed of, less discounts or commissions, if any. The Selling Stockholders reserve the right to accept and, together with their agents from time to time, to reject, in whole or in part, any proposed purchase of common stock to be made directly or through agents. We will not receive any of the proceeds from this offering. However, we will receive proceeds from the exercise of the Warrants if they are exercised for cash by a holder thereof.</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underwriters, broker-dealers or agents that are involved in selling the common stock or interests therein may be deemed to be “underwriters” within the meaning of Section 2(a)(11) of the Securities Act. In such event, any commissions received by such broker-dealers or agents and any profit on the resale of the shares purchased by them may be deemed to be underwriting commissions or discounts under the Securities Act. The maximum amount of any compensation to be received by any Financial Industry Regulatory Authority member will not be greater than an amount that is considered fair and reasonable for the sale of any securities being registered. The Selling Stockholders have informed us that they do not as of the date hereof have any agreement or understanding, directly or indirectly, with any person to distribute the common stock. If a Selling Stockholder is deemed to be an “underwriter” within the meaning of the Securities Act, it will be subject to the prospectus delivery requirements of the Securities Act.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the shares of our common stock to be sold, the name of the Selling Stockholders, the respective purchase prices and public offering prices, the names of any agents, dealer or underwriter, and any applicable commissions or discounts with respect to a particular offer will be set forth in an accompanying prospectus supplement or, if appropriate, a post-effective amendment to the registration statement of which this prospectus is a part.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some states, if applicable, the shares of our common stock may be sold in these jurisdictions only through registered or licensed brokers or dealers. In addition, in some states shares of our common stock may not be sold unless they have been registered or qualified for sale or an exemption from registration or qualification requirements is available and is complied with.</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other person participating in such distribution will be subject to applicable provisions under the Exchange Act and the rules and regulations thereunder, including, without limitation, Regulation M of the Exchange Act, which may limit the timing of purchases and sales of any of the shares of common stock by the Selling Stockholders and any other participating person. In addition,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Selling Stockholders against liabilities in relation to the registration of the shares offered by this prospectus and certain liabilities under the Securities Act or any other similar federal or state securities laws.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have agreed to pay the applicable filing fee with respect to the registration of these shares and any subsequent shelf registration, and pay our own direct costs, including the professional fees of our own counsel and independent registered accountants. The Selling Stockholders shall bear the cost of their own counsel, other advisors and any broker or other intermediary involved in any resale, including all applicable underwriting discounts and commissions, brokers’ commissions and stock transfer taxes, if any, on the shares sold by the Selling Stockholders in any such resale.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We have agreed to use commercially reasonable efforts to keep the registration statement of which this prospectus is a part </w:t>
      </w:r>
      <w:r>
        <w:rPr>
          <w:rFonts w:ascii="Times New Roman;Times;Serif" w:hAnsi="Times New Roman;Times;Serif"/>
          <w:b w:val="false"/>
          <w:i w:val="false"/>
          <w:caps w:val="false"/>
          <w:smallCaps w:val="false"/>
          <w:sz w:val="20"/>
        </w:rPr>
        <w:t xml:space="preserve">continuously </w:t>
      </w:r>
      <w:r>
        <w:rPr>
          <w:rFonts w:ascii="Times New Roman;Times;Serif" w:hAnsi="Times New Roman;Times;Serif"/>
          <w:b w:val="false"/>
          <w:i w:val="false"/>
          <w:caps w:val="false"/>
          <w:smallCaps w:val="false"/>
          <w:sz w:val="20"/>
          <w:shd w:fill="FFFFFF" w:val="clear"/>
        </w:rPr>
        <w:t xml:space="preserve">effective, supplemented and amended as required by the Securities Act, in order to permit this prospectus to be usable by the Selling Stockholders for a period from the date the registration statement becomes effective to, and including, the date upon which all registrable securities have been sold and no longer subject to restrictions on transfer or the securities no longer constitute registrable securities (whichever is earlier).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sold under the registration statement of which this prospectus is a part, the shares of common stock will be freely tradable in the hands of persons other than our affiliates.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 w:name="a_010"/>
      <w:bookmarkEnd w:id="11"/>
      <w:r>
        <w:rPr>
          <w:rFonts w:ascii="Times New Roman;Times;Serif" w:hAnsi="Times New Roman;Times;Serif"/>
          <w:b/>
          <w:i w:val="false"/>
          <w:caps/>
          <w:sz w:val="20"/>
        </w:rPr>
        <w:t>Legal Matters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Davis </w:t>
      </w:r>
      <w:r>
        <w:rPr>
          <w:rFonts w:ascii="Times New Roman;Times;Serif" w:hAnsi="Times New Roman;Times;Serif"/>
          <w:b w:val="false"/>
          <w:i w:val="false"/>
          <w:caps w:val="false"/>
          <w:smallCaps w:val="false"/>
          <w:sz w:val="20"/>
          <w:shd w:fill="FFFFFF" w:val="clear"/>
        </w:rPr>
        <w:t>Polk &amp; Wardwell LLP, Redwood City, California will pass upon the validity of the shares of common stock offered by this prospectus.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2" w:name="a_011"/>
      <w:bookmarkEnd w:id="12"/>
      <w:r>
        <w:rPr>
          <w:rFonts w:ascii="Times New Roman;Times;Serif" w:hAnsi="Times New Roman;Times;Serif"/>
          <w:b/>
          <w:i w:val="false"/>
          <w:caps/>
          <w:sz w:val="20"/>
        </w:rPr>
        <w:t>Experts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The audited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3" w:name="a_012"/>
      <w:bookmarkEnd w:id="13"/>
      <w:r>
        <w:rPr>
          <w:rFonts w:ascii="Times New Roman;Times;Serif" w:hAnsi="Times New Roman;Times;Serif"/>
          <w:b/>
          <w:i w:val="false"/>
          <w:caps/>
          <w:sz w:val="20"/>
        </w:rPr>
        <w:t>Where You Can Find More Information</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current reports, proxy statements and other information with the SEC. The SEC maintains a website that contains reports, proxy and information statements and other information about issuers, including Accuray Incorporated, who file electronically with the SEC. The address of that website is http://www.sec.gov.</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 filings are also available on our website:</w:t>
      </w:r>
      <w:r>
        <w:rPr>
          <w:rFonts w:ascii="Times New Roman;Times;Serif" w:hAnsi="Times New Roman;Times;Serif"/>
          <w:b w:val="false"/>
          <w:i w:val="false"/>
          <w:caps w:val="false"/>
          <w:smallCaps w:val="false"/>
          <w:sz w:val="20"/>
          <w:shd w:fill="FFFFFF" w:val="clear"/>
        </w:rPr>
        <w:t> </w:t>
      </w:r>
      <w:r>
        <w:rPr>
          <w:rFonts w:ascii="Times New Roman;Times;Serif" w:hAnsi="Times New Roman;Times;Serif"/>
          <w:b w:val="false"/>
          <w:i/>
          <w:caps w:val="false"/>
          <w:smallCaps w:val="false"/>
          <w:sz w:val="20"/>
        </w:rPr>
        <w:t>www.accuray.com</w:t>
      </w:r>
      <w:r>
        <w:rPr>
          <w:rFonts w:ascii="Times New Roman;Times;Serif" w:hAnsi="Times New Roman;Times;Serif"/>
          <w:b w:val="false"/>
          <w:i w:val="false"/>
          <w:caps w:val="false"/>
          <w:smallCaps w:val="false"/>
          <w:sz w:val="20"/>
        </w:rPr>
        <w:t>. Except for documents filed with the SEC and incorporated by reference into this prospectus, no information contained in, or that can be accessed through, our website is to be considered part of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4" w:name="a_013"/>
      <w:bookmarkEnd w:id="14"/>
      <w:r>
        <w:rPr>
          <w:rFonts w:ascii="Times New Roman;Times;Serif" w:hAnsi="Times New Roman;Times;Serif"/>
          <w:b/>
          <w:i w:val="false"/>
          <w:caps/>
          <w:sz w:val="20"/>
        </w:rPr>
        <w:t>Information Incorporated by Reference</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of the SEC allow us to incorporate by reference into this prospectus the information we file with the SEC. This means that we are disclosing important information to you by referring to other documents. The information incorporated by reference is considered to be part of this prospectus, except for any information superseded by information contained directly in this prospectus. We incorporate by reference the documents listed below (other than any portions thereof, which under the Exchange Act, and applicable SEC rules, are not deemed “filed” under the Exchange Act):</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2"/>
        <w:gridCol w:w="9986"/>
      </w:tblGrid>
      <w:tr>
        <w:trPr/>
        <w:tc>
          <w:tcPr>
            <w:tcW w:w="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rFonts w:ascii="Symbol" w:hAnsi="Symbol"/>
              </w:rPr>
              <w:t>·</w:t>
            </w:r>
            <w:r>
              <w:rPr/>
              <w:t xml:space="preserve"> </w:t>
            </w:r>
          </w:p>
        </w:tc>
        <w:tc>
          <w:tcPr>
            <w:tcW w:w="9986" w:type="dxa"/>
            <w:tcBorders/>
            <w:vAlign w:val="center"/>
          </w:tcPr>
          <w:p>
            <w:pPr>
              <w:pStyle w:val="TableContents"/>
              <w:bidi w:val="0"/>
              <w:spacing w:before="0" w:after="283"/>
              <w:jc w:val="left"/>
              <w:rPr/>
            </w:pPr>
            <w:r>
              <w:rPr/>
              <w:t>our Annual Report on Form 10-K for the year ended June 30, 2026, filed with the SEC on </w:t>
            </w:r>
            <w:hyperlink r:id="rId2">
              <w:r>
                <w:rPr>
                  <w:rStyle w:val="InternetLink"/>
                </w:rPr>
                <w:t>August 27, 2026</w:t>
              </w:r>
            </w:hyperlink>
            <w:r>
              <w:rPr/>
              <w:t xml:space="preserve">;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rFonts w:ascii="Symbol" w:hAnsi="Symbol"/>
              </w:rPr>
              <w:t>·</w:t>
            </w:r>
            <w:r>
              <w:rPr/>
              <w:t xml:space="preserve"> </w:t>
            </w:r>
          </w:p>
        </w:tc>
        <w:tc>
          <w:tcPr>
            <w:tcW w:w="10006" w:type="dxa"/>
            <w:tcBorders/>
            <w:vAlign w:val="center"/>
          </w:tcPr>
          <w:p>
            <w:pPr>
              <w:pStyle w:val="TableContents"/>
              <w:bidi w:val="0"/>
              <w:spacing w:before="0" w:after="283"/>
              <w:jc w:val="left"/>
              <w:rPr/>
            </w:pPr>
            <w:r>
              <w:rPr/>
              <w:t xml:space="preserve">our Current Reports on Form 8-K filed with the SEC on </w:t>
            </w:r>
            <w:hyperlink r:id="rId3">
              <w:r>
                <w:rPr>
                  <w:rStyle w:val="InternetLink"/>
                  <w:color w:val="000080"/>
                </w:rPr>
                <w:t>July 29, 2026</w:t>
              </w:r>
            </w:hyperlink>
            <w:r>
              <w:rPr>
                <w:color w:val="000000"/>
              </w:rPr>
              <w:t xml:space="preserve"> and </w:t>
            </w:r>
            <w:hyperlink r:id="rId4">
              <w:r>
                <w:rPr>
                  <w:rStyle w:val="InternetLink"/>
                  <w:color w:val="000080"/>
                </w:rPr>
                <w:t>August 6, 2026</w:t>
              </w:r>
            </w:hyperlink>
            <w:r>
              <w:rPr>
                <w:color w:val="000000"/>
              </w:rPr>
              <w:t>, to the extent the information in such reports is filed and not furnished; and</w:t>
            </w:r>
            <w:r>
              <w:rPr/>
              <w:t xml:space="preserve">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the description of our common stock contained in our Registration Statement on Form 8-A filed with the Commission on </w:t>
            </w:r>
            <w:hyperlink r:id="rId5">
              <w:r>
                <w:rPr>
                  <w:rStyle w:val="InternetLink"/>
                </w:rPr>
                <w:t>February 7, 2007</w:t>
              </w:r>
            </w:hyperlink>
            <w:r>
              <w:rPr/>
              <w:t>, including any subsequently filed amendments and reports updating that description.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into this prospectus all future reports and other documents (other than the Current Reports on Form 8-K or portions thereof that are “furnished” under Item 2.02 or Item 7.01 of Form 8-K)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we file with the SEC pursuant to Sections 13(a), 13(c), 14 or 15(d) of the Exchange Act (i) after the date of the initial filing of the registration statement of which this prospectus forms a part and prior to effectiveness of the registration statement, and (ii) on and after the date of this prospectus but prior to the termination or completion of the offering of shares of common stock under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document incorporated by reference in this prospectus shall be deemed to be modified or superseded for purposes of this prospectus to the extent that a statement contained in this prospectus or in any other subsequently filed document that is also incorporated by reference in this prospectus modifies or supersedes such statement. Any statement so modified or superseded shall not be deemed, except as so modified or superseded, to constitute a part of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furnish without charge to you, on written or oral request, a copy of any or all of the documents incorporated by reference in this prospectus, including exhibits to these documents. You should direct any requests for documents to Accuray Incorporated, 1240 Deming Way, Madison, WI 53717.</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also may access these filings on our website at </w:t>
      </w:r>
      <w:r>
        <w:rPr>
          <w:rFonts w:ascii="Times New Roman;Times;Serif" w:hAnsi="Times New Roman;Times;Serif"/>
          <w:b w:val="false"/>
          <w:i/>
          <w:caps w:val="false"/>
          <w:smallCaps w:val="false"/>
          <w:sz w:val="20"/>
        </w:rPr>
        <w:t>www.accuray.com</w:t>
      </w:r>
      <w:r>
        <w:rPr>
          <w:rFonts w:ascii="Times New Roman;Times;Serif" w:hAnsi="Times New Roman;Times;Serif"/>
          <w:b w:val="false"/>
          <w:i w:val="false"/>
          <w:caps w:val="false"/>
          <w:smallCaps w:val="false"/>
          <w:sz w:val="20"/>
        </w:rPr>
        <w:t>. We do not incorporate the information on our website into this prospectus or any supplement to this prospectus and you should not consider any information on, or that can be accessed through, our website as part of this prospectus or any supplement to this prospectus (other than those filings with the SEC that we specifically incorporate by reference into this prospectus or any supplement to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br/>
        <w:t>Information Not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Other Expenses of Issuance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fees and expenses payable by us in connection with the offering of the securities being registered. All amounts are estimated except the SEC registration fee.</w:t>
      </w:r>
    </w:p>
    <w:p>
      <w:pPr>
        <w:pStyle w:val="TextBody"/>
        <w:bidi w:val="0"/>
        <w:spacing w:before="0" w:after="0"/>
        <w:ind w:left="0" w:right="0" w:firstLine="360"/>
        <w:jc w:val="left"/>
        <w:rPr>
          <w:caps w:val="false"/>
          <w:smallCaps w:val="false"/>
        </w:rPr>
      </w:pPr>
      <w:r>
        <w:rPr>
          <w:caps w:val="false"/>
          <w:smallCaps w:val="false"/>
        </w:rPr>
        <w:t> </w:t>
      </w:r>
    </w:p>
    <w:tbl>
      <w:tblPr>
        <w:tblW w:w="3855" w:type="dxa"/>
        <w:jc w:val="left"/>
        <w:tblInd w:w="0" w:type="dxa"/>
        <w:tblLayout w:type="fixed"/>
        <w:tblCellMar>
          <w:top w:w="0" w:type="dxa"/>
          <w:left w:w="0" w:type="dxa"/>
          <w:bottom w:w="0" w:type="dxa"/>
          <w:right w:w="0" w:type="dxa"/>
        </w:tblCellMar>
      </w:tblPr>
      <w:tblGrid>
        <w:gridCol w:w="2900"/>
        <w:gridCol w:w="60"/>
        <w:gridCol w:w="140"/>
        <w:gridCol w:w="680"/>
        <w:gridCol w:w="75"/>
      </w:tblGrid>
      <w:tr>
        <w:trPr/>
        <w:tc>
          <w:tcPr>
            <w:tcW w:w="2900" w:type="dxa"/>
            <w:tcBorders/>
            <w:shd w:fill="D5EAEA" w:val="clear"/>
            <w:vAlign w:val="center"/>
          </w:tcPr>
          <w:p>
            <w:pPr>
              <w:pStyle w:val="TableContents"/>
              <w:bidi w:val="0"/>
              <w:spacing w:before="0" w:after="283"/>
              <w:jc w:val="left"/>
              <w:rPr/>
            </w:pPr>
            <w:r>
              <w:rPr/>
              <w:t>SEC registration fee</w:t>
              <w:tab/>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w:t>
            </w:r>
          </w:p>
        </w:tc>
        <w:tc>
          <w:tcPr>
            <w:tcW w:w="680" w:type="dxa"/>
            <w:tcBorders/>
            <w:shd w:fill="D5EAEA" w:val="clear"/>
            <w:vAlign w:val="center"/>
          </w:tcPr>
          <w:p>
            <w:pPr>
              <w:pStyle w:val="TableContents"/>
              <w:bidi w:val="0"/>
              <w:spacing w:before="0" w:after="283"/>
              <w:jc w:val="right"/>
              <w:rPr/>
            </w:pPr>
            <w:r>
              <w:rPr/>
              <w:t>229.73</w:t>
            </w:r>
          </w:p>
        </w:tc>
        <w:tc>
          <w:tcPr>
            <w:tcW w:w="75" w:type="dxa"/>
            <w:tcBorders/>
            <w:shd w:fill="D5EAEA"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Accounting fees and expenses</w:t>
              <w:tab/>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D5EAEA" w:val="clear"/>
            <w:vAlign w:val="center"/>
          </w:tcPr>
          <w:p>
            <w:pPr>
              <w:pStyle w:val="TableContents"/>
              <w:bidi w:val="0"/>
              <w:spacing w:before="0" w:after="283"/>
              <w:jc w:val="left"/>
              <w:rPr/>
            </w:pPr>
            <w:r>
              <w:rPr/>
              <w:t>Legal fees and expenses</w:t>
              <w:tab/>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680" w:type="dxa"/>
            <w:tcBorders/>
            <w:shd w:fill="D5EAEA" w:val="clear"/>
            <w:vAlign w:val="center"/>
          </w:tcPr>
          <w:p>
            <w:pPr>
              <w:pStyle w:val="TableContents"/>
              <w:bidi w:val="0"/>
              <w:spacing w:before="0" w:after="283"/>
              <w:jc w:val="right"/>
              <w:rPr/>
            </w:pPr>
            <w:r>
              <w:rPr/>
              <w:t>*</w:t>
            </w:r>
          </w:p>
        </w:tc>
        <w:tc>
          <w:tcPr>
            <w:tcW w:w="75" w:type="dxa"/>
            <w:tcBorders/>
            <w:shd w:fill="D5EAEA"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Miscellaneous</w:t>
              <w:tab/>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D5EAEA" w:val="clear"/>
            <w:vAlign w:val="center"/>
          </w:tcPr>
          <w:p>
            <w:pPr>
              <w:pStyle w:val="TableContents"/>
              <w:bidi w:val="0"/>
              <w:spacing w:before="0" w:after="283"/>
              <w:jc w:val="left"/>
              <w:rPr/>
            </w:pPr>
            <w:r>
              <w:rPr/>
              <w:t>Total</w:t>
              <w:tab/>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w:t>
            </w:r>
          </w:p>
        </w:tc>
        <w:tc>
          <w:tcPr>
            <w:tcW w:w="680" w:type="dxa"/>
            <w:tcBorders/>
            <w:shd w:fill="D5EAEA" w:val="clear"/>
            <w:vAlign w:val="center"/>
          </w:tcPr>
          <w:p>
            <w:pPr>
              <w:pStyle w:val="TableContents"/>
              <w:bidi w:val="0"/>
              <w:spacing w:before="0" w:after="283"/>
              <w:jc w:val="right"/>
              <w:rPr/>
            </w:pPr>
            <w:r>
              <w:rPr/>
              <w:t>*</w:t>
            </w:r>
          </w:p>
        </w:tc>
        <w:tc>
          <w:tcPr>
            <w:tcW w:w="75" w:type="dxa"/>
            <w:tcBorders/>
            <w:shd w:fill="D5EAEA" w:val="clear"/>
            <w:vAlign w:val="center"/>
          </w:tcPr>
          <w:p>
            <w:pPr>
              <w:pStyle w:val="TableContents"/>
              <w:bidi w:val="0"/>
              <w:spacing w:before="0" w:after="283"/>
              <w:jc w:val="left"/>
              <w:rPr/>
            </w:pPr>
            <w:r>
              <w:rPr/>
              <w:t> </w:t>
            </w:r>
          </w:p>
        </w:tc>
      </w:tr>
    </w:tbl>
    <w:p>
      <w:pPr>
        <w:pStyle w:val="TextBody"/>
        <w:bidi w:val="0"/>
        <w:ind w:left="0" w:right="0" w:hanging="0"/>
        <w:jc w:val="left"/>
        <w:rPr/>
      </w:pPr>
      <w:r>
        <w:rPr/>
        <w:t> </w:t>
      </w:r>
    </w:p>
    <w:p>
      <w:pPr>
        <w:pStyle w:val="TextBody"/>
        <w:bidi w:val="0"/>
        <w:jc w:val="center"/>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These fees and expenses depend on the securities offered and the number of issuances, and accordingly cannot be estimated at this time and will be reflected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Indemnification of Directors and Officers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General Corporation Law of the State of Delaware (the “DGCL”) authorizes a corporation’s board of directors to grant, and authorizes a court to award, indemnity to officers, directors and other corporate agents under certain circumstances. </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Section 102(b)(7) of the DGCL, our amended and restated certificate of incorporation contains provisions that limit the liability of its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pStyle w:val="TextBody"/>
        <w:bidi w:val="0"/>
        <w:spacing w:before="0" w:after="0"/>
        <w:ind w:left="0" w:right="0" w:firstLine="816"/>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184"/>
        <w:gridCol w:w="9965"/>
      </w:tblGrid>
      <w:tr>
        <w:trPr/>
        <w:tc>
          <w:tcPr>
            <w:tcW w:w="5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Symbol" w:hAnsi="Symbol"/>
              </w:rPr>
            </w:pPr>
            <w:r>
              <w:rPr>
                <w:rFonts w:ascii="Symbol" w:hAnsi="Symbol"/>
              </w:rPr>
              <w:t>·</w:t>
            </w:r>
          </w:p>
        </w:tc>
        <w:tc>
          <w:tcPr>
            <w:tcW w:w="9965" w:type="dxa"/>
            <w:tcBorders/>
            <w:vAlign w:val="center"/>
          </w:tcPr>
          <w:p>
            <w:pPr>
              <w:pStyle w:val="TableContents"/>
              <w:bidi w:val="0"/>
              <w:spacing w:before="0" w:after="283"/>
              <w:jc w:val="both"/>
              <w:rPr/>
            </w:pPr>
            <w:r>
              <w:rPr/>
              <w:t>any breach of the director’s duty of loyalty to us or to our stockholders;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28"/>
        <w:gridCol w:w="10039"/>
      </w:tblGrid>
      <w:tr>
        <w:trPr/>
        <w:tc>
          <w:tcPr>
            <w:tcW w:w="3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rFonts w:ascii="Symbol" w:hAnsi="Symbol"/>
              </w:rPr>
            </w:pPr>
            <w:r>
              <w:rPr>
                <w:rFonts w:ascii="Symbol" w:hAnsi="Symbol"/>
              </w:rPr>
              <w:t>·</w:t>
            </w:r>
          </w:p>
        </w:tc>
        <w:tc>
          <w:tcPr>
            <w:tcW w:w="10039" w:type="dxa"/>
            <w:tcBorders/>
            <w:vAlign w:val="center"/>
          </w:tcPr>
          <w:p>
            <w:pPr>
              <w:pStyle w:val="TableContents"/>
              <w:bidi w:val="0"/>
              <w:spacing w:before="0" w:after="283"/>
              <w:jc w:val="both"/>
              <w:rPr/>
            </w:pPr>
            <w:r>
              <w:rPr/>
              <w:t>acts or omissions not in good faith or that involve intentional misconduct or a knowing violation of law;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161"/>
        <w:gridCol w:w="9996"/>
      </w:tblGrid>
      <w:tr>
        <w:trPr/>
        <w:tc>
          <w:tcPr>
            <w:tcW w:w="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Symbol" w:hAnsi="Symbol"/>
              </w:rPr>
            </w:pPr>
            <w:r>
              <w:rPr>
                <w:rFonts w:ascii="Symbol" w:hAnsi="Symbol"/>
              </w:rPr>
              <w:t>·</w:t>
            </w:r>
          </w:p>
        </w:tc>
        <w:tc>
          <w:tcPr>
            <w:tcW w:w="9996" w:type="dxa"/>
            <w:tcBorders/>
            <w:vAlign w:val="center"/>
          </w:tcPr>
          <w:p>
            <w:pPr>
              <w:pStyle w:val="TableContents"/>
              <w:bidi w:val="0"/>
              <w:spacing w:before="0" w:after="283"/>
              <w:jc w:val="both"/>
              <w:rPr/>
            </w:pPr>
            <w:r>
              <w:rPr/>
              <w:t>unlawful payment of dividends or unlawful stock repurchases or redemptions;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171"/>
        <w:gridCol w:w="9983"/>
      </w:tblGrid>
      <w:tr>
        <w:trPr/>
        <w:tc>
          <w:tcPr>
            <w:tcW w:w="5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Symbol" w:hAnsi="Symbol"/>
              </w:rPr>
            </w:pPr>
            <w:r>
              <w:rPr>
                <w:rFonts w:ascii="Symbol" w:hAnsi="Symbol"/>
              </w:rPr>
              <w:t>·</w:t>
            </w:r>
          </w:p>
        </w:tc>
        <w:tc>
          <w:tcPr>
            <w:tcW w:w="9983" w:type="dxa"/>
            <w:tcBorders/>
            <w:vAlign w:val="center"/>
          </w:tcPr>
          <w:p>
            <w:pPr>
              <w:pStyle w:val="TableContents"/>
              <w:bidi w:val="0"/>
              <w:spacing w:before="0" w:after="283"/>
              <w:jc w:val="both"/>
              <w:rPr/>
            </w:pPr>
            <w:r>
              <w:rPr/>
              <w:t>any transaction from which the director derived an improper personal benefit.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provides that it may indemnify to the fullest extent permitted by law any person made or threatened to be made a party to an action or proceeding, whether criminal, civil, administrative or investigative, by reason of the fact that he, his testator or intestate is or was a director, officer, employee or agent of the Company or any predecessor of the Company, or serves or served at any other enterprise as a director, officer, employee or agent at the request of the Company or any predecessor to the Company.</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Delaware law is amended to authorize corporate action further eliminating or limiting the personal liability of a director, then the liability of our directors will be eliminated or limited to the fullest extent permitted by Delaware law, as so amended. Our amended and restated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bylaws provide that we shall indemnify and hold harmless, to the fullest extent permitted by the DGCL as it presently exists or may hereafter be amended, any director or officer of the Company who was or is made or is threatened to be made a party or is otherwise involved in any action, suit or proceeding, whether civil, criminal, administrative or investigative by reason of the fact that he or she, or a person for whom he or she is the legal representative, is or was a director, officer, employee or agent of the Company or is or was serving at the request of the Company as a director, officer, employee or agent of another corporation or of a partnership, joint</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venture, trust, enterprise or non-profit entity, including service with respect to employee benefit plans, against all liability and loss suffered and expenses reasonably incurred by such person in connection with any such action, suit or proceeding.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we have entered into indemnification agreements with each of our current directors and officers. These agreements provide for the indemnification of our directors and officers for all reasonable expenses and liabilities incurred in connection with any action or proceeding brought against them by reason of the fact that they are or were our agents. We also maintain directors’ and officers’ liability insurance.</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See also the </w:t>
      </w:r>
      <w:r>
        <w:rPr>
          <w:rFonts w:ascii="Times New Roman;Times;Serif" w:hAnsi="Times New Roman;Times;Serif"/>
          <w:b w:val="false"/>
          <w:i w:val="false"/>
          <w:caps w:val="false"/>
          <w:smallCaps w:val="false"/>
          <w:sz w:val="20"/>
        </w:rPr>
        <w:t xml:space="preserve">undertakings </w:t>
      </w:r>
      <w:r>
        <w:rPr>
          <w:rFonts w:ascii="Times New Roman;Times;Serif" w:hAnsi="Times New Roman;Times;Serif"/>
          <w:b w:val="false"/>
          <w:i w:val="false"/>
          <w:caps w:val="false"/>
          <w:smallCaps w:val="false"/>
          <w:sz w:val="20"/>
          <w:shd w:fill="FFFFFF" w:val="clear"/>
        </w:rPr>
        <w:t>set out in response to Item 17 herein.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23"/>
        <w:gridCol w:w="5327"/>
        <w:gridCol w:w="635"/>
        <w:gridCol w:w="919"/>
        <w:gridCol w:w="785"/>
        <w:gridCol w:w="734"/>
        <w:gridCol w:w="982"/>
      </w:tblGrid>
      <w:tr>
        <w:trPr/>
        <w:tc>
          <w:tcPr>
            <w:tcW w:w="823" w:type="dxa"/>
            <w:tcBorders/>
            <w:vAlign w:val="center"/>
          </w:tcPr>
          <w:p>
            <w:pPr>
              <w:pStyle w:val="TableContents"/>
              <w:bidi w:val="0"/>
              <w:spacing w:before="0" w:after="283"/>
              <w:ind w:left="0" w:right="0" w:hanging="0"/>
              <w:jc w:val="left"/>
              <w:rPr/>
            </w:pPr>
            <w:r>
              <w:rPr/>
              <w:t> </w:t>
            </w:r>
          </w:p>
        </w:tc>
        <w:tc>
          <w:tcPr>
            <w:tcW w:w="5327" w:type="dxa"/>
            <w:tcBorders/>
            <w:tcMar>
              <w:top w:w="45" w:type="dxa"/>
              <w:left w:w="45" w:type="dxa"/>
              <w:bottom w:w="45" w:type="dxa"/>
              <w:right w:w="45" w:type="dxa"/>
            </w:tcMar>
            <w:vAlign w:val="center"/>
          </w:tcPr>
          <w:p>
            <w:pPr>
              <w:pStyle w:val="TableContents"/>
              <w:bidi w:val="0"/>
              <w:spacing w:before="0" w:after="283"/>
              <w:jc w:val="left"/>
              <w:rPr/>
            </w:pPr>
            <w:r>
              <w:rPr/>
              <w:t> </w:t>
            </w:r>
          </w:p>
        </w:tc>
        <w:tc>
          <w:tcPr>
            <w:tcW w:w="4055" w:type="dxa"/>
            <w:gridSpan w:val="5"/>
            <w:tcBorders/>
            <w:tcMar>
              <w:top w:w="45" w:type="dxa"/>
              <w:left w:w="45" w:type="dxa"/>
              <w:bottom w:w="45" w:type="dxa"/>
              <w:right w:w="45" w:type="dxa"/>
            </w:tcMar>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 </w:t>
            </w:r>
          </w:p>
        </w:tc>
      </w:tr>
      <w:tr>
        <w:trPr/>
        <w:tc>
          <w:tcPr>
            <w:tcW w:w="823"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 </w:t>
            </w:r>
          </w:p>
        </w:tc>
        <w:tc>
          <w:tcPr>
            <w:tcW w:w="5327" w:type="dxa"/>
            <w:tcBorders/>
            <w:tcMar>
              <w:top w:w="45" w:type="dxa"/>
              <w:left w:w="45" w:type="dxa"/>
              <w:bottom w:w="45" w:type="dxa"/>
              <w:right w:w="45" w:type="dxa"/>
            </w:tcMar>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Description </w:t>
            </w:r>
          </w:p>
        </w:tc>
        <w:tc>
          <w:tcPr>
            <w:tcW w:w="635" w:type="dxa"/>
            <w:tcBorders/>
            <w:tcMar>
              <w:top w:w="45" w:type="dxa"/>
              <w:left w:w="45" w:type="dxa"/>
              <w:bottom w:w="45" w:type="dxa"/>
              <w:right w:w="45" w:type="dxa"/>
            </w:tcMar>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w:t>
            </w:r>
          </w:p>
        </w:tc>
        <w:tc>
          <w:tcPr>
            <w:tcW w:w="919" w:type="dxa"/>
            <w:tcBorders/>
            <w:tcMar>
              <w:top w:w="45" w:type="dxa"/>
              <w:left w:w="45" w:type="dxa"/>
              <w:bottom w:w="45" w:type="dxa"/>
              <w:right w:w="45" w:type="dxa"/>
            </w:tcMar>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 </w:t>
            </w:r>
          </w:p>
        </w:tc>
        <w:tc>
          <w:tcPr>
            <w:tcW w:w="785" w:type="dxa"/>
            <w:tcBorders/>
            <w:tcMar>
              <w:top w:w="45" w:type="dxa"/>
              <w:left w:w="45" w:type="dxa"/>
              <w:bottom w:w="45" w:type="dxa"/>
              <w:right w:w="45" w:type="dxa"/>
            </w:tcMar>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w:t>
            </w:r>
          </w:p>
        </w:tc>
        <w:tc>
          <w:tcPr>
            <w:tcW w:w="734" w:type="dxa"/>
            <w:tcBorders/>
            <w:tcMar>
              <w:top w:w="45" w:type="dxa"/>
              <w:left w:w="45" w:type="dxa"/>
              <w:bottom w:w="45" w:type="dxa"/>
              <w:right w:w="45" w:type="dxa"/>
            </w:tcMar>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 </w:t>
            </w:r>
          </w:p>
        </w:tc>
        <w:tc>
          <w:tcPr>
            <w:tcW w:w="982" w:type="dxa"/>
            <w:tcBorders/>
            <w:tcMar>
              <w:top w:w="45" w:type="dxa"/>
              <w:left w:w="45" w:type="dxa"/>
              <w:bottom w:w="45" w:type="dxa"/>
              <w:right w:w="45" w:type="dxa"/>
            </w:tcMar>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Furnished</w:t>
              <w:br/>
              <w:t>or Filed</w:t>
              <w:br/>
              <w:t>Herewith </w:t>
            </w:r>
          </w:p>
        </w:tc>
      </w:tr>
      <w:tr>
        <w:trPr/>
        <w:tc>
          <w:tcPr>
            <w:tcW w:w="823" w:type="dxa"/>
            <w:tcBorders/>
            <w:vAlign w:val="center"/>
          </w:tcPr>
          <w:p>
            <w:pPr>
              <w:pStyle w:val="TableContents"/>
              <w:bidi w:val="0"/>
              <w:spacing w:before="0" w:after="283"/>
              <w:ind w:left="0" w:right="0" w:hanging="0"/>
              <w:jc w:val="right"/>
              <w:rPr>
                <w:sz w:val="20"/>
              </w:rPr>
            </w:pPr>
            <w:r>
              <w:rPr>
                <w:sz w:val="20"/>
              </w:rPr>
              <w:t>3.1</w:t>
            </w:r>
          </w:p>
        </w:tc>
        <w:tc>
          <w:tcPr>
            <w:tcW w:w="5327"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r:id="rId6">
              <w:r>
                <w:rPr>
                  <w:rStyle w:val="InternetLink"/>
                  <w:color w:val="0000FF"/>
                  <w:sz w:val="20"/>
                </w:rPr>
                <w:t>Amended and Restated Certificate of Incorporation of Registrant.</w:t>
              </w:r>
            </w:hyperlink>
          </w:p>
        </w:tc>
        <w:tc>
          <w:tcPr>
            <w:tcW w:w="63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8-K</w:t>
            </w:r>
          </w:p>
        </w:tc>
        <w:tc>
          <w:tcPr>
            <w:tcW w:w="919"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001-33301</w:t>
            </w:r>
          </w:p>
        </w:tc>
        <w:tc>
          <w:tcPr>
            <w:tcW w:w="78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3.1</w:t>
            </w:r>
          </w:p>
        </w:tc>
        <w:tc>
          <w:tcPr>
            <w:tcW w:w="734"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02/06/2013</w:t>
            </w:r>
          </w:p>
        </w:tc>
        <w:tc>
          <w:tcPr>
            <w:tcW w:w="982" w:type="dxa"/>
            <w:tcBorders/>
            <w:tcMar>
              <w:top w:w="45" w:type="dxa"/>
              <w:left w:w="45" w:type="dxa"/>
              <w:bottom w:w="45" w:type="dxa"/>
              <w:right w:w="45" w:type="dxa"/>
            </w:tcMar>
            <w:vAlign w:val="center"/>
          </w:tcPr>
          <w:p>
            <w:pPr>
              <w:pStyle w:val="TableContents"/>
              <w:bidi w:val="0"/>
              <w:spacing w:before="0" w:after="283"/>
              <w:ind w:left="0" w:right="0" w:hanging="0"/>
              <w:jc w:val="center"/>
              <w:rPr/>
            </w:pPr>
            <w:r>
              <w:rPr/>
              <w:t> </w:t>
            </w:r>
          </w:p>
        </w:tc>
      </w:tr>
      <w:tr>
        <w:trPr/>
        <w:tc>
          <w:tcPr>
            <w:tcW w:w="823" w:type="dxa"/>
            <w:tcBorders/>
            <w:vAlign w:val="center"/>
          </w:tcPr>
          <w:p>
            <w:pPr>
              <w:pStyle w:val="TableContents"/>
              <w:bidi w:val="0"/>
              <w:spacing w:before="0" w:after="283"/>
              <w:ind w:left="0" w:right="0" w:hanging="0"/>
              <w:jc w:val="right"/>
              <w:rPr>
                <w:sz w:val="20"/>
              </w:rPr>
            </w:pPr>
            <w:r>
              <w:rPr>
                <w:sz w:val="20"/>
              </w:rPr>
              <w:t>3.2</w:t>
            </w:r>
          </w:p>
        </w:tc>
        <w:tc>
          <w:tcPr>
            <w:tcW w:w="5327"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r:id="rId7">
              <w:r>
                <w:rPr>
                  <w:rStyle w:val="InternetLink"/>
                  <w:sz w:val="20"/>
                </w:rPr>
                <w:t>Amended and Restated Bylaws of Registrant.</w:t>
              </w:r>
            </w:hyperlink>
          </w:p>
        </w:tc>
        <w:tc>
          <w:tcPr>
            <w:tcW w:w="63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8-K</w:t>
            </w:r>
          </w:p>
        </w:tc>
        <w:tc>
          <w:tcPr>
            <w:tcW w:w="919"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001-33301</w:t>
            </w:r>
          </w:p>
        </w:tc>
        <w:tc>
          <w:tcPr>
            <w:tcW w:w="78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3.1</w:t>
            </w:r>
          </w:p>
        </w:tc>
        <w:tc>
          <w:tcPr>
            <w:tcW w:w="734"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09/20/2023</w:t>
            </w:r>
          </w:p>
        </w:tc>
        <w:tc>
          <w:tcPr>
            <w:tcW w:w="982" w:type="dxa"/>
            <w:tcBorders/>
            <w:tcMar>
              <w:top w:w="45" w:type="dxa"/>
              <w:left w:w="45" w:type="dxa"/>
              <w:bottom w:w="45" w:type="dxa"/>
              <w:right w:w="45" w:type="dxa"/>
            </w:tcMar>
            <w:vAlign w:val="center"/>
          </w:tcPr>
          <w:p>
            <w:pPr>
              <w:pStyle w:val="TableContents"/>
              <w:bidi w:val="0"/>
              <w:spacing w:before="0" w:after="283"/>
              <w:ind w:left="0" w:right="0" w:hanging="0"/>
              <w:jc w:val="center"/>
              <w:rPr/>
            </w:pPr>
            <w:r>
              <w:rPr/>
              <w:t> </w:t>
            </w:r>
          </w:p>
        </w:tc>
      </w:tr>
      <w:tr>
        <w:trPr/>
        <w:tc>
          <w:tcPr>
            <w:tcW w:w="823" w:type="dxa"/>
            <w:tcBorders/>
            <w:vAlign w:val="center"/>
          </w:tcPr>
          <w:p>
            <w:pPr>
              <w:pStyle w:val="TableContents"/>
              <w:bidi w:val="0"/>
              <w:spacing w:before="0" w:after="283"/>
              <w:ind w:left="0" w:right="0" w:hanging="0"/>
              <w:jc w:val="right"/>
              <w:rPr>
                <w:sz w:val="20"/>
              </w:rPr>
            </w:pPr>
            <w:r>
              <w:rPr>
                <w:sz w:val="20"/>
              </w:rPr>
              <w:t>4.1</w:t>
            </w:r>
          </w:p>
        </w:tc>
        <w:tc>
          <w:tcPr>
            <w:tcW w:w="5327"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r:id="rId8">
              <w:r>
                <w:rPr>
                  <w:rStyle w:val="InternetLink"/>
                  <w:color w:val="0000FF"/>
                  <w:sz w:val="20"/>
                </w:rPr>
                <w:t>Indenture between Registrant and The Bank of New York Mellon Trust Company, N.A., as trustee, dated as of August 7, 2017.</w:t>
              </w:r>
            </w:hyperlink>
          </w:p>
        </w:tc>
        <w:tc>
          <w:tcPr>
            <w:tcW w:w="63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8-K</w:t>
            </w:r>
          </w:p>
        </w:tc>
        <w:tc>
          <w:tcPr>
            <w:tcW w:w="919"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001-33301</w:t>
            </w:r>
          </w:p>
        </w:tc>
        <w:tc>
          <w:tcPr>
            <w:tcW w:w="78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4.1</w:t>
            </w:r>
          </w:p>
        </w:tc>
        <w:tc>
          <w:tcPr>
            <w:tcW w:w="734"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08/08/2017</w:t>
            </w:r>
          </w:p>
        </w:tc>
        <w:tc>
          <w:tcPr>
            <w:tcW w:w="982" w:type="dxa"/>
            <w:tcBorders/>
            <w:tcMar>
              <w:top w:w="45" w:type="dxa"/>
              <w:left w:w="45" w:type="dxa"/>
              <w:bottom w:w="45" w:type="dxa"/>
              <w:right w:w="45" w:type="dxa"/>
            </w:tcMar>
            <w:vAlign w:val="center"/>
          </w:tcPr>
          <w:p>
            <w:pPr>
              <w:pStyle w:val="TableContents"/>
              <w:bidi w:val="0"/>
              <w:spacing w:before="0" w:after="283"/>
              <w:ind w:left="0" w:right="0" w:hanging="0"/>
              <w:jc w:val="center"/>
              <w:rPr/>
            </w:pPr>
            <w:r>
              <w:rPr/>
              <w:t> </w:t>
            </w:r>
          </w:p>
        </w:tc>
      </w:tr>
      <w:tr>
        <w:trPr/>
        <w:tc>
          <w:tcPr>
            <w:tcW w:w="823" w:type="dxa"/>
            <w:tcBorders/>
            <w:vAlign w:val="center"/>
          </w:tcPr>
          <w:p>
            <w:pPr>
              <w:pStyle w:val="TableContents"/>
              <w:bidi w:val="0"/>
              <w:spacing w:before="0" w:after="283"/>
              <w:ind w:left="0" w:right="0" w:hanging="0"/>
              <w:jc w:val="right"/>
              <w:rPr>
                <w:sz w:val="20"/>
              </w:rPr>
            </w:pPr>
            <w:r>
              <w:rPr>
                <w:sz w:val="20"/>
              </w:rPr>
              <w:t>4.2</w:t>
            </w:r>
          </w:p>
        </w:tc>
        <w:tc>
          <w:tcPr>
            <w:tcW w:w="5327"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r:id="rId9">
              <w:r>
                <w:rPr>
                  <w:rStyle w:val="InternetLink"/>
                  <w:color w:val="0000FF"/>
                  <w:sz w:val="20"/>
                </w:rPr>
                <w:t>Form of Common Stock Certificate.</w:t>
              </w:r>
            </w:hyperlink>
          </w:p>
        </w:tc>
        <w:tc>
          <w:tcPr>
            <w:tcW w:w="63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S-1/A</w:t>
            </w:r>
          </w:p>
        </w:tc>
        <w:tc>
          <w:tcPr>
            <w:tcW w:w="919"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333-138622</w:t>
            </w:r>
          </w:p>
        </w:tc>
        <w:tc>
          <w:tcPr>
            <w:tcW w:w="78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4.3</w:t>
            </w:r>
          </w:p>
        </w:tc>
        <w:tc>
          <w:tcPr>
            <w:tcW w:w="734"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02/05/2007</w:t>
            </w:r>
          </w:p>
        </w:tc>
        <w:tc>
          <w:tcPr>
            <w:tcW w:w="982" w:type="dxa"/>
            <w:tcBorders/>
            <w:tcMar>
              <w:top w:w="45" w:type="dxa"/>
              <w:left w:w="45" w:type="dxa"/>
              <w:bottom w:w="45" w:type="dxa"/>
              <w:right w:w="45" w:type="dxa"/>
            </w:tcMar>
            <w:vAlign w:val="center"/>
          </w:tcPr>
          <w:p>
            <w:pPr>
              <w:pStyle w:val="TableContents"/>
              <w:bidi w:val="0"/>
              <w:spacing w:before="0" w:after="283"/>
              <w:ind w:left="0" w:right="0" w:hanging="0"/>
              <w:jc w:val="center"/>
              <w:rPr/>
            </w:pPr>
            <w:r>
              <w:rPr/>
              <w:t> </w:t>
            </w:r>
          </w:p>
        </w:tc>
      </w:tr>
      <w:tr>
        <w:trPr/>
        <w:tc>
          <w:tcPr>
            <w:tcW w:w="823" w:type="dxa"/>
            <w:tcBorders/>
            <w:vAlign w:val="center"/>
          </w:tcPr>
          <w:p>
            <w:pPr>
              <w:pStyle w:val="TableContents"/>
              <w:bidi w:val="0"/>
              <w:spacing w:before="0" w:after="283"/>
              <w:ind w:left="0" w:right="0" w:hanging="0"/>
              <w:jc w:val="right"/>
              <w:rPr>
                <w:sz w:val="20"/>
              </w:rPr>
            </w:pPr>
            <w:r>
              <w:rPr>
                <w:sz w:val="20"/>
              </w:rPr>
              <w:t>4.3</w:t>
            </w:r>
          </w:p>
        </w:tc>
        <w:tc>
          <w:tcPr>
            <w:tcW w:w="5327"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r:id="rId10">
              <w:r>
                <w:rPr>
                  <w:rStyle w:val="InternetLink"/>
                  <w:color w:val="0000FF"/>
                  <w:sz w:val="20"/>
                </w:rPr>
                <w:t>First Supplemental Indenture, dated as of December 4, 2017, between the Registrant and The Bank of New York Mellon Trust Company, N.A., as trustee</w:t>
              </w:r>
            </w:hyperlink>
            <w:r>
              <w:rPr>
                <w:sz w:val="20"/>
              </w:rPr>
              <w:t>.</w:t>
            </w:r>
          </w:p>
        </w:tc>
        <w:tc>
          <w:tcPr>
            <w:tcW w:w="63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8-K</w:t>
            </w:r>
          </w:p>
        </w:tc>
        <w:tc>
          <w:tcPr>
            <w:tcW w:w="919"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001-33301</w:t>
            </w:r>
          </w:p>
        </w:tc>
        <w:tc>
          <w:tcPr>
            <w:tcW w:w="78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4.1</w:t>
            </w:r>
          </w:p>
        </w:tc>
        <w:tc>
          <w:tcPr>
            <w:tcW w:w="734"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12/04/2017</w:t>
            </w:r>
          </w:p>
        </w:tc>
        <w:tc>
          <w:tcPr>
            <w:tcW w:w="982" w:type="dxa"/>
            <w:tcBorders/>
            <w:tcMar>
              <w:top w:w="45" w:type="dxa"/>
              <w:left w:w="45" w:type="dxa"/>
              <w:bottom w:w="45" w:type="dxa"/>
              <w:right w:w="45" w:type="dxa"/>
            </w:tcMar>
            <w:vAlign w:val="center"/>
          </w:tcPr>
          <w:p>
            <w:pPr>
              <w:pStyle w:val="TableContents"/>
              <w:bidi w:val="0"/>
              <w:spacing w:before="0" w:after="283"/>
              <w:ind w:left="0" w:right="0" w:hanging="0"/>
              <w:jc w:val="center"/>
              <w:rPr/>
            </w:pPr>
            <w:r>
              <w:rPr/>
              <w:t> </w:t>
            </w:r>
          </w:p>
        </w:tc>
      </w:tr>
      <w:tr>
        <w:trPr/>
        <w:tc>
          <w:tcPr>
            <w:tcW w:w="823" w:type="dxa"/>
            <w:tcBorders/>
            <w:vAlign w:val="center"/>
          </w:tcPr>
          <w:p>
            <w:pPr>
              <w:pStyle w:val="TableContents"/>
              <w:bidi w:val="0"/>
              <w:spacing w:before="0" w:after="283"/>
              <w:ind w:left="0" w:right="0" w:hanging="0"/>
              <w:jc w:val="right"/>
              <w:rPr>
                <w:sz w:val="20"/>
              </w:rPr>
            </w:pPr>
            <w:r>
              <w:rPr>
                <w:sz w:val="20"/>
              </w:rPr>
              <w:t>4.4</w:t>
            </w:r>
          </w:p>
        </w:tc>
        <w:tc>
          <w:tcPr>
            <w:tcW w:w="5327"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r:id="rId11">
              <w:r>
                <w:rPr>
                  <w:rStyle w:val="InternetLink"/>
                  <w:color w:val="0000FF"/>
                  <w:sz w:val="20"/>
                </w:rPr>
                <w:t>Indenture, dated as of May 13, 2021, between the Registrant and The Bank of New York Mellon Trust Company, N.A., as trustee</w:t>
              </w:r>
            </w:hyperlink>
            <w:r>
              <w:rPr>
                <w:sz w:val="20"/>
              </w:rPr>
              <w:t>.</w:t>
            </w:r>
          </w:p>
        </w:tc>
        <w:tc>
          <w:tcPr>
            <w:tcW w:w="63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8-K</w:t>
            </w:r>
          </w:p>
        </w:tc>
        <w:tc>
          <w:tcPr>
            <w:tcW w:w="919"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001-33301</w:t>
            </w:r>
          </w:p>
        </w:tc>
        <w:tc>
          <w:tcPr>
            <w:tcW w:w="78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4.1</w:t>
            </w:r>
          </w:p>
        </w:tc>
        <w:tc>
          <w:tcPr>
            <w:tcW w:w="734"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05/18/2021</w:t>
            </w:r>
          </w:p>
        </w:tc>
        <w:tc>
          <w:tcPr>
            <w:tcW w:w="982" w:type="dxa"/>
            <w:tcBorders/>
            <w:tcMar>
              <w:top w:w="45" w:type="dxa"/>
              <w:left w:w="45" w:type="dxa"/>
              <w:bottom w:w="45" w:type="dxa"/>
              <w:right w:w="45" w:type="dxa"/>
            </w:tcMar>
            <w:vAlign w:val="center"/>
          </w:tcPr>
          <w:p>
            <w:pPr>
              <w:pStyle w:val="TableContents"/>
              <w:bidi w:val="0"/>
              <w:spacing w:before="0" w:after="283"/>
              <w:ind w:left="0" w:right="0" w:hanging="0"/>
              <w:jc w:val="center"/>
              <w:rPr/>
            </w:pPr>
            <w:r>
              <w:rPr/>
              <w:t> </w:t>
            </w:r>
          </w:p>
        </w:tc>
      </w:tr>
      <w:tr>
        <w:trPr/>
        <w:tc>
          <w:tcPr>
            <w:tcW w:w="823" w:type="dxa"/>
            <w:tcBorders/>
            <w:vAlign w:val="center"/>
          </w:tcPr>
          <w:p>
            <w:pPr>
              <w:pStyle w:val="TableContents"/>
              <w:bidi w:val="0"/>
              <w:spacing w:before="0" w:after="283"/>
              <w:ind w:left="0" w:right="0" w:hanging="0"/>
              <w:jc w:val="right"/>
              <w:rPr>
                <w:sz w:val="20"/>
              </w:rPr>
            </w:pPr>
            <w:r>
              <w:rPr>
                <w:sz w:val="20"/>
              </w:rPr>
              <w:t>4.5</w:t>
            </w:r>
          </w:p>
        </w:tc>
        <w:tc>
          <w:tcPr>
            <w:tcW w:w="5327"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r:id="rId12">
              <w:r>
                <w:rPr>
                  <w:rStyle w:val="InternetLink"/>
                  <w:color w:val="0000FF"/>
                  <w:sz w:val="20"/>
                </w:rPr>
                <w:t>Form of 3.75% Convertible Senior Note due 2026 (included in Exhibit 4.4)</w:t>
              </w:r>
            </w:hyperlink>
          </w:p>
        </w:tc>
        <w:tc>
          <w:tcPr>
            <w:tcW w:w="63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8-K</w:t>
            </w:r>
          </w:p>
        </w:tc>
        <w:tc>
          <w:tcPr>
            <w:tcW w:w="919"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001-33301</w:t>
            </w:r>
          </w:p>
        </w:tc>
        <w:tc>
          <w:tcPr>
            <w:tcW w:w="78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4.1</w:t>
            </w:r>
          </w:p>
        </w:tc>
        <w:tc>
          <w:tcPr>
            <w:tcW w:w="734"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05/18/2021</w:t>
            </w:r>
          </w:p>
        </w:tc>
        <w:tc>
          <w:tcPr>
            <w:tcW w:w="982" w:type="dxa"/>
            <w:tcBorders/>
            <w:tcMar>
              <w:top w:w="45" w:type="dxa"/>
              <w:left w:w="45" w:type="dxa"/>
              <w:bottom w:w="45" w:type="dxa"/>
              <w:right w:w="45" w:type="dxa"/>
            </w:tcMar>
            <w:vAlign w:val="center"/>
          </w:tcPr>
          <w:p>
            <w:pPr>
              <w:pStyle w:val="TableContents"/>
              <w:bidi w:val="0"/>
              <w:spacing w:before="0" w:after="283"/>
              <w:ind w:left="0" w:right="0" w:hanging="0"/>
              <w:jc w:val="center"/>
              <w:rPr/>
            </w:pPr>
            <w:r>
              <w:rPr/>
              <w:t> </w:t>
            </w:r>
          </w:p>
        </w:tc>
      </w:tr>
      <w:tr>
        <w:trPr/>
        <w:tc>
          <w:tcPr>
            <w:tcW w:w="823" w:type="dxa"/>
            <w:tcBorders/>
            <w:vAlign w:val="center"/>
          </w:tcPr>
          <w:p>
            <w:pPr>
              <w:pStyle w:val="TableContents"/>
              <w:bidi w:val="0"/>
              <w:spacing w:before="0" w:after="283"/>
              <w:ind w:left="0" w:right="0" w:hanging="0"/>
              <w:jc w:val="right"/>
              <w:rPr>
                <w:sz w:val="20"/>
              </w:rPr>
            </w:pPr>
            <w:r>
              <w:rPr>
                <w:sz w:val="20"/>
              </w:rPr>
              <w:t>4.6</w:t>
            </w:r>
          </w:p>
        </w:tc>
        <w:tc>
          <w:tcPr>
            <w:tcW w:w="5327"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r:id="rId13">
              <w:r>
                <w:rPr>
                  <w:rStyle w:val="InternetLink"/>
                  <w:sz w:val="20"/>
                </w:rPr>
                <w:t>Description of the Registrant’s Securities</w:t>
              </w:r>
            </w:hyperlink>
          </w:p>
        </w:tc>
        <w:tc>
          <w:tcPr>
            <w:tcW w:w="63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10-K</w:t>
            </w:r>
          </w:p>
        </w:tc>
        <w:tc>
          <w:tcPr>
            <w:tcW w:w="919"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001-33301</w:t>
            </w:r>
          </w:p>
        </w:tc>
        <w:tc>
          <w:tcPr>
            <w:tcW w:w="78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4.7</w:t>
            </w:r>
          </w:p>
        </w:tc>
        <w:tc>
          <w:tcPr>
            <w:tcW w:w="734"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09/07/2023</w:t>
            </w:r>
          </w:p>
        </w:tc>
        <w:tc>
          <w:tcPr>
            <w:tcW w:w="982" w:type="dxa"/>
            <w:tcBorders/>
            <w:tcMar>
              <w:top w:w="45" w:type="dxa"/>
              <w:left w:w="45" w:type="dxa"/>
              <w:bottom w:w="45" w:type="dxa"/>
              <w:right w:w="45" w:type="dxa"/>
            </w:tcMar>
            <w:vAlign w:val="center"/>
          </w:tcPr>
          <w:p>
            <w:pPr>
              <w:pStyle w:val="TableContents"/>
              <w:bidi w:val="0"/>
              <w:spacing w:before="0" w:after="283"/>
              <w:ind w:left="0" w:right="0" w:hanging="0"/>
              <w:jc w:val="center"/>
              <w:rPr/>
            </w:pPr>
            <w:r>
              <w:rPr/>
              <w:t> </w:t>
            </w:r>
          </w:p>
        </w:tc>
      </w:tr>
      <w:tr>
        <w:trPr/>
        <w:tc>
          <w:tcPr>
            <w:tcW w:w="823" w:type="dxa"/>
            <w:tcBorders/>
            <w:vAlign w:val="center"/>
          </w:tcPr>
          <w:p>
            <w:pPr>
              <w:pStyle w:val="TableContents"/>
              <w:bidi w:val="0"/>
              <w:spacing w:before="0" w:after="283"/>
              <w:ind w:left="0" w:right="0" w:hanging="0"/>
              <w:jc w:val="right"/>
              <w:rPr>
                <w:sz w:val="20"/>
              </w:rPr>
            </w:pPr>
            <w:r>
              <w:rPr>
                <w:sz w:val="20"/>
              </w:rPr>
              <w:t>4.7</w:t>
            </w:r>
          </w:p>
        </w:tc>
        <w:tc>
          <w:tcPr>
            <w:tcW w:w="5327"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r:id="rId14">
              <w:r>
                <w:rPr>
                  <w:rStyle w:val="InternetLink"/>
                  <w:sz w:val="20"/>
                </w:rPr>
                <w:t>Form of June 2025 Premium Warrant</w:t>
              </w:r>
            </w:hyperlink>
          </w:p>
        </w:tc>
        <w:tc>
          <w:tcPr>
            <w:tcW w:w="63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8-K</w:t>
            </w:r>
          </w:p>
        </w:tc>
        <w:tc>
          <w:tcPr>
            <w:tcW w:w="919"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001-33301</w:t>
            </w:r>
          </w:p>
        </w:tc>
        <w:tc>
          <w:tcPr>
            <w:tcW w:w="78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4.1</w:t>
            </w:r>
          </w:p>
        </w:tc>
        <w:tc>
          <w:tcPr>
            <w:tcW w:w="734"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06/06/2025</w:t>
            </w:r>
          </w:p>
        </w:tc>
        <w:tc>
          <w:tcPr>
            <w:tcW w:w="982" w:type="dxa"/>
            <w:tcBorders/>
            <w:tcMar>
              <w:top w:w="45" w:type="dxa"/>
              <w:left w:w="45" w:type="dxa"/>
              <w:bottom w:w="45" w:type="dxa"/>
              <w:right w:w="45" w:type="dxa"/>
            </w:tcMar>
            <w:vAlign w:val="center"/>
          </w:tcPr>
          <w:p>
            <w:pPr>
              <w:pStyle w:val="TableContents"/>
              <w:bidi w:val="0"/>
              <w:spacing w:before="0" w:after="283"/>
              <w:ind w:left="0" w:right="0" w:hanging="0"/>
              <w:jc w:val="center"/>
              <w:rPr/>
            </w:pPr>
            <w:r>
              <w:rPr/>
              <w:t> </w:t>
            </w:r>
          </w:p>
        </w:tc>
      </w:tr>
      <w:tr>
        <w:trPr/>
        <w:tc>
          <w:tcPr>
            <w:tcW w:w="823" w:type="dxa"/>
            <w:tcBorders/>
            <w:vAlign w:val="center"/>
          </w:tcPr>
          <w:p>
            <w:pPr>
              <w:pStyle w:val="TableContents"/>
              <w:bidi w:val="0"/>
              <w:spacing w:before="0" w:after="283"/>
              <w:ind w:left="0" w:right="0" w:hanging="0"/>
              <w:jc w:val="right"/>
              <w:rPr>
                <w:sz w:val="20"/>
              </w:rPr>
            </w:pPr>
            <w:r>
              <w:rPr>
                <w:sz w:val="20"/>
              </w:rPr>
              <w:t>4.8</w:t>
            </w:r>
          </w:p>
        </w:tc>
        <w:tc>
          <w:tcPr>
            <w:tcW w:w="5327"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r:id="rId15">
              <w:r>
                <w:rPr>
                  <w:rStyle w:val="InternetLink"/>
                  <w:sz w:val="20"/>
                </w:rPr>
                <w:t>Form of June 2025 Penny Warrant</w:t>
              </w:r>
            </w:hyperlink>
            <w:r>
              <w:rPr/>
              <w:t xml:space="preserve">  </w:t>
            </w:r>
          </w:p>
        </w:tc>
        <w:tc>
          <w:tcPr>
            <w:tcW w:w="63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8-K</w:t>
            </w:r>
          </w:p>
        </w:tc>
        <w:tc>
          <w:tcPr>
            <w:tcW w:w="919"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001-33301</w:t>
            </w:r>
          </w:p>
        </w:tc>
        <w:tc>
          <w:tcPr>
            <w:tcW w:w="78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4.2</w:t>
            </w:r>
          </w:p>
        </w:tc>
        <w:tc>
          <w:tcPr>
            <w:tcW w:w="734"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06/06/2025</w:t>
            </w:r>
          </w:p>
        </w:tc>
        <w:tc>
          <w:tcPr>
            <w:tcW w:w="982" w:type="dxa"/>
            <w:tcBorders/>
            <w:tcMar>
              <w:top w:w="45" w:type="dxa"/>
              <w:left w:w="45" w:type="dxa"/>
              <w:bottom w:w="45" w:type="dxa"/>
              <w:right w:w="45" w:type="dxa"/>
            </w:tcMar>
            <w:vAlign w:val="center"/>
          </w:tcPr>
          <w:p>
            <w:pPr>
              <w:pStyle w:val="TableContents"/>
              <w:bidi w:val="0"/>
              <w:spacing w:before="0" w:after="283"/>
              <w:ind w:left="0" w:right="0" w:hanging="0"/>
              <w:jc w:val="center"/>
              <w:rPr/>
            </w:pPr>
            <w:r>
              <w:rPr/>
              <w:t> </w:t>
            </w:r>
          </w:p>
        </w:tc>
      </w:tr>
      <w:tr>
        <w:trPr/>
        <w:tc>
          <w:tcPr>
            <w:tcW w:w="823" w:type="dxa"/>
            <w:tcBorders/>
            <w:vAlign w:val="center"/>
          </w:tcPr>
          <w:p>
            <w:pPr>
              <w:pStyle w:val="TableContents"/>
              <w:bidi w:val="0"/>
              <w:spacing w:before="0" w:after="283"/>
              <w:ind w:left="0" w:right="0" w:hanging="0"/>
              <w:jc w:val="right"/>
              <w:rPr>
                <w:sz w:val="20"/>
              </w:rPr>
            </w:pPr>
            <w:r>
              <w:rPr>
                <w:sz w:val="20"/>
              </w:rPr>
              <w:t>4.9</w:t>
            </w:r>
          </w:p>
        </w:tc>
        <w:tc>
          <w:tcPr>
            <w:tcW w:w="5327"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r:id="rId16">
              <w:r>
                <w:rPr>
                  <w:rStyle w:val="InternetLink"/>
                  <w:sz w:val="20"/>
                </w:rPr>
                <w:t>Form of Super Premium Warrant</w:t>
              </w:r>
            </w:hyperlink>
          </w:p>
        </w:tc>
        <w:tc>
          <w:tcPr>
            <w:tcW w:w="63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10-Q</w:t>
            </w:r>
          </w:p>
        </w:tc>
        <w:tc>
          <w:tcPr>
            <w:tcW w:w="919"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001-33301</w:t>
            </w:r>
          </w:p>
        </w:tc>
        <w:tc>
          <w:tcPr>
            <w:tcW w:w="78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4.1</w:t>
            </w:r>
          </w:p>
        </w:tc>
        <w:tc>
          <w:tcPr>
            <w:tcW w:w="734"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02/17/2026</w:t>
            </w:r>
          </w:p>
        </w:tc>
        <w:tc>
          <w:tcPr>
            <w:tcW w:w="982" w:type="dxa"/>
            <w:tcBorders/>
            <w:tcMar>
              <w:top w:w="45" w:type="dxa"/>
              <w:left w:w="45" w:type="dxa"/>
              <w:bottom w:w="45" w:type="dxa"/>
              <w:right w:w="45" w:type="dxa"/>
            </w:tcMar>
            <w:vAlign w:val="center"/>
          </w:tcPr>
          <w:p>
            <w:pPr>
              <w:pStyle w:val="TableContents"/>
              <w:bidi w:val="0"/>
              <w:spacing w:before="0" w:after="283"/>
              <w:ind w:left="0" w:right="0" w:hanging="0"/>
              <w:jc w:val="center"/>
              <w:rPr/>
            </w:pPr>
            <w:r>
              <w:rPr/>
              <w:t> </w:t>
            </w:r>
          </w:p>
        </w:tc>
      </w:tr>
      <w:tr>
        <w:trPr/>
        <w:tc>
          <w:tcPr>
            <w:tcW w:w="823" w:type="dxa"/>
            <w:tcBorders/>
            <w:vAlign w:val="center"/>
          </w:tcPr>
          <w:p>
            <w:pPr>
              <w:pStyle w:val="TableContents"/>
              <w:bidi w:val="0"/>
              <w:spacing w:before="0" w:after="283"/>
              <w:ind w:left="0" w:right="0" w:hanging="0"/>
              <w:jc w:val="right"/>
              <w:rPr>
                <w:sz w:val="20"/>
              </w:rPr>
            </w:pPr>
            <w:r>
              <w:rPr>
                <w:sz w:val="20"/>
              </w:rPr>
              <w:t>4.10</w:t>
            </w:r>
          </w:p>
        </w:tc>
        <w:tc>
          <w:tcPr>
            <w:tcW w:w="5327"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r:id="rId17">
              <w:r>
                <w:rPr>
                  <w:rStyle w:val="InternetLink"/>
                  <w:sz w:val="20"/>
                </w:rPr>
                <w:t>Form of Premium Warrant</w:t>
              </w:r>
            </w:hyperlink>
            <w:r>
              <w:rPr/>
              <w:t xml:space="preserve">  </w:t>
            </w:r>
          </w:p>
        </w:tc>
        <w:tc>
          <w:tcPr>
            <w:tcW w:w="63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10-Q</w:t>
            </w:r>
          </w:p>
        </w:tc>
        <w:tc>
          <w:tcPr>
            <w:tcW w:w="919"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001-33301</w:t>
            </w:r>
          </w:p>
        </w:tc>
        <w:tc>
          <w:tcPr>
            <w:tcW w:w="78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4.2</w:t>
            </w:r>
          </w:p>
        </w:tc>
        <w:tc>
          <w:tcPr>
            <w:tcW w:w="734"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02/17/2026</w:t>
            </w:r>
          </w:p>
        </w:tc>
        <w:tc>
          <w:tcPr>
            <w:tcW w:w="982" w:type="dxa"/>
            <w:tcBorders/>
            <w:tcMar>
              <w:top w:w="45" w:type="dxa"/>
              <w:left w:w="45" w:type="dxa"/>
              <w:bottom w:w="45" w:type="dxa"/>
              <w:right w:w="45" w:type="dxa"/>
            </w:tcMar>
            <w:vAlign w:val="center"/>
          </w:tcPr>
          <w:p>
            <w:pPr>
              <w:pStyle w:val="TableContents"/>
              <w:bidi w:val="0"/>
              <w:spacing w:before="0" w:after="283"/>
              <w:ind w:left="0" w:right="0" w:hanging="0"/>
              <w:jc w:val="center"/>
              <w:rPr/>
            </w:pPr>
            <w:r>
              <w:rPr/>
              <w:t> </w:t>
            </w:r>
          </w:p>
        </w:tc>
      </w:tr>
      <w:tr>
        <w:trPr/>
        <w:tc>
          <w:tcPr>
            <w:tcW w:w="823" w:type="dxa"/>
            <w:tcBorders/>
            <w:vAlign w:val="center"/>
          </w:tcPr>
          <w:p>
            <w:pPr>
              <w:pStyle w:val="TableContents"/>
              <w:bidi w:val="0"/>
              <w:spacing w:before="0" w:after="283"/>
              <w:ind w:left="0" w:right="0" w:hanging="0"/>
              <w:jc w:val="right"/>
              <w:rPr>
                <w:sz w:val="20"/>
              </w:rPr>
            </w:pPr>
            <w:r>
              <w:rPr>
                <w:sz w:val="20"/>
              </w:rPr>
              <w:t>4.11</w:t>
            </w:r>
          </w:p>
        </w:tc>
        <w:tc>
          <w:tcPr>
            <w:tcW w:w="5327"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r:id="rId18">
              <w:r>
                <w:rPr>
                  <w:rStyle w:val="InternetLink"/>
                  <w:sz w:val="20"/>
                </w:rPr>
                <w:t>Form of Penny Warrant</w:t>
              </w:r>
            </w:hyperlink>
            <w:r>
              <w:rPr/>
              <w:t xml:space="preserve">  </w:t>
            </w:r>
          </w:p>
        </w:tc>
        <w:tc>
          <w:tcPr>
            <w:tcW w:w="63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10-Q</w:t>
            </w:r>
          </w:p>
        </w:tc>
        <w:tc>
          <w:tcPr>
            <w:tcW w:w="919"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001-33301</w:t>
            </w:r>
          </w:p>
        </w:tc>
        <w:tc>
          <w:tcPr>
            <w:tcW w:w="78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4.3</w:t>
            </w:r>
          </w:p>
        </w:tc>
        <w:tc>
          <w:tcPr>
            <w:tcW w:w="734"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02/17/2026</w:t>
            </w:r>
          </w:p>
        </w:tc>
        <w:tc>
          <w:tcPr>
            <w:tcW w:w="982" w:type="dxa"/>
            <w:tcBorders/>
            <w:tcMar>
              <w:top w:w="45" w:type="dxa"/>
              <w:left w:w="45" w:type="dxa"/>
              <w:bottom w:w="45" w:type="dxa"/>
              <w:right w:w="45" w:type="dxa"/>
            </w:tcMar>
            <w:vAlign w:val="center"/>
          </w:tcPr>
          <w:p>
            <w:pPr>
              <w:pStyle w:val="TableContents"/>
              <w:bidi w:val="0"/>
              <w:spacing w:before="0" w:after="283"/>
              <w:ind w:left="0" w:right="0" w:hanging="0"/>
              <w:jc w:val="center"/>
              <w:rPr/>
            </w:pPr>
            <w:r>
              <w:rPr/>
              <w:t> </w:t>
            </w:r>
          </w:p>
        </w:tc>
      </w:tr>
      <w:tr>
        <w:trPr/>
        <w:tc>
          <w:tcPr>
            <w:tcW w:w="823" w:type="dxa"/>
            <w:tcBorders/>
            <w:vAlign w:val="center"/>
          </w:tcPr>
          <w:p>
            <w:pPr>
              <w:pStyle w:val="TableContents"/>
              <w:bidi w:val="0"/>
              <w:spacing w:before="0" w:after="283"/>
              <w:ind w:left="0" w:right="0" w:hanging="0"/>
              <w:jc w:val="right"/>
              <w:rPr/>
            </w:pPr>
            <w:r>
              <w:rPr/>
              <w:t xml:space="preserve">4.12 </w:t>
            </w:r>
          </w:p>
        </w:tc>
        <w:tc>
          <w:tcPr>
            <w:tcW w:w="5327"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r:id="rId19">
              <w:r>
                <w:rPr>
                  <w:rStyle w:val="InternetLink"/>
                </w:rPr>
                <w:t>Form of July 2026 Penny Warrant</w:t>
              </w:r>
            </w:hyperlink>
            <w:r>
              <w:rPr/>
              <w:t xml:space="preserve"> </w:t>
            </w:r>
          </w:p>
        </w:tc>
        <w:tc>
          <w:tcPr>
            <w:tcW w:w="635" w:type="dxa"/>
            <w:tcBorders/>
            <w:tcMar>
              <w:top w:w="45" w:type="dxa"/>
              <w:left w:w="45" w:type="dxa"/>
              <w:bottom w:w="45" w:type="dxa"/>
              <w:right w:w="45" w:type="dxa"/>
            </w:tcMar>
            <w:vAlign w:val="center"/>
          </w:tcPr>
          <w:p>
            <w:pPr>
              <w:pStyle w:val="TableContents"/>
              <w:bidi w:val="0"/>
              <w:spacing w:before="0" w:after="283"/>
              <w:ind w:left="0" w:right="0" w:hanging="0"/>
              <w:jc w:val="left"/>
              <w:rPr/>
            </w:pPr>
            <w:r>
              <w:rPr/>
              <w:t xml:space="preserve">8-K </w:t>
            </w:r>
          </w:p>
        </w:tc>
        <w:tc>
          <w:tcPr>
            <w:tcW w:w="919" w:type="dxa"/>
            <w:tcBorders/>
            <w:tcMar>
              <w:top w:w="45" w:type="dxa"/>
              <w:left w:w="45" w:type="dxa"/>
              <w:bottom w:w="45" w:type="dxa"/>
              <w:right w:w="45" w:type="dxa"/>
            </w:tcMar>
            <w:vAlign w:val="center"/>
          </w:tcPr>
          <w:p>
            <w:pPr>
              <w:pStyle w:val="TableContents"/>
              <w:bidi w:val="0"/>
              <w:spacing w:before="0" w:after="283"/>
              <w:ind w:left="0" w:right="0" w:hanging="0"/>
              <w:jc w:val="left"/>
              <w:rPr/>
            </w:pPr>
            <w:r>
              <w:rPr/>
              <w:t xml:space="preserve">001-33301 </w:t>
            </w:r>
          </w:p>
        </w:tc>
        <w:tc>
          <w:tcPr>
            <w:tcW w:w="785" w:type="dxa"/>
            <w:tcBorders/>
            <w:tcMar>
              <w:top w:w="45" w:type="dxa"/>
              <w:left w:w="45" w:type="dxa"/>
              <w:bottom w:w="45" w:type="dxa"/>
              <w:right w:w="45" w:type="dxa"/>
            </w:tcMar>
            <w:vAlign w:val="center"/>
          </w:tcPr>
          <w:p>
            <w:pPr>
              <w:pStyle w:val="TableContents"/>
              <w:bidi w:val="0"/>
              <w:spacing w:before="0" w:after="283"/>
              <w:ind w:left="0" w:right="0" w:hanging="0"/>
              <w:jc w:val="left"/>
              <w:rPr/>
            </w:pPr>
            <w:r>
              <w:rPr/>
              <w:t xml:space="preserve">4.1 </w:t>
            </w:r>
          </w:p>
        </w:tc>
        <w:tc>
          <w:tcPr>
            <w:tcW w:w="734" w:type="dxa"/>
            <w:tcBorders/>
            <w:tcMar>
              <w:top w:w="45" w:type="dxa"/>
              <w:left w:w="45" w:type="dxa"/>
              <w:bottom w:w="45" w:type="dxa"/>
              <w:right w:w="45" w:type="dxa"/>
            </w:tcMar>
            <w:vAlign w:val="center"/>
          </w:tcPr>
          <w:p>
            <w:pPr>
              <w:pStyle w:val="TableContents"/>
              <w:bidi w:val="0"/>
              <w:spacing w:before="0" w:after="283"/>
              <w:ind w:left="0" w:right="0" w:hanging="0"/>
              <w:jc w:val="left"/>
              <w:rPr/>
            </w:pPr>
            <w:r>
              <w:rPr/>
              <w:t xml:space="preserve">07/29/2026 </w:t>
            </w:r>
          </w:p>
        </w:tc>
        <w:tc>
          <w:tcPr>
            <w:tcW w:w="982" w:type="dxa"/>
            <w:tcBorders/>
            <w:tcMar>
              <w:top w:w="45" w:type="dxa"/>
              <w:left w:w="45" w:type="dxa"/>
              <w:bottom w:w="45" w:type="dxa"/>
              <w:right w:w="45" w:type="dxa"/>
            </w:tcMar>
            <w:vAlign w:val="center"/>
          </w:tcPr>
          <w:p>
            <w:pPr>
              <w:pStyle w:val="TableContents"/>
              <w:bidi w:val="0"/>
              <w:spacing w:before="0" w:after="283"/>
              <w:ind w:left="0" w:right="0" w:hanging="0"/>
              <w:jc w:val="center"/>
              <w:rPr/>
            </w:pPr>
            <w:r>
              <w:rPr/>
              <w:t xml:space="preserve">  </w:t>
            </w:r>
          </w:p>
        </w:tc>
      </w:tr>
      <w:tr>
        <w:trPr/>
        <w:tc>
          <w:tcPr>
            <w:tcW w:w="823" w:type="dxa"/>
            <w:tcBorders/>
            <w:vAlign w:val="center"/>
          </w:tcPr>
          <w:p>
            <w:pPr>
              <w:pStyle w:val="TableContents"/>
              <w:bidi w:val="0"/>
              <w:spacing w:before="0" w:after="283"/>
              <w:ind w:left="0" w:right="0" w:hanging="0"/>
              <w:jc w:val="right"/>
              <w:rPr/>
            </w:pPr>
            <w:r>
              <w:rPr>
                <w:sz w:val="20"/>
              </w:rPr>
              <w:t>5.1</w:t>
            </w:r>
            <w:r>
              <w:rPr/>
              <w:t xml:space="preserve"> </w:t>
            </w:r>
          </w:p>
        </w:tc>
        <w:tc>
          <w:tcPr>
            <w:tcW w:w="5327"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r:id="rId20">
              <w:r>
                <w:rPr>
                  <w:rStyle w:val="InternetLink"/>
                  <w:sz w:val="20"/>
                </w:rPr>
                <w:t>Opinion of Davis Polk &amp; Wardwell LLP</w:t>
              </w:r>
            </w:hyperlink>
            <w:r>
              <w:rPr/>
              <w:t xml:space="preserve"> </w:t>
            </w:r>
          </w:p>
        </w:tc>
        <w:tc>
          <w:tcPr>
            <w:tcW w:w="635" w:type="dxa"/>
            <w:tcBorders/>
            <w:tcMar>
              <w:top w:w="45" w:type="dxa"/>
              <w:left w:w="45" w:type="dxa"/>
              <w:bottom w:w="45" w:type="dxa"/>
              <w:right w:w="45" w:type="dxa"/>
            </w:tcMar>
            <w:vAlign w:val="center"/>
          </w:tcPr>
          <w:p>
            <w:pPr>
              <w:pStyle w:val="TableContents"/>
              <w:bidi w:val="0"/>
              <w:spacing w:before="0" w:after="283"/>
              <w:ind w:left="0" w:right="0" w:hanging="0"/>
              <w:jc w:val="left"/>
              <w:rPr/>
            </w:pPr>
            <w:r>
              <w:rPr/>
              <w:t xml:space="preserve">S-3 </w:t>
            </w:r>
          </w:p>
        </w:tc>
        <w:tc>
          <w:tcPr>
            <w:tcW w:w="919" w:type="dxa"/>
            <w:tcBorders/>
            <w:tcMar>
              <w:top w:w="45" w:type="dxa"/>
              <w:left w:w="45" w:type="dxa"/>
              <w:bottom w:w="45" w:type="dxa"/>
              <w:right w:w="45" w:type="dxa"/>
            </w:tcMar>
            <w:vAlign w:val="center"/>
          </w:tcPr>
          <w:p>
            <w:pPr>
              <w:pStyle w:val="TableContents"/>
              <w:bidi w:val="0"/>
              <w:spacing w:before="0" w:after="283"/>
              <w:ind w:left="0" w:right="0" w:hanging="0"/>
              <w:jc w:val="left"/>
              <w:rPr/>
            </w:pPr>
            <w:r>
              <w:rPr/>
              <w:t xml:space="preserve">333-297855 </w:t>
            </w:r>
          </w:p>
        </w:tc>
        <w:tc>
          <w:tcPr>
            <w:tcW w:w="785" w:type="dxa"/>
            <w:tcBorders/>
            <w:tcMar>
              <w:top w:w="45" w:type="dxa"/>
              <w:left w:w="45" w:type="dxa"/>
              <w:bottom w:w="45" w:type="dxa"/>
              <w:right w:w="45" w:type="dxa"/>
            </w:tcMar>
            <w:vAlign w:val="center"/>
          </w:tcPr>
          <w:p>
            <w:pPr>
              <w:pStyle w:val="TableContents"/>
              <w:bidi w:val="0"/>
              <w:spacing w:before="0" w:after="283"/>
              <w:ind w:left="0" w:right="0" w:hanging="0"/>
              <w:jc w:val="left"/>
              <w:rPr/>
            </w:pPr>
            <w:r>
              <w:rPr/>
              <w:t xml:space="preserve">5.1 </w:t>
            </w:r>
          </w:p>
        </w:tc>
        <w:tc>
          <w:tcPr>
            <w:tcW w:w="734" w:type="dxa"/>
            <w:tcBorders/>
            <w:tcMar>
              <w:top w:w="45" w:type="dxa"/>
              <w:left w:w="45" w:type="dxa"/>
              <w:bottom w:w="45" w:type="dxa"/>
              <w:right w:w="45" w:type="dxa"/>
            </w:tcMar>
            <w:vAlign w:val="center"/>
          </w:tcPr>
          <w:p>
            <w:pPr>
              <w:pStyle w:val="TableContents"/>
              <w:bidi w:val="0"/>
              <w:spacing w:before="0" w:after="283"/>
              <w:ind w:left="0" w:right="0" w:hanging="0"/>
              <w:jc w:val="left"/>
              <w:rPr/>
            </w:pPr>
            <w:r>
              <w:rPr/>
              <w:t xml:space="preserve">07/31/2026 </w:t>
            </w:r>
          </w:p>
        </w:tc>
        <w:tc>
          <w:tcPr>
            <w:tcW w:w="982" w:type="dxa"/>
            <w:tcBorders/>
            <w:tcMar>
              <w:top w:w="45" w:type="dxa"/>
              <w:left w:w="45" w:type="dxa"/>
              <w:bottom w:w="45" w:type="dxa"/>
              <w:right w:w="45" w:type="dxa"/>
            </w:tcMar>
            <w:vAlign w:val="center"/>
          </w:tcPr>
          <w:p>
            <w:pPr>
              <w:pStyle w:val="TableContents"/>
              <w:bidi w:val="0"/>
              <w:spacing w:before="0" w:after="283"/>
              <w:ind w:left="0" w:right="0" w:hanging="0"/>
              <w:jc w:val="left"/>
              <w:rPr>
                <w:sz w:val="4"/>
                <w:szCs w:val="4"/>
              </w:rPr>
            </w:pPr>
            <w:r>
              <w:rPr>
                <w:sz w:val="4"/>
                <w:szCs w:val="4"/>
              </w:rPr>
            </w:r>
          </w:p>
        </w:tc>
      </w:tr>
      <w:tr>
        <w:trPr/>
        <w:tc>
          <w:tcPr>
            <w:tcW w:w="823" w:type="dxa"/>
            <w:tcBorders/>
            <w:vAlign w:val="center"/>
          </w:tcPr>
          <w:p>
            <w:pPr>
              <w:pStyle w:val="TableContents"/>
              <w:bidi w:val="0"/>
              <w:spacing w:before="0" w:after="283"/>
              <w:ind w:left="0" w:right="0" w:hanging="0"/>
              <w:jc w:val="right"/>
              <w:rPr>
                <w:sz w:val="20"/>
              </w:rPr>
            </w:pPr>
            <w:r>
              <w:rPr>
                <w:sz w:val="20"/>
              </w:rPr>
              <w:t>10.1</w:t>
            </w:r>
          </w:p>
        </w:tc>
        <w:tc>
          <w:tcPr>
            <w:tcW w:w="5327"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r:id="rId21">
              <w:r>
                <w:rPr>
                  <w:rStyle w:val="InternetLink"/>
                  <w:sz w:val="20"/>
                </w:rPr>
                <w:t>Governance Agreement, dated as of June 6, 2025, between the Registrant and TCW Asset Management LLC</w:t>
              </w:r>
            </w:hyperlink>
          </w:p>
        </w:tc>
        <w:tc>
          <w:tcPr>
            <w:tcW w:w="63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8-K</w:t>
            </w:r>
          </w:p>
        </w:tc>
        <w:tc>
          <w:tcPr>
            <w:tcW w:w="919"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001-33301</w:t>
            </w:r>
          </w:p>
        </w:tc>
        <w:tc>
          <w:tcPr>
            <w:tcW w:w="78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10.2</w:t>
            </w:r>
          </w:p>
        </w:tc>
        <w:tc>
          <w:tcPr>
            <w:tcW w:w="734"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06/06/2025</w:t>
            </w:r>
          </w:p>
        </w:tc>
        <w:tc>
          <w:tcPr>
            <w:tcW w:w="982" w:type="dxa"/>
            <w:tcBorders/>
            <w:tcMar>
              <w:top w:w="45" w:type="dxa"/>
              <w:left w:w="45" w:type="dxa"/>
              <w:bottom w:w="45" w:type="dxa"/>
              <w:right w:w="45" w:type="dxa"/>
            </w:tcMar>
            <w:vAlign w:val="center"/>
          </w:tcPr>
          <w:p>
            <w:pPr>
              <w:pStyle w:val="TableContents"/>
              <w:bidi w:val="0"/>
              <w:spacing w:before="0" w:after="283"/>
              <w:ind w:left="0" w:right="0" w:hanging="0"/>
              <w:jc w:val="center"/>
              <w:rPr/>
            </w:pPr>
            <w:r>
              <w:rPr/>
              <w:t> </w:t>
            </w:r>
          </w:p>
        </w:tc>
      </w:tr>
      <w:tr>
        <w:trPr/>
        <w:tc>
          <w:tcPr>
            <w:tcW w:w="823" w:type="dxa"/>
            <w:tcBorders/>
            <w:vAlign w:val="center"/>
          </w:tcPr>
          <w:p>
            <w:pPr>
              <w:pStyle w:val="TableContents"/>
              <w:bidi w:val="0"/>
              <w:spacing w:before="0" w:after="283"/>
              <w:jc w:val="right"/>
              <w:rPr>
                <w:sz w:val="20"/>
              </w:rPr>
            </w:pPr>
            <w:r>
              <w:rPr>
                <w:sz w:val="20"/>
              </w:rPr>
              <w:t>10.2</w:t>
            </w:r>
          </w:p>
        </w:tc>
        <w:tc>
          <w:tcPr>
            <w:tcW w:w="5327"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r:id="rId22">
              <w:r>
                <w:rPr>
                  <w:rStyle w:val="InternetLink"/>
                  <w:sz w:val="20"/>
                </w:rPr>
                <w:t>Financing Agreement, dated as of June 6, 2025, by and among Accuray Incorporated, the lenders from time to time party thereto, TCW Asset Management Company LLC, as collateral agent and administrative agent, Wingspire Capital LLC, as servicing agent and certain other parties thereto</w:t>
              </w:r>
            </w:hyperlink>
          </w:p>
        </w:tc>
        <w:tc>
          <w:tcPr>
            <w:tcW w:w="63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10-K</w:t>
            </w:r>
          </w:p>
        </w:tc>
        <w:tc>
          <w:tcPr>
            <w:tcW w:w="919"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001-33301</w:t>
            </w:r>
          </w:p>
        </w:tc>
        <w:tc>
          <w:tcPr>
            <w:tcW w:w="78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10.34</w:t>
            </w:r>
          </w:p>
        </w:tc>
        <w:tc>
          <w:tcPr>
            <w:tcW w:w="734"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08/28/2025</w:t>
            </w:r>
          </w:p>
        </w:tc>
        <w:tc>
          <w:tcPr>
            <w:tcW w:w="982" w:type="dxa"/>
            <w:tcBorders/>
            <w:tcMar>
              <w:top w:w="45" w:type="dxa"/>
              <w:left w:w="45" w:type="dxa"/>
              <w:bottom w:w="45" w:type="dxa"/>
              <w:right w:w="45" w:type="dxa"/>
            </w:tcMar>
            <w:vAlign w:val="center"/>
          </w:tcPr>
          <w:p>
            <w:pPr>
              <w:pStyle w:val="TableContents"/>
              <w:bidi w:val="0"/>
              <w:spacing w:before="0" w:after="283"/>
              <w:ind w:left="0" w:right="0" w:hanging="0"/>
              <w:jc w:val="center"/>
              <w:rPr/>
            </w:pPr>
            <w:r>
              <w:rPr/>
              <w:t> </w:t>
            </w:r>
          </w:p>
        </w:tc>
      </w:tr>
      <w:tr>
        <w:trPr/>
        <w:tc>
          <w:tcPr>
            <w:tcW w:w="823" w:type="dxa"/>
            <w:tcBorders/>
            <w:vAlign w:val="center"/>
          </w:tcPr>
          <w:p>
            <w:pPr>
              <w:pStyle w:val="TableContents"/>
              <w:bidi w:val="0"/>
              <w:spacing w:before="0" w:after="283"/>
              <w:jc w:val="right"/>
              <w:rPr>
                <w:sz w:val="20"/>
              </w:rPr>
            </w:pPr>
            <w:r>
              <w:rPr>
                <w:sz w:val="20"/>
              </w:rPr>
              <w:t>10.3</w:t>
            </w:r>
          </w:p>
        </w:tc>
        <w:tc>
          <w:tcPr>
            <w:tcW w:w="5327"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r:id="rId23">
              <w:r>
                <w:rPr>
                  <w:rStyle w:val="InternetLink"/>
                  <w:sz w:val="20"/>
                </w:rPr>
                <w:t>Amendment No. 1 to Financing Agreement dated as of December 12, 2025 by and among Accuray Incorporated, the guarantors party thereto, the consenting lenders party thereto and TCW Asset Management Company LLC, as administrative agent and collateral agent.</w:t>
              </w:r>
            </w:hyperlink>
          </w:p>
        </w:tc>
        <w:tc>
          <w:tcPr>
            <w:tcW w:w="63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10-Q</w:t>
            </w:r>
          </w:p>
        </w:tc>
        <w:tc>
          <w:tcPr>
            <w:tcW w:w="919"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001-33301</w:t>
            </w:r>
          </w:p>
        </w:tc>
        <w:tc>
          <w:tcPr>
            <w:tcW w:w="78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10.6</w:t>
            </w:r>
          </w:p>
        </w:tc>
        <w:tc>
          <w:tcPr>
            <w:tcW w:w="734"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02/17/2026</w:t>
            </w:r>
          </w:p>
        </w:tc>
        <w:tc>
          <w:tcPr>
            <w:tcW w:w="982" w:type="dxa"/>
            <w:tcBorders/>
            <w:tcMar>
              <w:top w:w="45" w:type="dxa"/>
              <w:left w:w="45" w:type="dxa"/>
              <w:bottom w:w="45" w:type="dxa"/>
              <w:right w:w="45"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6"/>
        <w:gridCol w:w="6677"/>
        <w:gridCol w:w="469"/>
        <w:gridCol w:w="921"/>
        <w:gridCol w:w="541"/>
        <w:gridCol w:w="723"/>
        <w:gridCol w:w="318"/>
      </w:tblGrid>
      <w:tr>
        <w:trPr/>
        <w:tc>
          <w:tcPr>
            <w:tcW w:w="556" w:type="dxa"/>
            <w:tcBorders/>
            <w:vAlign w:val="center"/>
          </w:tcPr>
          <w:p>
            <w:pPr>
              <w:pStyle w:val="TableContents"/>
              <w:bidi w:val="0"/>
              <w:spacing w:before="0" w:after="283"/>
              <w:jc w:val="right"/>
              <w:rPr/>
            </w:pPr>
            <w:r>
              <w:rPr/>
              <w:t xml:space="preserve">10.4 </w:t>
            </w:r>
          </w:p>
        </w:tc>
        <w:tc>
          <w:tcPr>
            <w:tcW w:w="6677" w:type="dxa"/>
            <w:tcBorders/>
            <w:tcMar>
              <w:top w:w="45" w:type="dxa"/>
              <w:left w:w="45" w:type="dxa"/>
              <w:bottom w:w="45" w:type="dxa"/>
              <w:right w:w="45" w:type="dxa"/>
            </w:tcMar>
            <w:vAlign w:val="center"/>
          </w:tcPr>
          <w:p>
            <w:pPr>
              <w:pStyle w:val="TableContents"/>
              <w:bidi w:val="0"/>
              <w:spacing w:before="0" w:after="283"/>
              <w:jc w:val="left"/>
              <w:rPr/>
            </w:pPr>
            <w:hyperlink r:id="rId24">
              <w:r>
                <w:rPr>
                  <w:rStyle w:val="InternetLink"/>
                  <w:color w:val="0000EE"/>
                </w:rPr>
                <w:t>Amendment No. 2 to Financing Agreement dated as of December 15, 2025 by and among Accuray Incorporated, the guarantors party thereto, the consenting lenders party thereto, TCW Asset Management Company LLC, as administrative agent and collateral agent and Wingspire Capital LLC, as servicing agent.</w:t>
              </w:r>
            </w:hyperlink>
            <w:r>
              <w:rPr/>
              <w:t xml:space="preserve"> </w:t>
            </w:r>
          </w:p>
        </w:tc>
        <w:tc>
          <w:tcPr>
            <w:tcW w:w="469" w:type="dxa"/>
            <w:tcBorders/>
            <w:tcMar>
              <w:top w:w="45" w:type="dxa"/>
              <w:left w:w="45" w:type="dxa"/>
              <w:bottom w:w="45" w:type="dxa"/>
              <w:right w:w="45" w:type="dxa"/>
            </w:tcMar>
            <w:vAlign w:val="center"/>
          </w:tcPr>
          <w:p>
            <w:pPr>
              <w:pStyle w:val="TableContents"/>
              <w:bidi w:val="0"/>
              <w:spacing w:before="0" w:after="283"/>
              <w:jc w:val="left"/>
              <w:rPr/>
            </w:pPr>
            <w:r>
              <w:rPr/>
              <w:t xml:space="preserve">10-Q </w:t>
            </w:r>
          </w:p>
        </w:tc>
        <w:tc>
          <w:tcPr>
            <w:tcW w:w="921" w:type="dxa"/>
            <w:tcBorders/>
            <w:tcMar>
              <w:top w:w="45" w:type="dxa"/>
              <w:left w:w="45" w:type="dxa"/>
              <w:bottom w:w="45" w:type="dxa"/>
              <w:right w:w="45" w:type="dxa"/>
            </w:tcMar>
            <w:vAlign w:val="center"/>
          </w:tcPr>
          <w:p>
            <w:pPr>
              <w:pStyle w:val="TableContents"/>
              <w:bidi w:val="0"/>
              <w:spacing w:before="0" w:after="283"/>
              <w:jc w:val="left"/>
              <w:rPr/>
            </w:pPr>
            <w:r>
              <w:rPr/>
              <w:t xml:space="preserve">001-33301 </w:t>
            </w:r>
          </w:p>
        </w:tc>
        <w:tc>
          <w:tcPr>
            <w:tcW w:w="541" w:type="dxa"/>
            <w:tcBorders/>
            <w:tcMar>
              <w:top w:w="45" w:type="dxa"/>
              <w:left w:w="45" w:type="dxa"/>
              <w:bottom w:w="45" w:type="dxa"/>
              <w:right w:w="45" w:type="dxa"/>
            </w:tcMar>
            <w:vAlign w:val="center"/>
          </w:tcPr>
          <w:p>
            <w:pPr>
              <w:pStyle w:val="TableContents"/>
              <w:bidi w:val="0"/>
              <w:spacing w:before="0" w:after="283"/>
              <w:jc w:val="left"/>
              <w:rPr/>
            </w:pPr>
            <w:r>
              <w:rPr/>
              <w:t xml:space="preserve">10.7 </w:t>
            </w:r>
          </w:p>
        </w:tc>
        <w:tc>
          <w:tcPr>
            <w:tcW w:w="723" w:type="dxa"/>
            <w:tcBorders/>
            <w:tcMar>
              <w:top w:w="45" w:type="dxa"/>
              <w:left w:w="45" w:type="dxa"/>
              <w:bottom w:w="45" w:type="dxa"/>
              <w:right w:w="45" w:type="dxa"/>
            </w:tcMar>
            <w:vAlign w:val="center"/>
          </w:tcPr>
          <w:p>
            <w:pPr>
              <w:pStyle w:val="TableContents"/>
              <w:bidi w:val="0"/>
              <w:spacing w:before="0" w:after="283"/>
              <w:jc w:val="left"/>
              <w:rPr/>
            </w:pPr>
            <w:r>
              <w:rPr/>
              <w:t xml:space="preserve">02/17/2026 </w:t>
            </w:r>
          </w:p>
        </w:tc>
        <w:tc>
          <w:tcPr>
            <w:tcW w:w="318" w:type="dxa"/>
            <w:tcBorders/>
            <w:tcMar>
              <w:top w:w="45" w:type="dxa"/>
              <w:left w:w="45" w:type="dxa"/>
              <w:bottom w:w="45" w:type="dxa"/>
              <w:right w:w="45" w:type="dxa"/>
            </w:tcMar>
            <w:vAlign w:val="center"/>
          </w:tcPr>
          <w:p>
            <w:pPr>
              <w:pStyle w:val="TableContents"/>
              <w:bidi w:val="0"/>
              <w:spacing w:before="0" w:after="283"/>
              <w:jc w:val="left"/>
              <w:rPr/>
            </w:pPr>
            <w:r>
              <w:rPr/>
              <w:t xml:space="preserve">  </w:t>
            </w:r>
          </w:p>
        </w:tc>
      </w:tr>
      <w:tr>
        <w:trPr/>
        <w:tc>
          <w:tcPr>
            <w:tcW w:w="556" w:type="dxa"/>
            <w:tcBorders/>
            <w:vAlign w:val="center"/>
          </w:tcPr>
          <w:p>
            <w:pPr>
              <w:pStyle w:val="TableContents"/>
              <w:bidi w:val="0"/>
              <w:spacing w:before="0" w:after="283"/>
              <w:jc w:val="right"/>
              <w:rPr/>
            </w:pPr>
            <w:r>
              <w:rPr/>
              <w:t xml:space="preserve">10.5 </w:t>
            </w:r>
          </w:p>
        </w:tc>
        <w:tc>
          <w:tcPr>
            <w:tcW w:w="6677" w:type="dxa"/>
            <w:tcBorders/>
            <w:tcMar>
              <w:top w:w="45" w:type="dxa"/>
              <w:left w:w="45" w:type="dxa"/>
              <w:bottom w:w="45" w:type="dxa"/>
              <w:right w:w="45" w:type="dxa"/>
            </w:tcMar>
            <w:vAlign w:val="center"/>
          </w:tcPr>
          <w:p>
            <w:pPr>
              <w:pStyle w:val="TableContents"/>
              <w:bidi w:val="0"/>
              <w:spacing w:before="0" w:after="283"/>
              <w:jc w:val="left"/>
              <w:rPr/>
            </w:pPr>
            <w:hyperlink r:id="rId25">
              <w:r>
                <w:rPr>
                  <w:rStyle w:val="InternetLink"/>
                  <w:color w:val="0000EE"/>
                </w:rPr>
                <w:t>Amendment No. 3 to Financing Agreement, dated July 29, 2026, by and among Accuray Incorporated, the guarantors party thereto, the lenders listed thereto, TCW Asset Management Company LLC, as collateral agent and administrative agent, and Wingspire Capital LLC, as servicing agent.</w:t>
              </w:r>
            </w:hyperlink>
            <w:r>
              <w:rPr/>
              <w:t xml:space="preserve"> </w:t>
            </w:r>
          </w:p>
        </w:tc>
        <w:tc>
          <w:tcPr>
            <w:tcW w:w="469" w:type="dxa"/>
            <w:tcBorders/>
            <w:tcMar>
              <w:top w:w="45" w:type="dxa"/>
              <w:left w:w="45" w:type="dxa"/>
              <w:bottom w:w="45" w:type="dxa"/>
              <w:right w:w="45" w:type="dxa"/>
            </w:tcMar>
            <w:vAlign w:val="center"/>
          </w:tcPr>
          <w:p>
            <w:pPr>
              <w:pStyle w:val="TableContents"/>
              <w:bidi w:val="0"/>
              <w:spacing w:before="0" w:after="283"/>
              <w:jc w:val="left"/>
              <w:rPr/>
            </w:pPr>
            <w:r>
              <w:rPr/>
              <w:t xml:space="preserve">8-K </w:t>
            </w:r>
          </w:p>
        </w:tc>
        <w:tc>
          <w:tcPr>
            <w:tcW w:w="921" w:type="dxa"/>
            <w:tcBorders/>
            <w:tcMar>
              <w:top w:w="45" w:type="dxa"/>
              <w:left w:w="45" w:type="dxa"/>
              <w:bottom w:w="45" w:type="dxa"/>
              <w:right w:w="45" w:type="dxa"/>
            </w:tcMar>
            <w:vAlign w:val="center"/>
          </w:tcPr>
          <w:p>
            <w:pPr>
              <w:pStyle w:val="TableContents"/>
              <w:bidi w:val="0"/>
              <w:spacing w:before="0" w:after="283"/>
              <w:jc w:val="left"/>
              <w:rPr/>
            </w:pPr>
            <w:r>
              <w:rPr/>
              <w:t xml:space="preserve">001-33301 </w:t>
            </w:r>
          </w:p>
        </w:tc>
        <w:tc>
          <w:tcPr>
            <w:tcW w:w="541" w:type="dxa"/>
            <w:tcBorders/>
            <w:tcMar>
              <w:top w:w="45" w:type="dxa"/>
              <w:left w:w="45" w:type="dxa"/>
              <w:bottom w:w="45" w:type="dxa"/>
              <w:right w:w="45" w:type="dxa"/>
            </w:tcMar>
            <w:vAlign w:val="center"/>
          </w:tcPr>
          <w:p>
            <w:pPr>
              <w:pStyle w:val="TableContents"/>
              <w:bidi w:val="0"/>
              <w:spacing w:before="0" w:after="283"/>
              <w:jc w:val="left"/>
              <w:rPr/>
            </w:pPr>
            <w:r>
              <w:rPr/>
              <w:t xml:space="preserve">10.2 </w:t>
            </w:r>
          </w:p>
        </w:tc>
        <w:tc>
          <w:tcPr>
            <w:tcW w:w="723" w:type="dxa"/>
            <w:tcBorders/>
            <w:tcMar>
              <w:top w:w="45" w:type="dxa"/>
              <w:left w:w="45" w:type="dxa"/>
              <w:bottom w:w="45" w:type="dxa"/>
              <w:right w:w="45" w:type="dxa"/>
            </w:tcMar>
            <w:vAlign w:val="center"/>
          </w:tcPr>
          <w:p>
            <w:pPr>
              <w:pStyle w:val="TableContents"/>
              <w:bidi w:val="0"/>
              <w:spacing w:before="0" w:after="283"/>
              <w:jc w:val="left"/>
              <w:rPr/>
            </w:pPr>
            <w:r>
              <w:rPr/>
              <w:t xml:space="preserve">07/29/2026 </w:t>
            </w:r>
          </w:p>
        </w:tc>
        <w:tc>
          <w:tcPr>
            <w:tcW w:w="318" w:type="dxa"/>
            <w:tcBorders/>
            <w:tcMar>
              <w:top w:w="45" w:type="dxa"/>
              <w:left w:w="45" w:type="dxa"/>
              <w:bottom w:w="45" w:type="dxa"/>
              <w:right w:w="45" w:type="dxa"/>
            </w:tcMar>
            <w:vAlign w:val="center"/>
          </w:tcPr>
          <w:p>
            <w:pPr>
              <w:pStyle w:val="TableContents"/>
              <w:bidi w:val="0"/>
              <w:spacing w:before="0" w:after="283"/>
              <w:jc w:val="center"/>
              <w:rPr/>
            </w:pPr>
            <w:r>
              <w:rPr/>
              <w:t xml:space="preserve">  </w:t>
            </w:r>
          </w:p>
        </w:tc>
      </w:tr>
      <w:tr>
        <w:trPr/>
        <w:tc>
          <w:tcPr>
            <w:tcW w:w="556" w:type="dxa"/>
            <w:tcBorders/>
            <w:vAlign w:val="center"/>
          </w:tcPr>
          <w:p>
            <w:pPr>
              <w:pStyle w:val="TableContents"/>
              <w:bidi w:val="0"/>
              <w:spacing w:before="0" w:after="283"/>
              <w:jc w:val="right"/>
              <w:rPr/>
            </w:pPr>
            <w:r>
              <w:rPr/>
              <w:t xml:space="preserve">23.1 </w:t>
            </w:r>
          </w:p>
        </w:tc>
        <w:tc>
          <w:tcPr>
            <w:tcW w:w="6677" w:type="dxa"/>
            <w:tcBorders/>
            <w:tcMar>
              <w:top w:w="45" w:type="dxa"/>
              <w:left w:w="45" w:type="dxa"/>
              <w:bottom w:w="45" w:type="dxa"/>
              <w:right w:w="45" w:type="dxa"/>
            </w:tcMar>
            <w:vAlign w:val="center"/>
          </w:tcPr>
          <w:p>
            <w:pPr>
              <w:pStyle w:val="TableContents"/>
              <w:bidi w:val="0"/>
              <w:spacing w:before="0" w:after="283"/>
              <w:jc w:val="left"/>
              <w:rPr/>
            </w:pPr>
            <w:hyperlink w:anchor="dp252515_ex2301.htm">
              <w:r>
                <w:rPr>
                  <w:rStyle w:val="InternetLink"/>
                </w:rPr>
                <w:t>Consent of Grant Thornton LLP, independent registered public accounting firm.</w:t>
              </w:r>
            </w:hyperlink>
            <w:r>
              <w:rPr/>
              <w:t xml:space="preserve"> </w:t>
            </w:r>
          </w:p>
        </w:tc>
        <w:tc>
          <w:tcPr>
            <w:tcW w:w="469" w:type="dxa"/>
            <w:tcBorders/>
            <w:tcMar>
              <w:top w:w="45" w:type="dxa"/>
              <w:left w:w="45" w:type="dxa"/>
              <w:bottom w:w="45" w:type="dxa"/>
              <w:right w:w="45" w:type="dxa"/>
            </w:tcMar>
            <w:vAlign w:val="center"/>
          </w:tcPr>
          <w:p>
            <w:pPr>
              <w:pStyle w:val="TableContents"/>
              <w:bidi w:val="0"/>
              <w:spacing w:before="0" w:after="283"/>
              <w:jc w:val="left"/>
              <w:rPr/>
            </w:pPr>
            <w:r>
              <w:rPr/>
              <w:t xml:space="preserve">  </w:t>
            </w:r>
          </w:p>
        </w:tc>
        <w:tc>
          <w:tcPr>
            <w:tcW w:w="921" w:type="dxa"/>
            <w:tcBorders/>
            <w:tcMar>
              <w:top w:w="45" w:type="dxa"/>
              <w:left w:w="45" w:type="dxa"/>
              <w:bottom w:w="45" w:type="dxa"/>
              <w:right w:w="45" w:type="dxa"/>
            </w:tcMar>
            <w:vAlign w:val="center"/>
          </w:tcPr>
          <w:p>
            <w:pPr>
              <w:pStyle w:val="TableContents"/>
              <w:bidi w:val="0"/>
              <w:spacing w:before="0" w:after="283"/>
              <w:jc w:val="left"/>
              <w:rPr/>
            </w:pPr>
            <w:r>
              <w:rPr/>
              <w:t xml:space="preserve">  </w:t>
            </w:r>
          </w:p>
        </w:tc>
        <w:tc>
          <w:tcPr>
            <w:tcW w:w="541" w:type="dxa"/>
            <w:tcBorders/>
            <w:tcMar>
              <w:top w:w="45" w:type="dxa"/>
              <w:left w:w="45" w:type="dxa"/>
              <w:bottom w:w="45" w:type="dxa"/>
              <w:right w:w="45" w:type="dxa"/>
            </w:tcMar>
            <w:vAlign w:val="center"/>
          </w:tcPr>
          <w:p>
            <w:pPr>
              <w:pStyle w:val="TableContents"/>
              <w:bidi w:val="0"/>
              <w:spacing w:before="0" w:after="283"/>
              <w:jc w:val="left"/>
              <w:rPr/>
            </w:pPr>
            <w:r>
              <w:rPr/>
              <w:t xml:space="preserve">  </w:t>
            </w:r>
          </w:p>
        </w:tc>
        <w:tc>
          <w:tcPr>
            <w:tcW w:w="723" w:type="dxa"/>
            <w:tcBorders/>
            <w:tcMar>
              <w:top w:w="45" w:type="dxa"/>
              <w:left w:w="45" w:type="dxa"/>
              <w:bottom w:w="45" w:type="dxa"/>
              <w:right w:w="45" w:type="dxa"/>
            </w:tcMar>
            <w:vAlign w:val="center"/>
          </w:tcPr>
          <w:p>
            <w:pPr>
              <w:pStyle w:val="TableContents"/>
              <w:bidi w:val="0"/>
              <w:spacing w:before="0" w:after="283"/>
              <w:jc w:val="left"/>
              <w:rPr/>
            </w:pPr>
            <w:r>
              <w:rPr/>
              <w:t xml:space="preserve">  </w:t>
            </w:r>
          </w:p>
        </w:tc>
        <w:tc>
          <w:tcPr>
            <w:tcW w:w="318" w:type="dxa"/>
            <w:tcBorders/>
            <w:tcMar>
              <w:top w:w="45" w:type="dxa"/>
              <w:left w:w="45" w:type="dxa"/>
              <w:bottom w:w="45" w:type="dxa"/>
              <w:right w:w="45" w:type="dxa"/>
            </w:tcMar>
            <w:vAlign w:val="center"/>
          </w:tcPr>
          <w:p>
            <w:pPr>
              <w:pStyle w:val="TableContents"/>
              <w:bidi w:val="0"/>
              <w:spacing w:before="0" w:after="283"/>
              <w:jc w:val="center"/>
              <w:rPr/>
            </w:pPr>
            <w:r>
              <w:rPr/>
              <w:t xml:space="preserve">X </w:t>
            </w:r>
          </w:p>
        </w:tc>
      </w:tr>
      <w:tr>
        <w:trPr/>
        <w:tc>
          <w:tcPr>
            <w:tcW w:w="556" w:type="dxa"/>
            <w:tcBorders/>
            <w:vAlign w:val="center"/>
          </w:tcPr>
          <w:p>
            <w:pPr>
              <w:pStyle w:val="TableContents"/>
              <w:bidi w:val="0"/>
              <w:spacing w:before="0" w:after="283"/>
              <w:jc w:val="right"/>
              <w:rPr/>
            </w:pPr>
            <w:r>
              <w:rPr/>
              <w:t xml:space="preserve">23.2 </w:t>
            </w:r>
          </w:p>
        </w:tc>
        <w:tc>
          <w:tcPr>
            <w:tcW w:w="6677" w:type="dxa"/>
            <w:tcBorders/>
            <w:tcMar>
              <w:top w:w="45" w:type="dxa"/>
              <w:left w:w="45" w:type="dxa"/>
              <w:bottom w:w="45" w:type="dxa"/>
              <w:right w:w="45" w:type="dxa"/>
            </w:tcMar>
            <w:vAlign w:val="center"/>
          </w:tcPr>
          <w:p>
            <w:pPr>
              <w:pStyle w:val="TableContents"/>
              <w:bidi w:val="0"/>
              <w:spacing w:before="0" w:after="283"/>
              <w:jc w:val="left"/>
              <w:rPr/>
            </w:pPr>
            <w:hyperlink r:id="rId26">
              <w:r>
                <w:rPr>
                  <w:rStyle w:val="InternetLink"/>
                </w:rPr>
                <w:t>Consent of Davis Polk &amp; Wardwell LLP (included in Exhibit 5.1).</w:t>
              </w:r>
            </w:hyperlink>
            <w:r>
              <w:rPr/>
              <w:t xml:space="preserve"> </w:t>
            </w:r>
          </w:p>
        </w:tc>
        <w:tc>
          <w:tcPr>
            <w:tcW w:w="469" w:type="dxa"/>
            <w:tcBorders/>
            <w:tcMar>
              <w:top w:w="45" w:type="dxa"/>
              <w:left w:w="45" w:type="dxa"/>
              <w:bottom w:w="45" w:type="dxa"/>
              <w:right w:w="45" w:type="dxa"/>
            </w:tcMar>
            <w:vAlign w:val="center"/>
          </w:tcPr>
          <w:p>
            <w:pPr>
              <w:pStyle w:val="TableContents"/>
              <w:bidi w:val="0"/>
              <w:spacing w:before="0" w:after="283"/>
              <w:jc w:val="left"/>
              <w:rPr/>
            </w:pPr>
            <w:r>
              <w:rPr/>
              <w:t> </w:t>
            </w:r>
            <w:r>
              <w:rPr/>
              <w:t xml:space="preserve">S-3 </w:t>
            </w:r>
          </w:p>
        </w:tc>
        <w:tc>
          <w:tcPr>
            <w:tcW w:w="921" w:type="dxa"/>
            <w:tcBorders/>
            <w:tcMar>
              <w:top w:w="45" w:type="dxa"/>
              <w:left w:w="45" w:type="dxa"/>
              <w:bottom w:w="45" w:type="dxa"/>
              <w:right w:w="45" w:type="dxa"/>
            </w:tcMar>
            <w:vAlign w:val="center"/>
          </w:tcPr>
          <w:p>
            <w:pPr>
              <w:pStyle w:val="TableContents"/>
              <w:bidi w:val="0"/>
              <w:spacing w:before="0" w:after="283"/>
              <w:jc w:val="left"/>
              <w:rPr/>
            </w:pPr>
            <w:r>
              <w:rPr/>
              <w:t xml:space="preserve">333-297855 </w:t>
            </w:r>
          </w:p>
        </w:tc>
        <w:tc>
          <w:tcPr>
            <w:tcW w:w="541" w:type="dxa"/>
            <w:tcBorders/>
            <w:tcMar>
              <w:top w:w="45" w:type="dxa"/>
              <w:left w:w="45" w:type="dxa"/>
              <w:bottom w:w="45" w:type="dxa"/>
              <w:right w:w="45" w:type="dxa"/>
            </w:tcMar>
            <w:vAlign w:val="center"/>
          </w:tcPr>
          <w:p>
            <w:pPr>
              <w:pStyle w:val="TableContents"/>
              <w:bidi w:val="0"/>
              <w:spacing w:before="0" w:after="283"/>
              <w:jc w:val="left"/>
              <w:rPr/>
            </w:pPr>
            <w:r>
              <w:rPr/>
              <w:t xml:space="preserve">5.1 </w:t>
            </w:r>
          </w:p>
        </w:tc>
        <w:tc>
          <w:tcPr>
            <w:tcW w:w="723" w:type="dxa"/>
            <w:tcBorders/>
            <w:tcMar>
              <w:top w:w="45" w:type="dxa"/>
              <w:left w:w="45" w:type="dxa"/>
              <w:bottom w:w="45" w:type="dxa"/>
              <w:right w:w="45" w:type="dxa"/>
            </w:tcMar>
            <w:vAlign w:val="center"/>
          </w:tcPr>
          <w:p>
            <w:pPr>
              <w:pStyle w:val="TableContents"/>
              <w:bidi w:val="0"/>
              <w:spacing w:before="0" w:after="283"/>
              <w:jc w:val="left"/>
              <w:rPr/>
            </w:pPr>
            <w:r>
              <w:rPr/>
              <w:t> </w:t>
            </w:r>
            <w:r>
              <w:rPr/>
              <w:t xml:space="preserve">07/31/2026 </w:t>
            </w:r>
          </w:p>
        </w:tc>
        <w:tc>
          <w:tcPr>
            <w:tcW w:w="318" w:type="dxa"/>
            <w:tcBorders/>
            <w:tcMar>
              <w:top w:w="45" w:type="dxa"/>
              <w:left w:w="45" w:type="dxa"/>
              <w:bottom w:w="45" w:type="dxa"/>
              <w:right w:w="45" w:type="dxa"/>
            </w:tcMar>
            <w:vAlign w:val="center"/>
          </w:tcPr>
          <w:p>
            <w:pPr>
              <w:pStyle w:val="TableContents"/>
              <w:bidi w:val="0"/>
              <w:spacing w:before="0" w:after="283"/>
              <w:jc w:val="left"/>
              <w:rPr/>
            </w:pPr>
            <w:r>
              <w:rPr/>
              <w:t xml:space="preserve">  </w:t>
            </w:r>
          </w:p>
        </w:tc>
      </w:tr>
      <w:tr>
        <w:trPr/>
        <w:tc>
          <w:tcPr>
            <w:tcW w:w="556" w:type="dxa"/>
            <w:tcBorders/>
            <w:vAlign w:val="center"/>
          </w:tcPr>
          <w:p>
            <w:pPr>
              <w:pStyle w:val="TableContents"/>
              <w:bidi w:val="0"/>
              <w:spacing w:before="0" w:after="283"/>
              <w:jc w:val="right"/>
              <w:rPr/>
            </w:pPr>
            <w:r>
              <w:rPr/>
              <w:t xml:space="preserve">24.1 </w:t>
            </w:r>
          </w:p>
        </w:tc>
        <w:tc>
          <w:tcPr>
            <w:tcW w:w="6677" w:type="dxa"/>
            <w:tcBorders/>
            <w:tcMar>
              <w:top w:w="45" w:type="dxa"/>
              <w:left w:w="45" w:type="dxa"/>
              <w:bottom w:w="45" w:type="dxa"/>
              <w:right w:w="45" w:type="dxa"/>
            </w:tcMar>
            <w:vAlign w:val="center"/>
          </w:tcPr>
          <w:p>
            <w:pPr>
              <w:pStyle w:val="TableContents"/>
              <w:bidi w:val="0"/>
              <w:spacing w:before="0" w:after="283"/>
              <w:jc w:val="left"/>
              <w:rPr/>
            </w:pPr>
            <w:r>
              <w:fldChar w:fldCharType="begin"/>
            </w:r>
            <w:r>
              <w:rPr>
                <w:rStyle w:val="InternetLink"/>
              </w:rPr>
              <w:instrText xml:space="preserve"> HYPERLINK "https://www.sec.gov/Archives/edgar/data/1138723/000095010326011529/dp250755_s3.htm" \l "a_014"</w:instrText>
            </w:r>
            <w:r>
              <w:rPr>
                <w:rStyle w:val="InternetLink"/>
              </w:rPr>
              <w:fldChar w:fldCharType="separate"/>
            </w:r>
            <w:r>
              <w:rPr>
                <w:rStyle w:val="InternetLink"/>
              </w:rPr>
              <w:t>Power of Attorney (incorporated by reference to the signature page of this registration statement).</w:t>
            </w:r>
            <w:r>
              <w:rPr>
                <w:rStyle w:val="InternetLink"/>
              </w:rPr>
              <w:fldChar w:fldCharType="end"/>
            </w:r>
            <w:r>
              <w:rPr/>
              <w:t xml:space="preserve"> </w:t>
            </w:r>
          </w:p>
        </w:tc>
        <w:tc>
          <w:tcPr>
            <w:tcW w:w="469" w:type="dxa"/>
            <w:tcBorders/>
            <w:tcMar>
              <w:top w:w="45" w:type="dxa"/>
              <w:left w:w="45" w:type="dxa"/>
              <w:bottom w:w="45" w:type="dxa"/>
              <w:right w:w="45" w:type="dxa"/>
            </w:tcMar>
            <w:vAlign w:val="center"/>
          </w:tcPr>
          <w:p>
            <w:pPr>
              <w:pStyle w:val="TableContents"/>
              <w:bidi w:val="0"/>
              <w:spacing w:before="0" w:after="283"/>
              <w:jc w:val="left"/>
              <w:rPr/>
            </w:pPr>
            <w:r>
              <w:rPr/>
              <w:t> </w:t>
            </w:r>
            <w:r>
              <w:rPr/>
              <w:t xml:space="preserve">S-3 </w:t>
            </w:r>
          </w:p>
        </w:tc>
        <w:tc>
          <w:tcPr>
            <w:tcW w:w="921" w:type="dxa"/>
            <w:tcBorders/>
            <w:tcMar>
              <w:top w:w="45" w:type="dxa"/>
              <w:left w:w="45" w:type="dxa"/>
              <w:bottom w:w="45" w:type="dxa"/>
              <w:right w:w="45" w:type="dxa"/>
            </w:tcMar>
            <w:vAlign w:val="center"/>
          </w:tcPr>
          <w:p>
            <w:pPr>
              <w:pStyle w:val="TableContents"/>
              <w:bidi w:val="0"/>
              <w:spacing w:before="0" w:after="283"/>
              <w:jc w:val="left"/>
              <w:rPr/>
            </w:pPr>
            <w:r>
              <w:rPr/>
              <w:t xml:space="preserve">333-297855 </w:t>
            </w:r>
          </w:p>
        </w:tc>
        <w:tc>
          <w:tcPr>
            <w:tcW w:w="541" w:type="dxa"/>
            <w:tcBorders/>
            <w:tcMar>
              <w:top w:w="45" w:type="dxa"/>
              <w:left w:w="45" w:type="dxa"/>
              <w:bottom w:w="45" w:type="dxa"/>
              <w:right w:w="45" w:type="dxa"/>
            </w:tcMar>
            <w:vAlign w:val="center"/>
          </w:tcPr>
          <w:p>
            <w:pPr>
              <w:pStyle w:val="TableContents"/>
              <w:bidi w:val="0"/>
              <w:spacing w:before="0" w:after="283"/>
              <w:jc w:val="left"/>
              <w:rPr/>
            </w:pPr>
            <w:r>
              <w:rPr/>
              <w:t xml:space="preserve">107 </w:t>
            </w:r>
          </w:p>
        </w:tc>
        <w:tc>
          <w:tcPr>
            <w:tcW w:w="723" w:type="dxa"/>
            <w:tcBorders/>
            <w:tcMar>
              <w:top w:w="45" w:type="dxa"/>
              <w:left w:w="45" w:type="dxa"/>
              <w:bottom w:w="45" w:type="dxa"/>
              <w:right w:w="45" w:type="dxa"/>
            </w:tcMar>
            <w:vAlign w:val="center"/>
          </w:tcPr>
          <w:p>
            <w:pPr>
              <w:pStyle w:val="TableContents"/>
              <w:bidi w:val="0"/>
              <w:spacing w:before="0" w:after="283"/>
              <w:jc w:val="left"/>
              <w:rPr/>
            </w:pPr>
            <w:r>
              <w:rPr/>
              <w:t> </w:t>
            </w:r>
            <w:r>
              <w:rPr/>
              <w:t xml:space="preserve">07/31/2026 </w:t>
            </w:r>
          </w:p>
        </w:tc>
        <w:tc>
          <w:tcPr>
            <w:tcW w:w="318" w:type="dxa"/>
            <w:tcBorders/>
            <w:tcMar>
              <w:top w:w="45" w:type="dxa"/>
              <w:left w:w="45" w:type="dxa"/>
              <w:bottom w:w="45" w:type="dxa"/>
              <w:right w:w="45" w:type="dxa"/>
            </w:tcMar>
            <w:vAlign w:val="center"/>
          </w:tcPr>
          <w:p>
            <w:pPr>
              <w:pStyle w:val="TableContents"/>
              <w:bidi w:val="0"/>
              <w:spacing w:before="0" w:after="283"/>
              <w:jc w:val="left"/>
              <w:rPr/>
            </w:pPr>
            <w:r>
              <w:rPr/>
              <w:t xml:space="preserve">  </w:t>
            </w:r>
          </w:p>
        </w:tc>
      </w:tr>
      <w:tr>
        <w:trPr/>
        <w:tc>
          <w:tcPr>
            <w:tcW w:w="556" w:type="dxa"/>
            <w:tcBorders/>
            <w:vAlign w:val="center"/>
          </w:tcPr>
          <w:p>
            <w:pPr>
              <w:pStyle w:val="TableContents"/>
              <w:bidi w:val="0"/>
              <w:spacing w:before="0" w:after="283"/>
              <w:jc w:val="right"/>
              <w:rPr/>
            </w:pPr>
            <w:r>
              <w:rPr/>
              <w:t xml:space="preserve">107 </w:t>
            </w:r>
          </w:p>
        </w:tc>
        <w:tc>
          <w:tcPr>
            <w:tcW w:w="6677" w:type="dxa"/>
            <w:tcBorders/>
            <w:tcMar>
              <w:top w:w="45" w:type="dxa"/>
              <w:left w:w="45" w:type="dxa"/>
              <w:bottom w:w="45" w:type="dxa"/>
              <w:right w:w="45" w:type="dxa"/>
            </w:tcMar>
            <w:vAlign w:val="center"/>
          </w:tcPr>
          <w:p>
            <w:pPr>
              <w:pStyle w:val="TableContents"/>
              <w:bidi w:val="0"/>
              <w:spacing w:before="0" w:after="283"/>
              <w:jc w:val="left"/>
              <w:rPr/>
            </w:pPr>
            <w:hyperlink r:id="rId27">
              <w:r>
                <w:rPr>
                  <w:rStyle w:val="InternetLink"/>
                </w:rPr>
                <w:t>Filing fee table</w:t>
              </w:r>
            </w:hyperlink>
            <w:r>
              <w:rPr/>
              <w:t xml:space="preserve"> </w:t>
            </w:r>
          </w:p>
        </w:tc>
        <w:tc>
          <w:tcPr>
            <w:tcW w:w="469" w:type="dxa"/>
            <w:tcBorders/>
            <w:tcMar>
              <w:top w:w="45" w:type="dxa"/>
              <w:left w:w="45" w:type="dxa"/>
              <w:bottom w:w="45" w:type="dxa"/>
              <w:right w:w="45" w:type="dxa"/>
            </w:tcMar>
            <w:vAlign w:val="center"/>
          </w:tcPr>
          <w:p>
            <w:pPr>
              <w:pStyle w:val="TableContents"/>
              <w:bidi w:val="0"/>
              <w:spacing w:before="0" w:after="283"/>
              <w:jc w:val="left"/>
              <w:rPr/>
            </w:pPr>
            <w:r>
              <w:rPr/>
              <w:t> </w:t>
            </w:r>
            <w:r>
              <w:rPr/>
              <w:t xml:space="preserve">S-3 </w:t>
            </w:r>
          </w:p>
        </w:tc>
        <w:tc>
          <w:tcPr>
            <w:tcW w:w="921" w:type="dxa"/>
            <w:tcBorders/>
            <w:tcMar>
              <w:top w:w="45" w:type="dxa"/>
              <w:left w:w="45" w:type="dxa"/>
              <w:bottom w:w="45" w:type="dxa"/>
              <w:right w:w="45" w:type="dxa"/>
            </w:tcMar>
            <w:vAlign w:val="center"/>
          </w:tcPr>
          <w:p>
            <w:pPr>
              <w:pStyle w:val="TableContents"/>
              <w:bidi w:val="0"/>
              <w:spacing w:before="0" w:after="283"/>
              <w:jc w:val="left"/>
              <w:rPr/>
            </w:pPr>
            <w:r>
              <w:rPr/>
              <w:t xml:space="preserve">333-297855 </w:t>
            </w:r>
          </w:p>
        </w:tc>
        <w:tc>
          <w:tcPr>
            <w:tcW w:w="541" w:type="dxa"/>
            <w:tcBorders/>
            <w:tcMar>
              <w:top w:w="45" w:type="dxa"/>
              <w:left w:w="45" w:type="dxa"/>
              <w:bottom w:w="45" w:type="dxa"/>
              <w:right w:w="45" w:type="dxa"/>
            </w:tcMar>
            <w:vAlign w:val="center"/>
          </w:tcPr>
          <w:p>
            <w:pPr>
              <w:pStyle w:val="TableContents"/>
              <w:bidi w:val="0"/>
              <w:spacing w:before="0" w:after="283"/>
              <w:jc w:val="left"/>
              <w:rPr/>
            </w:pPr>
            <w:r>
              <w:rPr/>
              <w:t xml:space="preserve">107 </w:t>
            </w:r>
          </w:p>
        </w:tc>
        <w:tc>
          <w:tcPr>
            <w:tcW w:w="723" w:type="dxa"/>
            <w:tcBorders/>
            <w:tcMar>
              <w:top w:w="45" w:type="dxa"/>
              <w:left w:w="45" w:type="dxa"/>
              <w:bottom w:w="45" w:type="dxa"/>
              <w:right w:w="45" w:type="dxa"/>
            </w:tcMar>
            <w:vAlign w:val="center"/>
          </w:tcPr>
          <w:p>
            <w:pPr>
              <w:pStyle w:val="TableContents"/>
              <w:bidi w:val="0"/>
              <w:spacing w:before="0" w:after="283"/>
              <w:jc w:val="left"/>
              <w:rPr/>
            </w:pPr>
            <w:r>
              <w:rPr/>
              <w:t> </w:t>
            </w:r>
            <w:r>
              <w:rPr/>
              <w:t xml:space="preserve">07/31/2026 </w:t>
            </w:r>
          </w:p>
        </w:tc>
        <w:tc>
          <w:tcPr>
            <w:tcW w:w="318" w:type="dxa"/>
            <w:tcBorders/>
            <w:tcMar>
              <w:top w:w="45" w:type="dxa"/>
              <w:left w:w="45" w:type="dxa"/>
              <w:bottom w:w="45" w:type="dxa"/>
              <w:right w:w="45" w:type="dxa"/>
            </w:tcMar>
            <w:vAlign w:val="center"/>
          </w:tcPr>
          <w:p>
            <w:pPr>
              <w:pStyle w:val="TableContents"/>
              <w:bidi w:val="0"/>
              <w:spacing w:before="0" w:after="283"/>
              <w:jc w:val="left"/>
              <w:rPr/>
            </w:pPr>
            <w:r>
              <w:rPr/>
              <w:t xml:space="preserv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63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w:t>
      </w:r>
    </w:p>
    <w:p>
      <w:pPr>
        <w:pStyle w:val="TextBody"/>
        <w:bidi w:val="0"/>
        <w:spacing w:before="0" w:after="0"/>
        <w:ind w:left="630" w:right="0" w:firstLine="360"/>
        <w:jc w:val="left"/>
        <w:rPr>
          <w:caps w:val="false"/>
          <w:smallCaps w:val="false"/>
        </w:rPr>
      </w:pPr>
      <w:r>
        <w:rPr>
          <w:caps w:val="false"/>
          <w:smallCaps w:val="false"/>
        </w:rPr>
        <w:t> </w:t>
      </w:r>
    </w:p>
    <w:p>
      <w:pPr>
        <w:pStyle w:val="TextBody"/>
        <w:bidi w:val="0"/>
        <w:spacing w:before="0" w:after="0"/>
        <w:ind w:left="63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pStyle w:val="TextBody"/>
        <w:bidi w:val="0"/>
        <w:spacing w:before="0" w:after="0"/>
        <w:ind w:left="630" w:right="0" w:firstLine="360"/>
        <w:jc w:val="left"/>
        <w:rPr>
          <w:caps w:val="false"/>
          <w:smallCaps w:val="false"/>
        </w:rPr>
      </w:pPr>
      <w:r>
        <w:rPr>
          <w:caps w:val="false"/>
          <w:smallCaps w:val="false"/>
        </w:rPr>
        <w:t> </w:t>
      </w:r>
    </w:p>
    <w:p>
      <w:pPr>
        <w:pStyle w:val="TextBody"/>
        <w:bidi w:val="0"/>
        <w:spacing w:before="0" w:after="0"/>
        <w:ind w:left="63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63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clauses (a)(1)(i), (a)(1)(ii) and (a)(1)(iii)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for the purpose of determining liability under the Securities Act to any purchaser:</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63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before="0" w:after="0"/>
        <w:ind w:left="63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3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before="0" w:after="0"/>
        <w:ind w:left="63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requirements of the Securities Act of 1933, the registrant has duly caused this Amendment No. 2 to this registration statement to be signed on its behalf by the undersigned, thereunto duly authorized, in the City of Madison, State of Wisconsin, on September 9, 2026. </w:t>
      </w:r>
    </w:p>
    <w:p>
      <w:pPr>
        <w:pStyle w:val="TextBody"/>
        <w:bidi w:val="0"/>
        <w:spacing w:before="0" w:after="0"/>
        <w:ind w:left="0" w:right="0" w:firstLine="360"/>
        <w:jc w:val="left"/>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75"/>
        <w:gridCol w:w="365"/>
        <w:gridCol w:w="3875"/>
      </w:tblGrid>
      <w:tr>
        <w:trPr/>
        <w:tc>
          <w:tcPr>
            <w:tcW w:w="75" w:type="dxa"/>
            <w:tcBorders/>
            <w:vAlign w:val="center"/>
          </w:tcPr>
          <w:p>
            <w:pPr>
              <w:pStyle w:val="TableContents"/>
              <w:bidi w:val="0"/>
              <w:spacing w:before="0" w:after="283"/>
              <w:jc w:val="left"/>
              <w:rPr/>
            </w:pPr>
            <w:r>
              <w:rPr/>
              <w:t> </w:t>
            </w:r>
          </w:p>
        </w:tc>
        <w:tc>
          <w:tcPr>
            <w:tcW w:w="4240" w:type="dxa"/>
            <w:gridSpan w:val="2"/>
            <w:tcBorders/>
            <w:vAlign w:val="center"/>
          </w:tcPr>
          <w:p>
            <w:pPr>
              <w:pStyle w:val="TableContents"/>
              <w:bidi w:val="0"/>
              <w:spacing w:before="0" w:after="283"/>
              <w:jc w:val="left"/>
              <w:rPr>
                <w:b/>
              </w:rPr>
            </w:pPr>
            <w:r>
              <w:rPr>
                <w:b/>
              </w:rPr>
              <w:t>ACCURAY INCORPORATED</w:t>
            </w:r>
          </w:p>
        </w:tc>
      </w:tr>
      <w:tr>
        <w:trPr/>
        <w:tc>
          <w:tcPr>
            <w:tcW w:w="75" w:type="dxa"/>
            <w:tcBorders/>
            <w:vAlign w:val="center"/>
          </w:tcPr>
          <w:p>
            <w:pPr>
              <w:pStyle w:val="TableContents"/>
              <w:bidi w:val="0"/>
              <w:spacing w:before="0" w:after="283"/>
              <w:jc w:val="left"/>
              <w:rPr/>
            </w:pPr>
            <w:r>
              <w:rPr/>
              <w:t> </w:t>
            </w:r>
          </w:p>
        </w:tc>
        <w:tc>
          <w:tcPr>
            <w:tcW w:w="424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875" w:type="dxa"/>
            <w:tcBorders>
              <w:bottom w:val="single" w:sz="8" w:space="0" w:color="000000"/>
            </w:tcBorders>
            <w:tcMar>
              <w:bottom w:w="28" w:type="dxa"/>
            </w:tcMar>
            <w:vAlign w:val="center"/>
          </w:tcPr>
          <w:p>
            <w:pPr>
              <w:pStyle w:val="TableContents"/>
              <w:bidi w:val="0"/>
              <w:spacing w:before="0" w:after="283"/>
              <w:jc w:val="left"/>
              <w:rPr/>
            </w:pPr>
            <w:r>
              <w:rPr/>
              <w:t>/s/ Ali Pervaiz</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Name:  Ali Pervaiz</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Title:    SVP and Chief Financial Officer</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firstLine="360"/>
        <w:jc w:val="left"/>
        <w:rPr>
          <w:caps w:val="false"/>
          <w:smallCaps w:val="false"/>
        </w:rPr>
      </w:pPr>
      <w:r>
        <w:rPr>
          <w:caps w:val="false"/>
          <w:smallCaps w:val="false"/>
        </w:rPr>
        <w:t> </w:t>
      </w:r>
    </w:p>
    <w:tbl>
      <w:tblPr>
        <w:tblW w:w="8550" w:type="dxa"/>
        <w:jc w:val="left"/>
        <w:tblInd w:w="0" w:type="dxa"/>
        <w:tblLayout w:type="fixed"/>
        <w:tblCellMar>
          <w:top w:w="0" w:type="dxa"/>
          <w:left w:w="0" w:type="dxa"/>
          <w:bottom w:w="0" w:type="dxa"/>
          <w:right w:w="0" w:type="dxa"/>
        </w:tblCellMar>
      </w:tblPr>
      <w:tblGrid>
        <w:gridCol w:w="1745"/>
        <w:gridCol w:w="4925"/>
        <w:gridCol w:w="1880"/>
      </w:tblGrid>
      <w:tr>
        <w:trPr/>
        <w:tc>
          <w:tcPr>
            <w:tcW w:w="174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Signature  </w:t>
            </w:r>
            <w:r>
              <w:rPr>
                <w:rFonts w:ascii="Times New Roman;Times;Serif" w:hAnsi="Times New Roman;Times;Serif"/>
                <w:b w:val="false"/>
                <w:i w:val="false"/>
                <w:caps w:val="false"/>
                <w:smallCaps w:val="false"/>
                <w:sz w:val="20"/>
              </w:rPr>
              <w:t xml:space="preserve"> </w:t>
            </w:r>
          </w:p>
        </w:tc>
        <w:tc>
          <w:tcPr>
            <w:tcW w:w="492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Title  </w:t>
            </w:r>
            <w:r>
              <w:rPr>
                <w:rFonts w:ascii="Times New Roman;Times;Serif" w:hAnsi="Times New Roman;Times;Serif"/>
                <w:b w:val="false"/>
                <w:i w:val="false"/>
                <w:caps w:val="false"/>
                <w:smallCaps w:val="false"/>
                <w:sz w:val="20"/>
              </w:rPr>
              <w:t xml:space="preserve"> </w:t>
            </w:r>
          </w:p>
        </w:tc>
        <w:tc>
          <w:tcPr>
            <w:tcW w:w="188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  </w:t>
            </w:r>
            <w:r>
              <w:rPr>
                <w:rFonts w:ascii="Times New Roman;Times;Serif" w:hAnsi="Times New Roman;Times;Serif"/>
                <w:b w:val="false"/>
                <w:i w:val="false"/>
                <w:caps w:val="false"/>
                <w:smallCaps w:val="false"/>
                <w:sz w:val="20"/>
              </w:rPr>
              <w:t xml:space="preserve"> </w:t>
            </w:r>
          </w:p>
        </w:tc>
      </w:tr>
      <w:tr>
        <w:trPr/>
        <w:tc>
          <w:tcPr>
            <w:tcW w:w="1745" w:type="dxa"/>
            <w:tcBorders/>
            <w:vAlign w:val="center"/>
          </w:tcPr>
          <w:p>
            <w:pPr>
              <w:pStyle w:val="TableContents"/>
              <w:bidi w:val="0"/>
              <w:spacing w:before="0" w:after="283"/>
              <w:jc w:val="left"/>
              <w:rPr/>
            </w:pPr>
            <w:r>
              <w:rPr/>
              <w:t xml:space="preserve">  </w:t>
            </w:r>
          </w:p>
        </w:tc>
        <w:tc>
          <w:tcPr>
            <w:tcW w:w="4925" w:type="dxa"/>
            <w:tcBorders/>
            <w:vAlign w:val="center"/>
          </w:tcPr>
          <w:p>
            <w:pPr>
              <w:pStyle w:val="TableContents"/>
              <w:bidi w:val="0"/>
              <w:spacing w:before="0" w:after="283"/>
              <w:jc w:val="left"/>
              <w:rPr/>
            </w:pPr>
            <w:r>
              <w:rPr/>
              <w:t xml:space="preserve">  </w:t>
            </w:r>
          </w:p>
        </w:tc>
        <w:tc>
          <w:tcPr>
            <w:tcW w:w="1880" w:type="dxa"/>
            <w:tcBorders/>
            <w:vAlign w:val="center"/>
          </w:tcPr>
          <w:p>
            <w:pPr>
              <w:pStyle w:val="TableContents"/>
              <w:bidi w:val="0"/>
              <w:spacing w:before="0" w:after="283"/>
              <w:jc w:val="left"/>
              <w:rPr/>
            </w:pPr>
            <w:r>
              <w:rPr/>
              <w:t xml:space="preserve">  </w:t>
            </w:r>
          </w:p>
        </w:tc>
      </w:tr>
      <w:tr>
        <w:trPr/>
        <w:tc>
          <w:tcPr>
            <w:tcW w:w="174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Stephen La Neve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Stephen La Neve </w:t>
            </w:r>
          </w:p>
        </w:tc>
        <w:tc>
          <w:tcPr>
            <w:tcW w:w="4925" w:type="dxa"/>
            <w:tcBorders/>
            <w:vAlign w:val="center"/>
          </w:tcPr>
          <w:p>
            <w:pPr>
              <w:pStyle w:val="TableContents"/>
              <w:bidi w:val="0"/>
              <w:spacing w:before="0" w:after="283"/>
              <w:jc w:val="left"/>
              <w:rPr/>
            </w:pPr>
            <w:r>
              <w:rPr/>
              <w:t xml:space="preserve">President and Chief Executive Officer and Director </w:t>
              <w:br/>
              <w:t xml:space="preserve">(principal executive officer) </w:t>
            </w:r>
          </w:p>
        </w:tc>
        <w:tc>
          <w:tcPr>
            <w:tcW w:w="1880" w:type="dxa"/>
            <w:tcBorders/>
            <w:vAlign w:val="center"/>
          </w:tcPr>
          <w:p>
            <w:pPr>
              <w:pStyle w:val="TableContents"/>
              <w:bidi w:val="0"/>
              <w:spacing w:before="0" w:after="283"/>
              <w:jc w:val="left"/>
              <w:rPr/>
            </w:pPr>
            <w:r>
              <w:rPr/>
              <w:t xml:space="preserve">September 9, 2026 </w:t>
            </w:r>
          </w:p>
        </w:tc>
      </w:tr>
      <w:tr>
        <w:trPr/>
        <w:tc>
          <w:tcPr>
            <w:tcW w:w="1745" w:type="dxa"/>
            <w:tcBorders/>
            <w:vAlign w:val="center"/>
          </w:tcPr>
          <w:p>
            <w:pPr>
              <w:pStyle w:val="TableContents"/>
              <w:bidi w:val="0"/>
              <w:spacing w:before="0" w:after="283"/>
              <w:jc w:val="left"/>
              <w:rPr/>
            </w:pPr>
            <w:r>
              <w:rPr/>
              <w:t xml:space="preserve">  </w:t>
            </w:r>
          </w:p>
        </w:tc>
        <w:tc>
          <w:tcPr>
            <w:tcW w:w="4925" w:type="dxa"/>
            <w:tcBorders/>
            <w:vAlign w:val="center"/>
          </w:tcPr>
          <w:p>
            <w:pPr>
              <w:pStyle w:val="TableContents"/>
              <w:bidi w:val="0"/>
              <w:spacing w:before="0" w:after="283"/>
              <w:jc w:val="left"/>
              <w:rPr/>
            </w:pPr>
            <w:r>
              <w:rPr/>
              <w:t xml:space="preserve">  </w:t>
            </w:r>
          </w:p>
        </w:tc>
        <w:tc>
          <w:tcPr>
            <w:tcW w:w="1880" w:type="dxa"/>
            <w:tcBorders/>
            <w:vAlign w:val="center"/>
          </w:tcPr>
          <w:p>
            <w:pPr>
              <w:pStyle w:val="TableContents"/>
              <w:bidi w:val="0"/>
              <w:spacing w:before="0" w:after="283"/>
              <w:jc w:val="left"/>
              <w:rPr/>
            </w:pPr>
            <w:r>
              <w:rPr/>
              <w:t xml:space="preserve">  </w:t>
            </w:r>
          </w:p>
        </w:tc>
      </w:tr>
      <w:tr>
        <w:trPr/>
        <w:tc>
          <w:tcPr>
            <w:tcW w:w="174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Ali Pervaiz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Ali Pervaiz </w:t>
            </w:r>
          </w:p>
        </w:tc>
        <w:tc>
          <w:tcPr>
            <w:tcW w:w="4925" w:type="dxa"/>
            <w:tcBorders/>
            <w:vAlign w:val="center"/>
          </w:tcPr>
          <w:p>
            <w:pPr>
              <w:pStyle w:val="TableContents"/>
              <w:bidi w:val="0"/>
              <w:spacing w:before="0" w:after="283"/>
              <w:jc w:val="left"/>
              <w:rPr/>
            </w:pPr>
            <w:r>
              <w:rPr/>
              <w:t xml:space="preserve">Chief Financial Officer (principal financial officer) </w:t>
            </w:r>
          </w:p>
        </w:tc>
        <w:tc>
          <w:tcPr>
            <w:tcW w:w="1880" w:type="dxa"/>
            <w:tcBorders/>
            <w:vAlign w:val="center"/>
          </w:tcPr>
          <w:p>
            <w:pPr>
              <w:pStyle w:val="TableContents"/>
              <w:bidi w:val="0"/>
              <w:spacing w:before="0" w:after="283"/>
              <w:jc w:val="left"/>
              <w:rPr/>
            </w:pPr>
            <w:r>
              <w:rPr/>
              <w:t xml:space="preserve">September 9, 2026 </w:t>
            </w:r>
          </w:p>
        </w:tc>
      </w:tr>
      <w:tr>
        <w:trPr/>
        <w:tc>
          <w:tcPr>
            <w:tcW w:w="1745" w:type="dxa"/>
            <w:tcBorders/>
            <w:vAlign w:val="center"/>
          </w:tcPr>
          <w:p>
            <w:pPr>
              <w:pStyle w:val="TableContents"/>
              <w:bidi w:val="0"/>
              <w:spacing w:before="0" w:after="283"/>
              <w:jc w:val="left"/>
              <w:rPr/>
            </w:pPr>
            <w:r>
              <w:rPr/>
              <w:t xml:space="preserve">  </w:t>
            </w:r>
          </w:p>
        </w:tc>
        <w:tc>
          <w:tcPr>
            <w:tcW w:w="4925" w:type="dxa"/>
            <w:tcBorders/>
            <w:vAlign w:val="center"/>
          </w:tcPr>
          <w:p>
            <w:pPr>
              <w:pStyle w:val="TableContents"/>
              <w:bidi w:val="0"/>
              <w:spacing w:before="0" w:after="283"/>
              <w:jc w:val="left"/>
              <w:rPr/>
            </w:pPr>
            <w:r>
              <w:rPr/>
              <w:t xml:space="preserve">  </w:t>
            </w:r>
          </w:p>
        </w:tc>
        <w:tc>
          <w:tcPr>
            <w:tcW w:w="1880" w:type="dxa"/>
            <w:tcBorders/>
            <w:vAlign w:val="center"/>
          </w:tcPr>
          <w:p>
            <w:pPr>
              <w:pStyle w:val="TableContents"/>
              <w:bidi w:val="0"/>
              <w:spacing w:before="0" w:after="283"/>
              <w:jc w:val="left"/>
              <w:rPr/>
            </w:pPr>
            <w:r>
              <w:rPr/>
              <w:t xml:space="preserve">  </w:t>
            </w:r>
          </w:p>
        </w:tc>
      </w:tr>
      <w:tr>
        <w:trPr/>
        <w:tc>
          <w:tcPr>
            <w:tcW w:w="174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Joseph E. Whitters </w:t>
            </w:r>
          </w:p>
        </w:tc>
        <w:tc>
          <w:tcPr>
            <w:tcW w:w="4925" w:type="dxa"/>
            <w:tcBorders/>
            <w:vAlign w:val="center"/>
          </w:tcPr>
          <w:p>
            <w:pPr>
              <w:pStyle w:val="TableContents"/>
              <w:bidi w:val="0"/>
              <w:spacing w:before="0" w:after="283"/>
              <w:jc w:val="left"/>
              <w:rPr/>
            </w:pPr>
            <w:r>
              <w:rPr/>
              <w:t xml:space="preserve">Chairperson of the Board and Director </w:t>
            </w:r>
          </w:p>
        </w:tc>
        <w:tc>
          <w:tcPr>
            <w:tcW w:w="1880" w:type="dxa"/>
            <w:tcBorders/>
            <w:vAlign w:val="center"/>
          </w:tcPr>
          <w:p>
            <w:pPr>
              <w:pStyle w:val="TableContents"/>
              <w:bidi w:val="0"/>
              <w:spacing w:before="0" w:after="283"/>
              <w:jc w:val="left"/>
              <w:rPr/>
            </w:pPr>
            <w:r>
              <w:rPr/>
              <w:t xml:space="preserve">September 9, 2026 </w:t>
            </w:r>
          </w:p>
        </w:tc>
      </w:tr>
      <w:tr>
        <w:trPr/>
        <w:tc>
          <w:tcPr>
            <w:tcW w:w="1745" w:type="dxa"/>
            <w:tcBorders/>
            <w:vAlign w:val="center"/>
          </w:tcPr>
          <w:p>
            <w:pPr>
              <w:pStyle w:val="TableContents"/>
              <w:bidi w:val="0"/>
              <w:spacing w:before="0" w:after="283"/>
              <w:jc w:val="left"/>
              <w:rPr/>
            </w:pPr>
            <w:r>
              <w:rPr/>
              <w:t xml:space="preserve">  </w:t>
            </w:r>
          </w:p>
        </w:tc>
        <w:tc>
          <w:tcPr>
            <w:tcW w:w="4925" w:type="dxa"/>
            <w:tcBorders/>
            <w:vAlign w:val="center"/>
          </w:tcPr>
          <w:p>
            <w:pPr>
              <w:pStyle w:val="TableContents"/>
              <w:bidi w:val="0"/>
              <w:spacing w:before="0" w:after="283"/>
              <w:jc w:val="left"/>
              <w:rPr/>
            </w:pPr>
            <w:r>
              <w:rPr/>
              <w:t xml:space="preserve">  </w:t>
            </w:r>
          </w:p>
        </w:tc>
        <w:tc>
          <w:tcPr>
            <w:tcW w:w="1880" w:type="dxa"/>
            <w:tcBorders/>
            <w:vAlign w:val="center"/>
          </w:tcPr>
          <w:p>
            <w:pPr>
              <w:pStyle w:val="TableContents"/>
              <w:bidi w:val="0"/>
              <w:spacing w:before="0" w:after="283"/>
              <w:jc w:val="left"/>
              <w:rPr/>
            </w:pPr>
            <w:r>
              <w:rPr/>
              <w:t xml:space="preserve">  </w:t>
            </w:r>
          </w:p>
        </w:tc>
      </w:tr>
      <w:tr>
        <w:trPr/>
        <w:tc>
          <w:tcPr>
            <w:tcW w:w="174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 W. Galbato </w:t>
            </w:r>
          </w:p>
        </w:tc>
        <w:tc>
          <w:tcPr>
            <w:tcW w:w="4925" w:type="dxa"/>
            <w:tcBorders/>
            <w:vAlign w:val="center"/>
          </w:tcPr>
          <w:p>
            <w:pPr>
              <w:pStyle w:val="TableContents"/>
              <w:bidi w:val="0"/>
              <w:spacing w:before="0" w:after="283"/>
              <w:jc w:val="left"/>
              <w:rPr/>
            </w:pPr>
            <w:r>
              <w:rPr/>
              <w:t xml:space="preserve">Director </w:t>
            </w:r>
          </w:p>
        </w:tc>
        <w:tc>
          <w:tcPr>
            <w:tcW w:w="1880" w:type="dxa"/>
            <w:tcBorders/>
            <w:vAlign w:val="center"/>
          </w:tcPr>
          <w:p>
            <w:pPr>
              <w:pStyle w:val="TableContents"/>
              <w:bidi w:val="0"/>
              <w:spacing w:before="0" w:after="283"/>
              <w:jc w:val="left"/>
              <w:rPr/>
            </w:pPr>
            <w:r>
              <w:rPr/>
              <w:t xml:space="preserve">September 9, 2026 </w:t>
            </w:r>
          </w:p>
        </w:tc>
      </w:tr>
      <w:tr>
        <w:trPr/>
        <w:tc>
          <w:tcPr>
            <w:tcW w:w="1745" w:type="dxa"/>
            <w:tcBorders/>
            <w:vAlign w:val="center"/>
          </w:tcPr>
          <w:p>
            <w:pPr>
              <w:pStyle w:val="TableContents"/>
              <w:bidi w:val="0"/>
              <w:spacing w:before="0" w:after="283"/>
              <w:jc w:val="left"/>
              <w:rPr/>
            </w:pPr>
            <w:r>
              <w:rPr/>
              <w:t xml:space="preserve">  </w:t>
            </w:r>
          </w:p>
        </w:tc>
        <w:tc>
          <w:tcPr>
            <w:tcW w:w="4925" w:type="dxa"/>
            <w:tcBorders/>
            <w:vAlign w:val="center"/>
          </w:tcPr>
          <w:p>
            <w:pPr>
              <w:pStyle w:val="TableContents"/>
              <w:bidi w:val="0"/>
              <w:spacing w:before="0" w:after="283"/>
              <w:jc w:val="left"/>
              <w:rPr/>
            </w:pPr>
            <w:r>
              <w:rPr/>
              <w:t xml:space="preserve">  </w:t>
            </w:r>
          </w:p>
        </w:tc>
        <w:tc>
          <w:tcPr>
            <w:tcW w:w="1880" w:type="dxa"/>
            <w:tcBorders/>
            <w:vAlign w:val="center"/>
          </w:tcPr>
          <w:p>
            <w:pPr>
              <w:pStyle w:val="TableContents"/>
              <w:bidi w:val="0"/>
              <w:spacing w:before="0" w:after="283"/>
              <w:jc w:val="left"/>
              <w:rPr/>
            </w:pPr>
            <w:r>
              <w:rPr/>
              <w:t xml:space="preserve">  </w:t>
            </w:r>
          </w:p>
        </w:tc>
      </w:tr>
      <w:tr>
        <w:trPr/>
        <w:tc>
          <w:tcPr>
            <w:tcW w:w="174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James M. Hindman </w:t>
            </w:r>
          </w:p>
        </w:tc>
        <w:tc>
          <w:tcPr>
            <w:tcW w:w="4925" w:type="dxa"/>
            <w:tcBorders/>
            <w:vAlign w:val="center"/>
          </w:tcPr>
          <w:p>
            <w:pPr>
              <w:pStyle w:val="TableContents"/>
              <w:bidi w:val="0"/>
              <w:spacing w:before="0" w:after="283"/>
              <w:jc w:val="left"/>
              <w:rPr/>
            </w:pPr>
            <w:r>
              <w:rPr/>
              <w:t xml:space="preserve">Director </w:t>
            </w:r>
          </w:p>
        </w:tc>
        <w:tc>
          <w:tcPr>
            <w:tcW w:w="1880" w:type="dxa"/>
            <w:tcBorders/>
            <w:vAlign w:val="center"/>
          </w:tcPr>
          <w:p>
            <w:pPr>
              <w:pStyle w:val="TableContents"/>
              <w:bidi w:val="0"/>
              <w:spacing w:before="0" w:after="283"/>
              <w:jc w:val="left"/>
              <w:rPr/>
            </w:pPr>
            <w:r>
              <w:rPr/>
              <w:t xml:space="preserve">September 9, 2026 </w:t>
            </w:r>
          </w:p>
        </w:tc>
      </w:tr>
      <w:tr>
        <w:trPr/>
        <w:tc>
          <w:tcPr>
            <w:tcW w:w="1745" w:type="dxa"/>
            <w:tcBorders/>
            <w:vAlign w:val="center"/>
          </w:tcPr>
          <w:p>
            <w:pPr>
              <w:pStyle w:val="TableContents"/>
              <w:bidi w:val="0"/>
              <w:spacing w:before="0" w:after="283"/>
              <w:jc w:val="left"/>
              <w:rPr/>
            </w:pPr>
            <w:r>
              <w:rPr/>
              <w:t xml:space="preserve">  </w:t>
            </w:r>
          </w:p>
        </w:tc>
        <w:tc>
          <w:tcPr>
            <w:tcW w:w="4925" w:type="dxa"/>
            <w:tcBorders/>
            <w:vAlign w:val="center"/>
          </w:tcPr>
          <w:p>
            <w:pPr>
              <w:pStyle w:val="TableContents"/>
              <w:bidi w:val="0"/>
              <w:spacing w:before="0" w:after="283"/>
              <w:jc w:val="left"/>
              <w:rPr/>
            </w:pPr>
            <w:r>
              <w:rPr/>
              <w:t xml:space="preserve">  </w:t>
            </w:r>
          </w:p>
        </w:tc>
        <w:tc>
          <w:tcPr>
            <w:tcW w:w="1880" w:type="dxa"/>
            <w:tcBorders/>
            <w:vAlign w:val="center"/>
          </w:tcPr>
          <w:p>
            <w:pPr>
              <w:pStyle w:val="TableContents"/>
              <w:bidi w:val="0"/>
              <w:spacing w:before="0" w:after="283"/>
              <w:jc w:val="left"/>
              <w:rPr/>
            </w:pPr>
            <w:r>
              <w:rPr/>
              <w:t xml:space="preserve">  </w:t>
            </w:r>
          </w:p>
        </w:tc>
      </w:tr>
      <w:tr>
        <w:trPr/>
        <w:tc>
          <w:tcPr>
            <w:tcW w:w="174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Steven F. Mayer </w:t>
            </w:r>
          </w:p>
        </w:tc>
        <w:tc>
          <w:tcPr>
            <w:tcW w:w="4925" w:type="dxa"/>
            <w:tcBorders/>
            <w:vAlign w:val="center"/>
          </w:tcPr>
          <w:p>
            <w:pPr>
              <w:pStyle w:val="TableContents"/>
              <w:bidi w:val="0"/>
              <w:spacing w:before="0" w:after="283"/>
              <w:jc w:val="left"/>
              <w:rPr/>
            </w:pPr>
            <w:r>
              <w:rPr/>
              <w:t xml:space="preserve">Director </w:t>
            </w:r>
          </w:p>
        </w:tc>
        <w:tc>
          <w:tcPr>
            <w:tcW w:w="1880" w:type="dxa"/>
            <w:tcBorders/>
            <w:vAlign w:val="center"/>
          </w:tcPr>
          <w:p>
            <w:pPr>
              <w:pStyle w:val="TableContents"/>
              <w:bidi w:val="0"/>
              <w:spacing w:before="0" w:after="283"/>
              <w:jc w:val="left"/>
              <w:rPr/>
            </w:pPr>
            <w:r>
              <w:rPr/>
              <w:t xml:space="preserve">September 9, 2026 </w:t>
            </w:r>
          </w:p>
        </w:tc>
      </w:tr>
      <w:tr>
        <w:trPr/>
        <w:tc>
          <w:tcPr>
            <w:tcW w:w="1745" w:type="dxa"/>
            <w:tcBorders/>
            <w:vAlign w:val="center"/>
          </w:tcPr>
          <w:p>
            <w:pPr>
              <w:pStyle w:val="TableContents"/>
              <w:bidi w:val="0"/>
              <w:spacing w:before="0" w:after="283"/>
              <w:jc w:val="left"/>
              <w:rPr/>
            </w:pPr>
            <w:r>
              <w:rPr/>
              <w:t xml:space="preserve">  </w:t>
            </w:r>
          </w:p>
        </w:tc>
        <w:tc>
          <w:tcPr>
            <w:tcW w:w="4925" w:type="dxa"/>
            <w:tcBorders/>
            <w:vAlign w:val="center"/>
          </w:tcPr>
          <w:p>
            <w:pPr>
              <w:pStyle w:val="TableContents"/>
              <w:bidi w:val="0"/>
              <w:spacing w:before="0" w:after="283"/>
              <w:jc w:val="left"/>
              <w:rPr/>
            </w:pPr>
            <w:r>
              <w:rPr/>
              <w:t xml:space="preserve">  </w:t>
            </w:r>
          </w:p>
        </w:tc>
        <w:tc>
          <w:tcPr>
            <w:tcW w:w="1880" w:type="dxa"/>
            <w:tcBorders/>
            <w:vAlign w:val="center"/>
          </w:tcPr>
          <w:p>
            <w:pPr>
              <w:pStyle w:val="TableContents"/>
              <w:bidi w:val="0"/>
              <w:spacing w:before="0" w:after="283"/>
              <w:jc w:val="left"/>
              <w:rPr/>
            </w:pPr>
            <w:r>
              <w:rPr/>
              <w:t xml:space="preserve">  </w:t>
            </w:r>
          </w:p>
        </w:tc>
      </w:tr>
      <w:tr>
        <w:trPr/>
        <w:tc>
          <w:tcPr>
            <w:tcW w:w="174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4925" w:type="dxa"/>
            <w:tcBorders/>
            <w:vAlign w:val="center"/>
          </w:tcPr>
          <w:p>
            <w:pPr>
              <w:pStyle w:val="TableContents"/>
              <w:bidi w:val="0"/>
              <w:spacing w:before="0" w:after="283"/>
              <w:jc w:val="left"/>
              <w:rPr/>
            </w:pPr>
            <w:r>
              <w:rPr/>
              <w:t xml:space="preserve">Director </w:t>
            </w:r>
          </w:p>
        </w:tc>
        <w:tc>
          <w:tcPr>
            <w:tcW w:w="1880" w:type="dxa"/>
            <w:tcBorders/>
            <w:vAlign w:val="center"/>
          </w:tcPr>
          <w:p>
            <w:pPr>
              <w:pStyle w:val="TableContents"/>
              <w:bidi w:val="0"/>
              <w:spacing w:before="0" w:after="283"/>
              <w:jc w:val="left"/>
              <w:rPr/>
            </w:pPr>
            <w:r>
              <w:rPr/>
              <w:t xml:space="preserve">September 9, 2026 </w:t>
            </w:r>
          </w:p>
        </w:tc>
      </w:tr>
      <w:tr>
        <w:trPr/>
        <w:tc>
          <w:tcPr>
            <w:tcW w:w="1745" w:type="dxa"/>
            <w:tcBorders/>
            <w:vAlign w:val="center"/>
          </w:tcPr>
          <w:p>
            <w:pPr>
              <w:pStyle w:val="TableContents"/>
              <w:bidi w:val="0"/>
              <w:spacing w:before="0" w:after="283"/>
              <w:jc w:val="left"/>
              <w:rPr/>
            </w:pPr>
            <w:r>
              <w:rPr/>
              <w:t xml:space="preserve">Mika Nishimura </w:t>
            </w:r>
          </w:p>
        </w:tc>
        <w:tc>
          <w:tcPr>
            <w:tcW w:w="4925" w:type="dxa"/>
            <w:tcBorders/>
            <w:vAlign w:val="center"/>
          </w:tcPr>
          <w:p>
            <w:pPr>
              <w:pStyle w:val="TableContents"/>
              <w:bidi w:val="0"/>
              <w:spacing w:before="0" w:after="283"/>
              <w:jc w:val="left"/>
              <w:rPr/>
            </w:pPr>
            <w:r>
              <w:rPr/>
              <w:t xml:space="preserve">  </w:t>
            </w:r>
          </w:p>
        </w:tc>
        <w:tc>
          <w:tcPr>
            <w:tcW w:w="1880" w:type="dxa"/>
            <w:tcBorders/>
            <w:vAlign w:val="center"/>
          </w:tcPr>
          <w:p>
            <w:pPr>
              <w:pStyle w:val="TableContents"/>
              <w:bidi w:val="0"/>
              <w:spacing w:before="0" w:after="283"/>
              <w:jc w:val="left"/>
              <w:rPr/>
            </w:pPr>
            <w:r>
              <w:rPr/>
              <w:t xml:space="preserve">  </w:t>
            </w:r>
          </w:p>
        </w:tc>
      </w:tr>
    </w:tbl>
    <w:tbl>
      <w:tblPr>
        <w:tblW w:w="3205" w:type="dxa"/>
        <w:jc w:val="left"/>
        <w:tblInd w:w="0" w:type="dxa"/>
        <w:tblLayout w:type="fixed"/>
        <w:tblCellMar>
          <w:top w:w="0" w:type="dxa"/>
          <w:left w:w="0" w:type="dxa"/>
          <w:bottom w:w="0" w:type="dxa"/>
          <w:right w:w="0" w:type="dxa"/>
        </w:tblCellMar>
      </w:tblPr>
      <w:tblGrid>
        <w:gridCol w:w="680"/>
        <w:gridCol w:w="2390"/>
        <w:gridCol w:w="135"/>
      </w:tblGrid>
      <w:tr>
        <w:trPr/>
        <w:tc>
          <w:tcPr>
            <w:tcW w:w="3070" w:type="dxa"/>
            <w:gridSpan w:val="2"/>
            <w:tcBorders/>
            <w:vAlign w:val="center"/>
          </w:tcPr>
          <w:p>
            <w:pPr>
              <w:pStyle w:val="TableContents"/>
              <w:bidi w:val="0"/>
              <w:spacing w:before="0" w:after="283"/>
              <w:jc w:val="left"/>
              <w:rPr/>
            </w:pPr>
            <w:r>
              <w:rPr/>
              <w:t xml:space="preserve">  </w:t>
            </w:r>
          </w:p>
        </w:tc>
        <w:tc>
          <w:tcPr>
            <w:tcW w:w="135" w:type="dxa"/>
            <w:tcBorders/>
            <w:vAlign w:val="center"/>
          </w:tcPr>
          <w:p>
            <w:pPr>
              <w:pStyle w:val="TableContents"/>
              <w:bidi w:val="0"/>
              <w:spacing w:before="0" w:after="283"/>
              <w:jc w:val="left"/>
              <w:rPr/>
            </w:pPr>
            <w:r>
              <w:rPr/>
              <w:t xml:space="preserve">  </w:t>
            </w:r>
          </w:p>
        </w:tc>
      </w:tr>
      <w:tr>
        <w:trPr/>
        <w:tc>
          <w:tcPr>
            <w:tcW w:w="3070" w:type="dxa"/>
            <w:gridSpan w:val="2"/>
            <w:tcBorders/>
            <w:vAlign w:val="center"/>
          </w:tcPr>
          <w:p>
            <w:pPr>
              <w:pStyle w:val="TableContents"/>
              <w:bidi w:val="0"/>
              <w:spacing w:before="0" w:after="283"/>
              <w:jc w:val="left"/>
              <w:rPr/>
            </w:pPr>
            <w:r>
              <w:rPr/>
              <w:t xml:space="preserve">  </w:t>
            </w:r>
          </w:p>
        </w:tc>
        <w:tc>
          <w:tcPr>
            <w:tcW w:w="135" w:type="dxa"/>
            <w:tcBorders/>
            <w:vAlign w:val="center"/>
          </w:tcPr>
          <w:p>
            <w:pPr>
              <w:pStyle w:val="TableContents"/>
              <w:bidi w:val="0"/>
              <w:spacing w:before="0" w:after="283"/>
              <w:jc w:val="left"/>
              <w:rPr/>
            </w:pPr>
            <w:r>
              <w:rPr/>
              <w:t xml:space="preserve">  </w:t>
            </w:r>
          </w:p>
        </w:tc>
      </w:tr>
      <w:tr>
        <w:trPr/>
        <w:tc>
          <w:tcPr>
            <w:tcW w:w="680" w:type="dxa"/>
            <w:tcBorders/>
            <w:vAlign w:val="center"/>
          </w:tcPr>
          <w:p>
            <w:pPr>
              <w:pStyle w:val="TableContents"/>
              <w:bidi w:val="0"/>
              <w:spacing w:before="0" w:after="283"/>
              <w:jc w:val="left"/>
              <w:rPr/>
            </w:pPr>
            <w:r>
              <w:rPr/>
              <w:t xml:space="preserve">*  By: </w:t>
            </w:r>
          </w:p>
        </w:tc>
        <w:tc>
          <w:tcPr>
            <w:tcW w:w="2390" w:type="dxa"/>
            <w:tcBorders>
              <w:bottom w:val="single" w:sz="8" w:space="0" w:color="000000"/>
            </w:tcBorders>
            <w:tcMar>
              <w:bottom w:w="28" w:type="dxa"/>
            </w:tcMar>
            <w:vAlign w:val="center"/>
          </w:tcPr>
          <w:p>
            <w:pPr>
              <w:pStyle w:val="TableContents"/>
              <w:bidi w:val="0"/>
              <w:spacing w:before="0" w:after="283"/>
              <w:jc w:val="left"/>
              <w:rPr/>
            </w:pPr>
            <w:r>
              <w:rPr/>
              <w:t xml:space="preserve">/s/ Ali Pervaiz </w:t>
            </w:r>
          </w:p>
        </w:tc>
        <w:tc>
          <w:tcPr>
            <w:tcW w:w="135" w:type="dxa"/>
            <w:tcBorders/>
            <w:vAlign w:val="center"/>
          </w:tcPr>
          <w:p>
            <w:pPr>
              <w:pStyle w:val="TableContents"/>
              <w:bidi w:val="0"/>
              <w:spacing w:before="0" w:after="283"/>
              <w:jc w:val="left"/>
              <w:rPr/>
            </w:pPr>
            <w:r>
              <w:rPr/>
              <w:t xml:space="preserve">  </w:t>
            </w:r>
          </w:p>
        </w:tc>
      </w:tr>
      <w:tr>
        <w:trPr/>
        <w:tc>
          <w:tcPr>
            <w:tcW w:w="680" w:type="dxa"/>
            <w:tcBorders/>
            <w:vAlign w:val="center"/>
          </w:tcPr>
          <w:p>
            <w:pPr>
              <w:pStyle w:val="TableContents"/>
              <w:bidi w:val="0"/>
              <w:spacing w:before="0" w:after="283"/>
              <w:jc w:val="left"/>
              <w:rPr/>
            </w:pPr>
            <w:r>
              <w:rPr/>
              <w:t xml:space="preserve">  </w:t>
            </w:r>
          </w:p>
        </w:tc>
        <w:tc>
          <w:tcPr>
            <w:tcW w:w="2390" w:type="dxa"/>
            <w:tcBorders/>
            <w:vAlign w:val="center"/>
          </w:tcPr>
          <w:p>
            <w:pPr>
              <w:pStyle w:val="TableContents"/>
              <w:bidi w:val="0"/>
              <w:spacing w:before="0" w:after="283"/>
              <w:jc w:val="left"/>
              <w:rPr/>
            </w:pPr>
            <w:r>
              <w:rPr/>
              <w:t xml:space="preserve">Name:  Ali Pervaiz </w:t>
            </w:r>
          </w:p>
        </w:tc>
        <w:tc>
          <w:tcPr>
            <w:tcW w:w="135" w:type="dxa"/>
            <w:tcBorders/>
            <w:vAlign w:val="center"/>
          </w:tcPr>
          <w:p>
            <w:pPr>
              <w:pStyle w:val="TableContents"/>
              <w:bidi w:val="0"/>
              <w:spacing w:before="0" w:after="283"/>
              <w:jc w:val="left"/>
              <w:rPr/>
            </w:pPr>
            <w:r>
              <w:rPr/>
              <w:t xml:space="preserve">  </w:t>
            </w:r>
          </w:p>
        </w:tc>
      </w:tr>
      <w:tr>
        <w:trPr/>
        <w:tc>
          <w:tcPr>
            <w:tcW w:w="680" w:type="dxa"/>
            <w:tcBorders/>
            <w:vAlign w:val="center"/>
          </w:tcPr>
          <w:p>
            <w:pPr>
              <w:pStyle w:val="TableContents"/>
              <w:bidi w:val="0"/>
              <w:spacing w:before="0" w:after="283"/>
              <w:jc w:val="left"/>
              <w:rPr/>
            </w:pPr>
            <w:r>
              <w:rPr/>
              <w:t xml:space="preserve">  </w:t>
            </w:r>
          </w:p>
        </w:tc>
        <w:tc>
          <w:tcPr>
            <w:tcW w:w="2390" w:type="dxa"/>
            <w:tcBorders/>
            <w:vAlign w:val="center"/>
          </w:tcPr>
          <w:p>
            <w:pPr>
              <w:pStyle w:val="TableContents"/>
              <w:bidi w:val="0"/>
              <w:spacing w:before="0" w:after="283"/>
              <w:jc w:val="left"/>
              <w:rPr/>
            </w:pPr>
            <w:r>
              <w:rPr/>
              <w:t xml:space="preserve">Title:    Attorney-in-Fact </w:t>
            </w:r>
          </w:p>
        </w:tc>
        <w:tc>
          <w:tcPr>
            <w:tcW w:w="135" w:type="dxa"/>
            <w:tcBorders/>
            <w:vAlign w:val="center"/>
          </w:tcPr>
          <w:p>
            <w:pPr>
              <w:pStyle w:val="TableContents"/>
              <w:bidi w:val="0"/>
              <w:spacing w:before="0" w:after="283"/>
              <w:jc w:val="left"/>
              <w:rPr/>
            </w:pPr>
            <w:r>
              <w:rPr/>
              <w:t xml:space="preserve">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15" w:name="dp252515_ex2301.htm"/>
      <w:bookmarkStart w:id="16" w:name="ksdp252515_ex2301"/>
      <w:bookmarkEnd w:id="15"/>
      <w:bookmarkEnd w:id="1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issued our reports dated August 27, 2026, with respect to the consolidated financial statements and internal control over financial reporting of Accuray Incorporated included in the Annual Report on Form 10-K for the year ended June 30, 2026, which are incorporated by reference in this Registration Statement</w:t>
      </w:r>
      <w:r>
        <w:rPr>
          <w:rFonts w:ascii="Times New Roman;Times;Serif" w:hAnsi="Times New Roman;Times;Serif"/>
          <w:b w:val="false"/>
          <w:i w:val="false"/>
          <w:caps w:val="false"/>
          <w:smallCaps w:val="false"/>
          <w:color w:val="7030A0"/>
          <w:sz w:val="20"/>
        </w:rPr>
        <w:t xml:space="preserve">. </w:t>
      </w:r>
      <w:r>
        <w:rPr>
          <w:rFonts w:ascii="Times New Roman;Times;Serif" w:hAnsi="Times New Roman;Times;Serif"/>
          <w:b w:val="false"/>
          <w:i w:val="false"/>
          <w:caps w:val="false"/>
          <w:smallCaps w:val="false"/>
          <w:sz w:val="20"/>
        </w:rPr>
        <w:t>We consent to the incorporation by reference of the aforementioned reports in this Registration Statement</w:t>
      </w:r>
      <w:r>
        <w:rPr>
          <w:rFonts w:ascii="Times New Roman;Times;Serif" w:hAnsi="Times New Roman;Times;Serif"/>
          <w:b w:val="false"/>
          <w:i w:val="false"/>
          <w:caps w:val="false"/>
          <w:smallCaps w:val="false"/>
          <w:color w:val="7030A0"/>
          <w:sz w:val="20"/>
        </w:rPr>
        <w:t xml:space="preserve">, </w:t>
      </w:r>
      <w:r>
        <w:rPr>
          <w:rFonts w:ascii="Times New Roman;Times;Serif" w:hAnsi="Times New Roman;Times;Serif"/>
          <w:b w:val="false"/>
          <w:i w:val="false"/>
          <w:caps w:val="false"/>
          <w:smallCaps w:val="false"/>
          <w:sz w:val="20"/>
        </w:rPr>
        <w:t>and to the use of our name as it appears under the caption “Experts”.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Grant Thornton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Jose, California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138723/000143774926029098/aray20260630_10k.htm" TargetMode="External"/><Relationship Id="rId3" Type="http://schemas.openxmlformats.org/officeDocument/2006/relationships/hyperlink" Target="https://www.sec.gov/ix?doc=/Archives/edgar/data/1138723/000143774926024904/aray20260729_8k.htm" TargetMode="External"/><Relationship Id="rId4" Type="http://schemas.openxmlformats.org/officeDocument/2006/relationships/hyperlink" Target="https://www.sec.gov/ix?doc=/Archives/edgar/data/0001138723/000143774926026250/aray20260805_8k.htm" TargetMode="External"/><Relationship Id="rId5" Type="http://schemas.openxmlformats.org/officeDocument/2006/relationships/hyperlink" Target="https://www.sec.gov/Archives/edgar/data/1138723/000110465907007766/a07-3619_18a12b.htm" TargetMode="External"/><Relationship Id="rId6" Type="http://schemas.openxmlformats.org/officeDocument/2006/relationships/hyperlink" Target="https://www.sec.gov/Archives/edgar/data/0001138723/000110465913008045/a13-4521_1ex3d1.htm" TargetMode="External"/><Relationship Id="rId7" Type="http://schemas.openxmlformats.org/officeDocument/2006/relationships/hyperlink" Target="https://www.sec.gov/Archives/edgar/data/1138723/000095017023048984/aray-ex3_1.htm" TargetMode="External"/><Relationship Id="rId8" Type="http://schemas.openxmlformats.org/officeDocument/2006/relationships/hyperlink" Target="https://www.sec.gov/Archives/edgar/data/0001138723/000095010317007705/dp79278_ex401.htm" TargetMode="External"/><Relationship Id="rId9" Type="http://schemas.openxmlformats.org/officeDocument/2006/relationships/hyperlink" Target="https://www.sec.gov/Archives/edgar/data/0001138723/000104746907000633/a2175815zex-4_3.htm" TargetMode="External"/><Relationship Id="rId10" Type="http://schemas.openxmlformats.org/officeDocument/2006/relationships/hyperlink" Target="https://www.sec.gov/Archives/edgar/data/0001138723/000110465917071686/a17-27881_1ex4d1.htm" TargetMode="External"/><Relationship Id="rId11" Type="http://schemas.openxmlformats.org/officeDocument/2006/relationships/hyperlink" Target="https://www.sec.gov/Archives/edgar/data/1138723/000119312521165422/d131245dex41.htm" TargetMode="External"/><Relationship Id="rId12" Type="http://schemas.openxmlformats.org/officeDocument/2006/relationships/hyperlink" Target="https://www.sec.gov/Archives/edgar/data/1138723/000119312521165422/d131245dex41.htm" TargetMode="External"/><Relationship Id="rId13" Type="http://schemas.openxmlformats.org/officeDocument/2006/relationships/hyperlink" Target="https://www.sec.gov/Archives/edgar/data/1138723/000095017023047052/aray-ex4_7.htm" TargetMode="External"/><Relationship Id="rId14" Type="http://schemas.openxmlformats.org/officeDocument/2006/relationships/hyperlink" Target="https://www.sec.gov/Archives/edgar/data/1138723/000095010325007090/dp229846_ex0401.htm" TargetMode="External"/><Relationship Id="rId15" Type="http://schemas.openxmlformats.org/officeDocument/2006/relationships/hyperlink" Target="https://www.sec.gov/Archives/edgar/data/1138723/000095010325007090/dp229846_ex0402.htm" TargetMode="External"/><Relationship Id="rId16" Type="http://schemas.openxmlformats.org/officeDocument/2006/relationships/hyperlink" Target="https://www.sec.gov/Archives/edgar/data/1138723/000143774926004221/ex_912166.htm" TargetMode="External"/><Relationship Id="rId17" Type="http://schemas.openxmlformats.org/officeDocument/2006/relationships/hyperlink" Target="https://www.sec.gov/Archives/edgar/data/1138723/000143774926004221/ex_912172.htm" TargetMode="External"/><Relationship Id="rId18" Type="http://schemas.openxmlformats.org/officeDocument/2006/relationships/hyperlink" Target="https://www.sec.gov/Archives/edgar/data/1138723/000143774926004221/ex_912173.htm" TargetMode="External"/><Relationship Id="rId19" Type="http://schemas.openxmlformats.org/officeDocument/2006/relationships/hyperlink" Target="https://www.sec.gov/Archives/edgar/data/1138723/000143774926024904/ex_995021.htm" TargetMode="External"/><Relationship Id="rId20" Type="http://schemas.openxmlformats.org/officeDocument/2006/relationships/hyperlink" Target="https://www.sec.gov/Archives/edgar/data/1138723/000095010326011529/dp250755_ex0501.htm" TargetMode="External"/><Relationship Id="rId21" Type="http://schemas.openxmlformats.org/officeDocument/2006/relationships/hyperlink" Target="https://www.sec.gov/Archives/edgar/data/1138723/000095010325007090/dp229846_ex1002.htm" TargetMode="External"/><Relationship Id="rId22" Type="http://schemas.openxmlformats.org/officeDocument/2006/relationships/hyperlink" Target="https://www.sec.gov/Archives/edgar/data/1138723/000119312525191242/aray-ex10_34.htm" TargetMode="External"/><Relationship Id="rId23" Type="http://schemas.openxmlformats.org/officeDocument/2006/relationships/hyperlink" Target="https://www.sec.gov/Archives/edgar/data/1138723/000143774926004221/ex_912174.htm" TargetMode="External"/><Relationship Id="rId24" Type="http://schemas.openxmlformats.org/officeDocument/2006/relationships/hyperlink" Target="https://www.sec.gov/Archives/edgar/data/1138723/000143774926004221/ex_912350.htm" TargetMode="External"/><Relationship Id="rId25" Type="http://schemas.openxmlformats.org/officeDocument/2006/relationships/hyperlink" Target="https://www.sec.gov/Archives/edgar/data/1138723/000143774926024904/ex_995040.htm" TargetMode="External"/><Relationship Id="rId26" Type="http://schemas.openxmlformats.org/officeDocument/2006/relationships/hyperlink" Target="https://www.sec.gov/Archives/edgar/data/1138723/000095010326011529/dp250755_ex0501.htm" TargetMode="External"/><Relationship Id="rId27" Type="http://schemas.openxmlformats.org/officeDocument/2006/relationships/hyperlink" Target="https://www.sec.gov/ix?doc=/Archives/edgar/data/1138723/000095010326011529/dp250755_exfilingfees.htm"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14332</Words>
  <Characters>75756</Characters>
  <CharactersWithSpaces>90227</CharactersWithSpaces>
  <Paragraphs>993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