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ACCURAY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Neuberger Berman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4,147,172.00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5,484,393.00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5,484,393.00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Neuberger Berman Investment Advisers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3,719,997.00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5,057,218.00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5,057,218.00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ACCURAY INC</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1240 Deming Way , Madison, WI, 53717.</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Neuberger Berman Group LLC Neuberger Berman Investment Advisers LLC</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1290 Avenue of the Americas New York, NY 10104</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(g)</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(h)</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(j)</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(k)</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9041"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5,484,393 Neuberger Berman Trust Co N.A., Neuberger Berman Trust Co of Delaware N.A., Neuberger Berman Asia Ltd., Neuberger Berman Canada ULC,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Investment Advisers Holdings LLC and Neuberger Trust Holdings LLC controls Neuberger Berman Trust Co N.A., Neuberger Berman Asia Ltd., Neuberger Berman Canada ULC, Neuberger Berman Trust Co of Delaware N.A. and Neuberger Berman Investment Advisers LLC and certain affiliated persons. This report is not an admission that any of these entities are the beneficial owner of the securities covered by this report and each of Neuberger Berman Group LLC, Neuberger Berman Investment Advisers Holdings LLC, Neuberger Trust Holdings LLC, Neuberger Berman Trust Co N.A., Neuberger Berman Asia Ltd., Neuberger Berman Canada ULC, Neuberger Berman Trust Co of Delaware N.A. and Neuberger Berman Investment Advisers LLC and certain affiliated persons disclaim beneficial ownership of the securities covered by this statement pursuant to Exchange Act Rule 13d-4. The information in this filing reports securities of the issuer that may be deemed to be beneficially owned by Neuberger Berman Group LLC, Neuberger Berman Investment Advisers Holdings LLC, Neuberger Trust Holdings LLC, Neuberger Berman Trust Co N.A., Neuberger Berman Asia Ltd., Neuberger Berman Canada ULC, Neuberger Berman Trust Co of Delaware N.A. and Neuberger Berman Investment Advisers LLC ("NBG Filers"). The securities of the issuer, if any, that may be deemed to be beneficially owned by NB Alternatives Advisers LLC and other subsidiaries of Neuberger Berman Group LLC that are separated from the NBG Filers by an information barrier in accordance with SEC Release No. 34-39538 (January 12, 1998) are not reflected in this filing.</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4.6%  %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4,147,172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5,484,393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8.</w:t>
            </w:r>
          </w:p>
        </w:tc>
        <w:tc>
          <w:tcPr>
            <w:tcW w:w="888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9.</w:t>
            </w:r>
          </w:p>
        </w:tc>
        <w:tc>
          <w:tcPr>
            <w:tcW w:w="888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Neuberger Berman Group LLC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 xml:space="preserve">Brad Cetron </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Brad Cetron / Managing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tbl>
      <w:tblPr>
        <w:tblW w:w="9324" w:type="dxa"/>
        <w:jc w:val="left"/>
        <w:tblInd w:w="0" w:type="dxa"/>
        <w:tblLayout w:type="fixed"/>
        <w:tblCellMar>
          <w:top w:w="28" w:type="dxa"/>
          <w:left w:w="28" w:type="dxa"/>
          <w:bottom w:w="28" w:type="dxa"/>
          <w:right w:w="28" w:type="dxa"/>
        </w:tblCellMar>
      </w:tblPr>
      <w:tblGrid>
        <w:gridCol w:w="4662"/>
        <w:gridCol w:w="4662"/>
      </w:tblGrid>
      <w:tr>
        <w:trPr/>
        <w:tc>
          <w:tcPr>
            <w:tcW w:w="4662" w:type="dxa"/>
            <w:tcBorders/>
            <w:vAlign w:val="center"/>
          </w:tcPr>
          <w:p>
            <w:pPr>
              <w:pStyle w:val="TableContents"/>
              <w:bidi w:val="0"/>
              <w:spacing w:before="0" w:after="0"/>
              <w:jc w:val="left"/>
              <w:rPr/>
            </w:pPr>
            <w:r>
              <w:rPr/>
              <w:t> </w:t>
            </w:r>
          </w:p>
          <w:tbl>
            <w:tblPr>
              <w:tblW w:w="4501" w:type="dxa"/>
              <w:jc w:val="left"/>
              <w:tblInd w:w="0" w:type="dxa"/>
              <w:tblLayout w:type="fixed"/>
              <w:tblCellMar>
                <w:top w:w="28" w:type="dxa"/>
                <w:left w:w="28" w:type="dxa"/>
                <w:bottom w:w="28" w:type="dxa"/>
                <w:right w:w="28" w:type="dxa"/>
              </w:tblCellMar>
            </w:tblPr>
            <w:tblGrid>
              <w:gridCol w:w="4501"/>
            </w:tblGrid>
            <w:tr>
              <w:trPr/>
              <w:tc>
                <w:tcPr>
                  <w:tcW w:w="4501" w:type="dxa"/>
                  <w:tcBorders/>
                  <w:vAlign w:val="center"/>
                </w:tcPr>
                <w:p>
                  <w:pPr>
                    <w:pStyle w:val="TableContents"/>
                    <w:bidi w:val="0"/>
                    <w:spacing w:before="0" w:after="0"/>
                    <w:jc w:val="left"/>
                    <w:rPr/>
                  </w:pPr>
                  <w:r>
                    <w:rPr/>
                    <w:t>Neuberger Berman Investment Advisers LLC</w:t>
                  </w:r>
                </w:p>
              </w:tc>
            </w:tr>
          </w:tbl>
          <w:p>
            <w:pPr>
              <w:pStyle w:val="TableContents"/>
              <w:bidi w:val="0"/>
              <w:spacing w:before="0" w:after="283"/>
              <w:jc w:val="left"/>
              <w:rPr/>
            </w:pPr>
            <w:r>
              <w:rPr/>
            </w:r>
          </w:p>
        </w:tc>
        <w:tc>
          <w:tcPr>
            <w:tcW w:w="46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 xml:space="preserve">Brad Cetron </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Brad Cetron / Managing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1171</Words>
  <Characters>6186</Characters>
  <CharactersWithSpaces>7336</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