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713740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730885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5" w:lineRule="exact"/>
        <w:rPr>
          <w:sz w:val="24"/>
          <w:szCs w:val="24"/>
          <w:color w:val="auto"/>
        </w:rPr>
      </w:pPr>
    </w:p>
    <w:p>
      <w:pPr>
        <w:ind w:left="480" w:right="280" w:hanging="459"/>
        <w:spacing w:after="0" w:line="261" w:lineRule="auto"/>
        <w:tabs>
          <w:tab w:leader="none" w:pos="4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4" w:lineRule="exact"/>
        <w:rPr>
          <w:sz w:val="24"/>
          <w:szCs w:val="24"/>
          <w:color w:val="auto"/>
        </w:rPr>
      </w:pPr>
    </w:p>
    <w:p>
      <w:pPr>
        <w:ind w:left="480" w:right="260" w:hanging="459"/>
        <w:spacing w:after="0" w:line="261" w:lineRule="auto"/>
        <w:tabs>
          <w:tab w:leader="none" w:pos="4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9"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ACCURAY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tbl>
      <w:tblPr>
        <w:tblLayout w:type="fixed"/>
        <w:tblInd w:w="1820" w:type="dxa"/>
        <w:tblCellMar>
          <w:top w:w="0" w:type="dxa"/>
          <w:left w:w="0" w:type="dxa"/>
          <w:bottom w:w="0" w:type="dxa"/>
          <w:right w:w="0" w:type="dxa"/>
        </w:tblCellMar>
      </w:tblPr>
      <w:tr>
        <w:trPr>
          <w:trHeight w:val="23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8"/>
                <w:szCs w:val="18"/>
                <w:b w:val="1"/>
                <w:bCs w:val="1"/>
                <w:color w:val="auto"/>
                <w:w w:val="98"/>
              </w:rPr>
              <w:t>20-8370041</w:t>
            </w:r>
          </w:p>
        </w:tc>
      </w:tr>
      <w:tr>
        <w:trPr>
          <w:trHeight w:val="151"/>
        </w:trPr>
        <w:tc>
          <w:tcPr>
            <w:tcW w:w="4000" w:type="dxa"/>
            <w:vAlign w:val="bottom"/>
          </w:tcPr>
          <w:p>
            <w:pPr>
              <w:jc w:val="center"/>
              <w:ind w:right="20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202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(608) 824-2800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3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2"/>
        </w:trPr>
        <w:tc>
          <w:tcPr>
            <w:tcW w:w="3940" w:type="dxa"/>
            <w:vAlign w:val="bottom"/>
            <w:tcBorders>
              <w:left w:val="single" w:sz="8" w:color="auto"/>
              <w:bottom w:val="single" w:sz="8" w:color="auto"/>
              <w:right w:val="single" w:sz="8" w:color="auto"/>
            </w:tcBorders>
          </w:tcPr>
          <w:p>
            <w:pPr>
              <w:spacing w:after="0"/>
              <w:rPr>
                <w:sz w:val="5"/>
                <w:szCs w:val="5"/>
                <w:color w:val="auto"/>
              </w:rPr>
            </w:pPr>
          </w:p>
        </w:tc>
        <w:tc>
          <w:tcPr>
            <w:tcW w:w="338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14"/>
        </w:trPr>
        <w:tc>
          <w:tcPr>
            <w:tcW w:w="3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ARAY</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6"/>
        </w:trPr>
        <w:tc>
          <w:tcPr>
            <w:tcW w:w="3940" w:type="dxa"/>
            <w:vAlign w:val="bottom"/>
            <w:tcBorders>
              <w:left w:val="single" w:sz="8" w:color="auto"/>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r>
    </w:tbl>
    <w:p>
      <w:pPr>
        <w:spacing w:after="0" w:line="103" w:lineRule="exact"/>
        <w:rPr>
          <w:sz w:val="24"/>
          <w:szCs w:val="24"/>
          <w:color w:val="auto"/>
        </w:rPr>
      </w:pPr>
    </w:p>
    <w:p>
      <w:pPr>
        <w:ind w:right="6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5"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80" w:firstLine="25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8" w:lineRule="exact"/>
        <w:rPr>
          <w:sz w:val="24"/>
          <w:szCs w:val="24"/>
          <w:color w:val="auto"/>
        </w:rPr>
      </w:pPr>
    </w:p>
    <w:p>
      <w:pPr>
        <w:ind w:right="26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260" w:right="1620"/>
        <w:spacing w:after="0" w:line="30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As of February 1, 2024, there were 99,168,765 shares of the Registrant’s Common Stock, par value $0.001 per share, outstanding.</w:t>
      </w:r>
    </w:p>
    <w:p>
      <w:pPr>
        <w:jc w:val="center"/>
        <w:spacing w:after="0" w:line="223"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00" w:type="dxa"/>
            <w:vAlign w:val="bottom"/>
          </w:tcPr>
          <w:p>
            <w:pPr>
              <w:spacing w:after="0"/>
              <w:rPr>
                <w:sz w:val="24"/>
                <w:szCs w:val="24"/>
                <w:color w:val="auto"/>
              </w:rPr>
            </w:pPr>
          </w:p>
        </w:tc>
      </w:tr>
      <w:tr>
        <w:trPr>
          <w:trHeight w:val="35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4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Financial Statements</w:t>
            </w:r>
          </w:p>
        </w:tc>
        <w:tc>
          <w:tcPr>
            <w:tcW w:w="538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December 31, 2023 and June 30,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Income (Loss) for the three and six months</w:t>
            </w:r>
          </w:p>
        </w:tc>
        <w:tc>
          <w:tcPr>
            <w:tcW w:w="4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9"/>
              </w:rPr>
              <w:t>ended December 31, 2023 and 2022</w:t>
            </w:r>
          </w:p>
        </w:tc>
        <w:tc>
          <w:tcPr>
            <w:tcW w:w="6700" w:type="dxa"/>
            <w:vAlign w:val="bottom"/>
            <w:gridSpan w:val="10"/>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six months ended December 31, 2023 and</w:t>
            </w: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0000FF"/>
                <w:w w:val="94"/>
              </w:rPr>
              <w:t>2022</w:t>
            </w: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December 31, 2023 and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04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08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76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8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24"/>
                <w:szCs w:val="24"/>
                <w:color w:val="auto"/>
              </w:rPr>
            </w:pPr>
          </w:p>
        </w:tc>
        <w:tc>
          <w:tcPr>
            <w:tcW w:w="518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776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71"/>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20" w:type="dxa"/>
            <w:vAlign w:val="bottom"/>
            <w:tcBorders>
              <w:bottom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38" w:lineRule="exact"/>
        <w:rPr>
          <w:sz w:val="20"/>
          <w:szCs w:val="20"/>
          <w:color w:val="auto"/>
        </w:rPr>
      </w:pPr>
    </w:p>
    <w:p>
      <w:pPr>
        <w:ind w:right="200" w:firstLine="255"/>
        <w:spacing w:after="0" w:line="220" w:lineRule="exact"/>
        <w:rPr>
          <w:sz w:val="20"/>
          <w:szCs w:val="20"/>
          <w:color w:val="auto"/>
        </w:rPr>
      </w:pPr>
      <w:r>
        <w:rPr>
          <w:rFonts w:ascii="Times New Roman" w:cs="Times New Roman" w:eastAsia="Times New Roman" w:hAnsi="Times New Roman"/>
          <w:sz w:val="18"/>
          <w:szCs w:val="18"/>
          <w:color w:val="auto"/>
        </w:rPr>
        <w:t>We own or have rights to various trademarks and tradenames used in our business in the United States or other countries, including the following: Accuray®, Accuray Logo®, CyberKnife®, Hi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RoboCouch®, Synchrony®, TomoTherapy®, Xsight®, Accuray Precision®, AutoSegmentation™, CTrue™, H™ Series, iDMS®, InCise™, Iris™, CyberKnife M6™ Series, Accuray OIS Connect™, PreciseART®, PreciseRTX®, Treatment Planning System™, TomoDirect™, TomoEDGE™, TomoH®, TomoHD®, TomoHDA™, TomoHelical™, TomoTherapy Quality Assurance™, Radixact®, Onrad ™, S7™, and VoLO™.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 and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89,402</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$2,866 and $3,079 as of December 31,</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and June 30, 2023, respectively (a)</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74,777</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 (b)</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cost of revenue</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r>
      <w:tr>
        <w:trPr>
          <w:trHeight w:val="23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331,170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338,033</w:t>
            </w: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100" w:type="dxa"/>
            <w:vAlign w:val="bottom"/>
          </w:tcPr>
          <w:p>
            <w:pPr>
              <w:spacing w:after="0"/>
              <w:rPr>
                <w:sz w:val="21"/>
                <w:szCs w:val="21"/>
                <w:color w:val="auto"/>
              </w:rPr>
            </w:pPr>
          </w:p>
        </w:tc>
      </w:tr>
      <w:tr>
        <w:trPr>
          <w:trHeight w:val="276"/>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476,350</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23,793</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advances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72,185</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1"/>
                <w:szCs w:val="21"/>
                <w:color w:val="auto"/>
              </w:rPr>
            </w:pPr>
          </w:p>
        </w:tc>
      </w:tr>
      <w:tr>
        <w:trPr>
          <w:trHeight w:val="23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209,306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198,637</w:t>
            </w: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other liabilities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171,562</w:t>
            </w:r>
          </w:p>
        </w:tc>
        <w:tc>
          <w:tcPr>
            <w:tcW w:w="100" w:type="dxa"/>
            <w:vAlign w:val="bottom"/>
          </w:tcPr>
          <w:p>
            <w:pPr>
              <w:spacing w:after="0"/>
              <w:rPr>
                <w:sz w:val="21"/>
                <w:szCs w:val="21"/>
                <w:color w:val="auto"/>
              </w:rPr>
            </w:pPr>
          </w:p>
        </w:tc>
      </w:tr>
      <w:tr>
        <w:trPr>
          <w:trHeight w:val="236"/>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428,697</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authorized: 200,000,000 shares as of December 31, 2023, and</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30, 2023, respectively; issued and outstanding: 99,163,920 and 96,534,609 shares at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and June 30, 2023, respectively</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561,223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555,276</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(514,726 )</w:t>
            </w:r>
          </w:p>
        </w:tc>
        <w:tc>
          <w:tcPr>
            <w:tcW w:w="3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(502,136 )</w:t>
            </w:r>
          </w:p>
        </w:tc>
      </w:tr>
      <w:tr>
        <w:trPr>
          <w:trHeight w:val="236"/>
        </w:trPr>
        <w:tc>
          <w:tcPr>
            <w:tcW w:w="7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tcBorders>
              <w:top w:val="single" w:sz="8" w:color="CFF0FC"/>
            </w:tcBorders>
          </w:tcPr>
          <w:p>
            <w:pPr>
              <w:spacing w:after="0"/>
              <w:rPr>
                <w:sz w:val="20"/>
                <w:szCs w:val="20"/>
                <w:color w:val="auto"/>
              </w:rPr>
            </w:pPr>
          </w:p>
        </w:tc>
      </w:tr>
      <w:tr>
        <w:trPr>
          <w:trHeight w:val="272"/>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476,350</w:t>
            </w:r>
          </w:p>
        </w:tc>
        <w:tc>
          <w:tcPr>
            <w:tcW w:w="3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479,214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-4066540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-4049395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-4066540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-1557655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-350520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accounts receivable from the joint venture, an equity method investment, of $19,893 and $10,304 at December 31, 2023, and June 30, 2023, respectively. See Note 13.</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receivables from the joint venture, an equity method investment, of $67 and $100 at December 31, 2023, and June 30, 2023, respectively.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 (a)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34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63,269</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104,888</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107,892</w:t>
            </w:r>
          </w:p>
        </w:tc>
        <w:tc>
          <w:tcPr>
            <w:tcW w:w="100" w:type="dxa"/>
            <w:vAlign w:val="bottom"/>
          </w:tcPr>
          <w:p>
            <w:pPr>
              <w:spacing w:after="0"/>
              <w:rPr>
                <w:sz w:val="20"/>
                <w:szCs w:val="20"/>
                <w:color w:val="auto"/>
              </w:rPr>
            </w:pPr>
          </w:p>
        </w:tc>
      </w:tr>
      <w:tr>
        <w:trPr>
          <w:trHeight w:val="243"/>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(b)</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55,700</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51,491</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106,242</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114,760</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211,253</w:t>
            </w:r>
          </w:p>
        </w:tc>
        <w:tc>
          <w:tcPr>
            <w:tcW w:w="100" w:type="dxa"/>
            <w:vAlign w:val="bottom"/>
          </w:tcPr>
          <w:p>
            <w:pPr>
              <w:spacing w:after="0"/>
              <w:rPr>
                <w:sz w:val="20"/>
                <w:szCs w:val="20"/>
                <w:color w:val="auto"/>
              </w:rPr>
            </w:pPr>
          </w:p>
        </w:tc>
      </w:tr>
      <w:tr>
        <w:trPr>
          <w:trHeight w:val="24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70,032</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68,098</w:t>
            </w:r>
          </w:p>
        </w:tc>
        <w:tc>
          <w:tcPr>
            <w:tcW w:w="100" w:type="dxa"/>
            <w:vAlign w:val="bottom"/>
          </w:tcPr>
          <w:p>
            <w:pPr>
              <w:spacing w:after="0"/>
              <w:rPr>
                <w:sz w:val="20"/>
                <w:szCs w:val="20"/>
                <w:color w:val="auto"/>
              </w:rPr>
            </w:pPr>
          </w:p>
        </w:tc>
      </w:tr>
      <w:tr>
        <w:trPr>
          <w:trHeight w:val="243"/>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37,003</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65,703</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cost of revenue </w:t>
            </w:r>
            <w:r>
              <w:rPr>
                <w:rFonts w:ascii="Times New Roman" w:cs="Times New Roman" w:eastAsia="Times New Roman" w:hAnsi="Times New Roman"/>
                <w:sz w:val="16"/>
                <w:szCs w:val="16"/>
                <w:color w:val="auto"/>
              </w:rPr>
              <w:t>(c)</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71,336</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71,793</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135,735</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133,689</w:t>
            </w:r>
          </w:p>
        </w:tc>
        <w:tc>
          <w:tcPr>
            <w:tcW w:w="100" w:type="dxa"/>
            <w:vAlign w:val="bottom"/>
          </w:tcPr>
          <w:p>
            <w:pPr>
              <w:spacing w:after="0"/>
              <w:rPr>
                <w:sz w:val="20"/>
                <w:szCs w:val="20"/>
                <w:color w:val="auto"/>
              </w:rPr>
            </w:pPr>
          </w:p>
        </w:tc>
      </w:tr>
      <w:tr>
        <w:trPr>
          <w:trHeight w:val="24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42,967</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75,395</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77,564</w:t>
            </w:r>
          </w:p>
        </w:tc>
        <w:tc>
          <w:tcPr>
            <w:tcW w:w="100" w:type="dxa"/>
            <w:vAlign w:val="bottom"/>
            <w:shd w:val="clear" w:color="auto" w:fill="CFF0FC"/>
          </w:tcPr>
          <w:p>
            <w:pPr>
              <w:spacing w:after="0"/>
              <w:rPr>
                <w:sz w:val="20"/>
                <w:szCs w:val="20"/>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6"/>
                <w:szCs w:val="16"/>
                <w:color w:val="auto"/>
              </w:rPr>
              <w:t>(d)</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00" w:type="dxa"/>
            <w:vAlign w:val="bottom"/>
          </w:tcPr>
          <w:p>
            <w:pPr>
              <w:spacing w:after="0"/>
              <w:rPr>
                <w:sz w:val="20"/>
                <w:szCs w:val="20"/>
                <w:color w:val="auto"/>
              </w:rPr>
            </w:pPr>
          </w:p>
        </w:tc>
      </w:tr>
      <w:tr>
        <w:trPr>
          <w:trHeight w:val="243"/>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77,041</w:t>
            </w:r>
          </w:p>
        </w:tc>
        <w:tc>
          <w:tcPr>
            <w:tcW w:w="100" w:type="dxa"/>
            <w:vAlign w:val="bottom"/>
          </w:tcPr>
          <w:p>
            <w:pPr>
              <w:spacing w:after="0"/>
              <w:rPr>
                <w:sz w:val="20"/>
                <w:szCs w:val="20"/>
                <w:color w:val="auto"/>
              </w:rPr>
            </w:pPr>
          </w:p>
        </w:tc>
      </w:tr>
      <w:tr>
        <w:trPr>
          <w:trHeight w:val="24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(3,964 )</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(1,751 )</w:t>
            </w: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20"/>
                <w:szCs w:val="20"/>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equity method investment, net</w:t>
            </w:r>
          </w:p>
        </w:tc>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(427 )</w:t>
            </w:r>
          </w:p>
        </w:tc>
        <w:tc>
          <w:tcPr>
            <w:tcW w:w="5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(1,067 )</w:t>
            </w:r>
          </w:p>
        </w:tc>
      </w:tr>
      <w:tr>
        <w:trPr>
          <w:trHeight w:val="243"/>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(4,352 )</w:t>
            </w:r>
          </w:p>
        </w:tc>
        <w:tc>
          <w:tcPr>
            <w:tcW w:w="5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(2,831 )</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(8,033 )</w:t>
            </w:r>
          </w:p>
        </w:tc>
        <w:tc>
          <w:tcPr>
            <w:tcW w:w="4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(5,389 )</w:t>
            </w:r>
          </w:p>
        </w:tc>
      </w:tr>
      <w:tr>
        <w:trPr>
          <w:trHeight w:val="20"/>
        </w:trPr>
        <w:tc>
          <w:tcPr>
            <w:tcW w:w="45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(8,743 )</w:t>
            </w:r>
          </w:p>
        </w:tc>
        <w:tc>
          <w:tcPr>
            <w:tcW w:w="5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(825 )</w:t>
            </w:r>
          </w:p>
        </w:tc>
        <w:tc>
          <w:tcPr>
            <w:tcW w:w="3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(9,780 )</w:t>
            </w: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(5,933 )</w:t>
            </w:r>
          </w:p>
        </w:tc>
      </w:tr>
      <w:tr>
        <w:trPr>
          <w:trHeight w:val="243"/>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(9,621 )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(12,590 )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(7,323 )</w:t>
            </w:r>
          </w:p>
        </w:tc>
      </w:tr>
      <w:tr>
        <w:trPr>
          <w:trHeight w:val="20"/>
        </w:trPr>
        <w:tc>
          <w:tcPr>
            <w:tcW w:w="4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(0.10 )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(0.02 )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(0.13 )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196"/>
        </w:trPr>
        <w:tc>
          <w:tcPr>
            <w:tcW w:w="452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 average common shares used in computing net</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1"/>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97,776</w:t>
            </w:r>
          </w:p>
        </w:tc>
        <w:tc>
          <w:tcPr>
            <w:tcW w:w="3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94,567</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(9,621 )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(1,874 )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(12,590 )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(7,323 )</w:t>
            </w: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(865 )</w:t>
            </w:r>
          </w:p>
        </w:tc>
      </w:tr>
      <w:tr>
        <w:trPr>
          <w:trHeight w:val="20"/>
        </w:trPr>
        <w:tc>
          <w:tcPr>
            <w:tcW w:w="4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(6,848 )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(11,955 )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(8,188 )</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-4015105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-4015105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-4015105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-4015105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-3381375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-3381375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-3381375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-3381375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-2439670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-2439670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-2439670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-1805940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-1805940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-1805940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-1489075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-1489075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-1489075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-1146810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-1129665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-1146810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-1129665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-1146810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-1129665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-675640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-658495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-675640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-658495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-675640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-658495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380" w:right="180" w:hanging="372"/>
        <w:spacing w:after="0" w:line="258"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$17,890 and $39,842 during the three and six months ended December 31, 2023 and $16,715 and $25,584 during the three and six months ended December 31, 2022, respectively. See Note 13.</w:t>
      </w:r>
    </w:p>
    <w:p>
      <w:pPr>
        <w:spacing w:after="0" w:line="58" w:lineRule="exact"/>
        <w:rPr>
          <w:rFonts w:ascii="Times New Roman" w:cs="Times New Roman" w:eastAsia="Times New Roman" w:hAnsi="Times New Roman"/>
          <w:sz w:val="14"/>
          <w:szCs w:val="14"/>
          <w:color w:val="auto"/>
        </w:rPr>
      </w:pPr>
    </w:p>
    <w:p>
      <w:pPr>
        <w:ind w:left="380" w:right="80" w:hanging="372"/>
        <w:spacing w:after="0" w:line="258"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$4,134 and $6,988 during the three and six months ended December 31, 2023 and $2,494 and $5,451 during the three and six months ended December 31, 2022, respectively. See Note 13.</w:t>
      </w:r>
    </w:p>
    <w:p>
      <w:pPr>
        <w:spacing w:after="0" w:line="58" w:lineRule="exact"/>
        <w:rPr>
          <w:rFonts w:ascii="Times New Roman" w:cs="Times New Roman" w:eastAsia="Times New Roman" w:hAnsi="Times New Roman"/>
          <w:sz w:val="14"/>
          <w:szCs w:val="14"/>
          <w:color w:val="auto"/>
        </w:rPr>
      </w:pPr>
    </w:p>
    <w:p>
      <w:pPr>
        <w:ind w:left="380" w:right="220" w:hanging="372"/>
        <w:spacing w:after="0" w:line="258"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revenue from sales to the joint venture, an equity method investment, of $11,102 and $26,373 during the three and six months ended December 31, 2023 and $9,916 and $15,823 during the three and six months ended December 31, 2022. respectively.</w:t>
      </w:r>
    </w:p>
    <w:p>
      <w:pPr>
        <w:spacing w:after="0" w:line="58" w:lineRule="exact"/>
        <w:rPr>
          <w:rFonts w:ascii="Times New Roman" w:cs="Times New Roman" w:eastAsia="Times New Roman" w:hAnsi="Times New Roman"/>
          <w:sz w:val="14"/>
          <w:szCs w:val="14"/>
          <w:color w:val="auto"/>
        </w:rPr>
      </w:pPr>
    </w:p>
    <w:p>
      <w:pPr>
        <w:ind w:left="380" w:right="220" w:hanging="372"/>
        <w:spacing w:after="0" w:line="258"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 backs to the joint venture, an equity method investment, related to research and development of $67 and $199 during the three and six months ended December 31, 2023 and $487 and $1,266 during the three and six months ended December 31, 2022, respectively.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16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96,535</w:t>
            </w:r>
          </w:p>
        </w:tc>
        <w:tc>
          <w:tcPr>
            <w:tcW w:w="26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555,276</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(502,136 )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(2,969 )</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(2,969 )</w:t>
            </w: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(2,138 )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(2,138 )</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96,727</w:t>
            </w:r>
          </w:p>
        </w:tc>
        <w:tc>
          <w:tcPr>
            <w:tcW w:w="260" w:type="dxa"/>
            <w:vAlign w:val="bottom"/>
          </w:tcPr>
          <w:p>
            <w:pPr>
              <w:spacing w:after="0"/>
              <w:rPr>
                <w:sz w:val="20"/>
                <w:szCs w:val="20"/>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557,668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(505,105 )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upon vesting of restricted stock</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(9,621 )</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(9,621 )</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99,164</w:t>
            </w:r>
          </w:p>
        </w:tc>
        <w:tc>
          <w:tcPr>
            <w:tcW w:w="260" w:type="dxa"/>
            <w:vAlign w:val="bottom"/>
          </w:tcPr>
          <w:p>
            <w:pPr>
              <w:spacing w:after="0"/>
              <w:rPr>
                <w:sz w:val="20"/>
                <w:szCs w:val="20"/>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(514,726 )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3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160" w:type="dxa"/>
            <w:vAlign w:val="bottom"/>
            <w:gridSpan w:val="3"/>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26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543,211</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(492,522 )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(5,449 )</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(5,449 )</w:t>
            </w:r>
          </w:p>
        </w:tc>
        <w:tc>
          <w:tcPr>
            <w:tcW w:w="0" w:type="dxa"/>
            <w:vAlign w:val="bottom"/>
          </w:tcPr>
          <w:p>
            <w:pPr>
              <w:spacing w:after="0"/>
              <w:rPr>
                <w:sz w:val="1"/>
                <w:szCs w:val="1"/>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(3,655 )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(3,655 )</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93,779</w:t>
            </w:r>
          </w:p>
        </w:tc>
        <w:tc>
          <w:tcPr>
            <w:tcW w:w="260" w:type="dxa"/>
            <w:vAlign w:val="bottom"/>
          </w:tcPr>
          <w:p>
            <w:pPr>
              <w:spacing w:after="0"/>
              <w:rPr>
                <w:sz w:val="20"/>
                <w:szCs w:val="20"/>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(497,971 )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upon vesting of restricted stock</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(1,874 )</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(1,874 )</w:t>
            </w:r>
          </w:p>
        </w:tc>
        <w:tc>
          <w:tcPr>
            <w:tcW w:w="0" w:type="dxa"/>
            <w:vAlign w:val="bottom"/>
          </w:tcPr>
          <w:p>
            <w:pPr>
              <w:spacing w:after="0"/>
              <w:rPr>
                <w:sz w:val="1"/>
                <w:szCs w:val="1"/>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(334 )</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95,494</w:t>
            </w: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550,288</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(500,179 )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-4888230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-4871085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-4888230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-4871085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-4888230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-4871085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-4888230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-4871085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-4888230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-4871085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-4888230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-4871085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-4246245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-4246245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-4246245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-4246245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-4246245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-3150235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-3150235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-3150235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-3150235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-3150235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-2080260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-2063115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-2080260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-2063115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-2080260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-2063115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-2080260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-2063115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-2080260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-2063115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-1437640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-1437640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-1437640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-1437640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-1437640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3"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(12,590 )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(7,323 )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(recoveries) for provision from credit losses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(218 )</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write-down of inventories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on equity method investment</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revenue recognized from intra-entity profit margin from sales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(294 )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(986 )</w:t>
            </w: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(357 )</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(14,641 )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(14,237 )</w:t>
            </w: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(2,488 )</w:t>
            </w: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cost of revenue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net of operating lease right-of-use assets</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(4,834 )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(8,123 )</w:t>
            </w: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advances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(8,203 )</w:t>
            </w:r>
          </w:p>
        </w:tc>
      </w:tr>
      <w:tr>
        <w:trPr>
          <w:trHeight w:val="247"/>
        </w:trPr>
        <w:tc>
          <w:tcPr>
            <w:tcW w:w="8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(13,684 )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(17,968 )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(2,773 )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intangible asset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8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(2,806 )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common stock to employees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Paydown under Term Loan Facility</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(3,000 )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(3,000 )</w:t>
            </w: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convertible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(2,865 )</w:t>
            </w:r>
          </w:p>
        </w:tc>
      </w:tr>
      <w:tr>
        <w:trPr>
          <w:trHeight w:val="247"/>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(1,757 )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8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(16,710 )</w:t>
            </w: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(20,943 )</w:t>
            </w:r>
          </w:p>
        </w:tc>
      </w:tr>
      <w:tr>
        <w:trPr>
          <w:trHeight w:val="247"/>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74,492</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69,211</w:t>
            </w:r>
          </w:p>
        </w:tc>
        <w:tc>
          <w:tcPr>
            <w:tcW w:w="100" w:type="dxa"/>
            <w:vAlign w:val="bottom"/>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inventory to property and equipment,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 from lease incentive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property and equipment, net to intangible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Unpaid purchase of property and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-3458845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-2833370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-1591945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-1275080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-958215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its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20" w:firstLine="255"/>
        <w:spacing w:after="0" w:line="288" w:lineRule="auto"/>
        <w:rPr>
          <w:sz w:val="20"/>
          <w:szCs w:val="20"/>
          <w:color w:val="auto"/>
        </w:rPr>
      </w:pPr>
      <w:r>
        <w:rPr>
          <w:rFonts w:ascii="Times New Roman" w:cs="Times New Roman" w:eastAsia="Times New Roman" w:hAnsi="Times New Roman"/>
          <w:sz w:val="17"/>
          <w:szCs w:val="17"/>
          <w:color w:val="auto"/>
        </w:rPr>
        <w:t>Accuray Incorporated (together with its subsidiaries, the “Company” or “Accuray”) designs, develops and sells advanced radiosurgery and radiation therapy systems for the treatment of tumors throughout the body. The Company is incorporated in Delaware and its headquarters are located in Madison, Wisconsin. The Company has primary offices in the United States, Switzerland, China, Hong Kong, and Japan, and conducts its business worldwide.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60" w:firstLine="255"/>
        <w:spacing w:after="0" w:line="28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significant intercompany transactions and balances have been eliminated in consolidation.</w:t>
      </w:r>
    </w:p>
    <w:p>
      <w:pPr>
        <w:spacing w:after="0" w:line="136" w:lineRule="exact"/>
        <w:rPr>
          <w:sz w:val="20"/>
          <w:szCs w:val="20"/>
          <w:color w:val="auto"/>
        </w:rPr>
      </w:pPr>
    </w:p>
    <w:p>
      <w:pPr>
        <w:ind w:right="20" w:firstLine="255"/>
        <w:spacing w:after="0" w:line="274"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and six months ended December 31, 2023, are not necessarily indicative of the results to be expected for the fiscal year ending June 30, 2024, or for any other future interim period or fiscal year.</w:t>
      </w:r>
    </w:p>
    <w:p>
      <w:pPr>
        <w:spacing w:after="0" w:line="131"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accompanying notes for the fiscal year ended June 30, 2023 included in the Company’s Annual Report on Form 10-K filed with the SEC on September 7,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Reclassifications</w:t>
      </w:r>
    </w:p>
    <w:p>
      <w:pPr>
        <w:spacing w:after="0" w:line="229" w:lineRule="exact"/>
        <w:rPr>
          <w:sz w:val="20"/>
          <w:szCs w:val="20"/>
          <w:color w:val="auto"/>
        </w:rPr>
      </w:pPr>
    </w:p>
    <w:p>
      <w:pPr>
        <w:ind w:right="260" w:firstLine="255"/>
        <w:spacing w:after="0" w:line="281" w:lineRule="auto"/>
        <w:rPr>
          <w:sz w:val="20"/>
          <w:szCs w:val="20"/>
          <w:color w:val="auto"/>
        </w:rPr>
      </w:pPr>
      <w:r>
        <w:rPr>
          <w:rFonts w:ascii="Times New Roman" w:cs="Times New Roman" w:eastAsia="Times New Roman" w:hAnsi="Times New Roman"/>
          <w:sz w:val="18"/>
          <w:szCs w:val="18"/>
          <w:color w:val="auto"/>
        </w:rPr>
        <w:t>Certain amounts on the unaudited condensed consolidated statements of cash flows and statements of stockholders' equity in prior periods have been reclassified to conform to current year presentation.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caused, directly or indirectly, by events with significant geopolitical and macroeconomic impacts, including, but not limited to, rising inflation; actions taken to counter inflation, including rising interest rates; foreign currency exchange rate fluctuations; uncertainty and volatility in the banking and financial services sector; tightening credit markets, the effects of the COVID-19 pandemic; geopolitical concerns, such as the Russia-Ukraine and Israel-Hamas conflicts and increasing tension between China and the U.S., including with respect to Taiwan; and other factors that may emerge. The Company is also continuing to navigate supply chain and inflation challenges, and adverse foreign currency exchange rate fluctuations, all of which continues to be a significant headwind that affects the Company’s results of operations.</w:t>
      </w:r>
    </w:p>
    <w:p>
      <w:pPr>
        <w:spacing w:after="0" w:line="18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Company expects that the business of its customers and its own business will continue to be adversely impacted, directly or indirectly, by these macroeconomic and geopolitical issues. Delays in deliveries and installations as a result of the COVID-19 pandemic and its effects on the global economic environment may continue, to some degree, through the remainder of calendar year 2024, which could have a negative impact on our revenue during such period. In addition, ongoing supply chain challenges and logistics costs, including difficulties in obtaining a sufficient supply of component materials and increased component costs, have adversely affected the Company's gross margins and net income or loss, and the Company’s current expectations are that gross margins and net income or loss will continue to be adversely affected by increased material costs and freight and logistic expenses through at least the remainder of fiscal year 2024, if not longer. Furthermore, certain parts required for the manufacturing and servicing of the Company's products, such as electronic components, are scarce and becoming increasingly difficult to source, even at increased prices. If such parts become unavailable to the Company, it would not be able to manufacture or service our products, which would adversely impact revenue, gross margins, and net income (loss).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 backlog to revenue, income (loss) from operations, net income (loss), net income (loss) per share and cash flows may differ materially.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ind w:firstLine="255"/>
        <w:spacing w:after="0" w:line="252" w:lineRule="auto"/>
        <w:rPr>
          <w:sz w:val="20"/>
          <w:szCs w:val="20"/>
          <w:color w:val="auto"/>
        </w:rPr>
      </w:pPr>
      <w:r>
        <w:rPr>
          <w:rFonts w:ascii="Times New Roman" w:cs="Times New Roman" w:eastAsia="Times New Roman" w:hAnsi="Times New Roman"/>
          <w:sz w:val="18"/>
          <w:szCs w:val="18"/>
          <w:color w:val="auto"/>
        </w:rPr>
        <w:t>The Company continues to critically review its liquidity and anticipated capital requirements in light of the significant uncertainty created by geopolitical and macroeconomic conditions. Based on the Company’s cash and cash equivalents balance,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of geopolitical and macroeconomic conditions, including its effect on global supply chain and logistics, will have on its ability to maintain compliance with the debt covenants contained in the credit agreement related to its Credit Facilities, including financial covenants regarding the consolidated fixed charge coverage ratio and consolidated senior net leverage ratio. The Company was in compliance with such covenants at December 31, 2023. Failing to comply with these covenants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Credit Facilities will depend in part on its future operating performance. In addition, because substantially all of the Company’s assets are pledged as a security under the Credit Facilities, if the Company is not able to cure any default or repay outstanding borrowings, such assets are subject to the risk of foreclosure by the Company’s lenders. Failure to meet the covenant requirements in the future could cause the Company to be in default and the maturity of the related debt could be accelerated and become immediately payable. This may require the Company to obtain waivers or amendments to the credit agreement in order to maintain compliance and there can be no certainty that any such waiver or amendment will be available, or what the cost of such waiver or amendment, if obtained, would be. If the Company is unable to obtain necessary waivers or amendments and the debt under such credit facility is accelerated, the Company would be required to obtain replacement financing at prevailing market rates, which may not be favorable to the Company. There is no guarantee that the Company would be able to satisfy its obligations if any of its indebtedness is accelerated</w:t>
      </w:r>
      <w:r>
        <w:rPr>
          <w:rFonts w:ascii="Times New Roman" w:cs="Times New Roman" w:eastAsia="Times New Roman" w:hAnsi="Times New Roman"/>
          <w:sz w:val="18"/>
          <w:szCs w:val="18"/>
          <w:color w:val="212529"/>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240" w:firstLine="255"/>
        <w:spacing w:after="0" w:line="281" w:lineRule="auto"/>
        <w:rPr>
          <w:sz w:val="20"/>
          <w:szCs w:val="20"/>
          <w:color w:val="auto"/>
        </w:rPr>
      </w:pPr>
      <w:r>
        <w:rPr>
          <w:rFonts w:ascii="Times New Roman" w:cs="Times New Roman" w:eastAsia="Times New Roman" w:hAnsi="Times New Roman"/>
          <w:sz w:val="18"/>
          <w:szCs w:val="18"/>
          <w:color w:val="212529"/>
        </w:rPr>
        <w:t>There have been no material changes in the Company’s significant accounting policies during the six months ended December 31, 2023, compared to the significant accounting policies described in its Annual Report on Form 10-K for the fiscal year ended June 30, 2023</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Effective</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 new accounting standard update (“ASU”) 2023-09 to improve the transparency and usefulness of income tax disclosures. The accounting standard expands disclosures to the entity’s income tax rate reconciliation table and requires cash taxes paid disaggregated by jurisdiction. These changes will be applied on a prospective basis. The update will be effective for annual periods beginning after December 15, 2024. The Company plans to adopt ASU 2023-09 on July 1, 2025. The Company is currently assessing the impact of this update on its consolidated financial statement disclosures.</w:t>
      </w:r>
    </w:p>
    <w:p>
      <w:pPr>
        <w:spacing w:after="0" w:line="182"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disclosures. The ASU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The update is effective for fiscal years beginning after December 15, 2023, with early adoption permitted. The Company plans to adopt ASU 2023-07 on July 1, 2024. The ASU requires retrospective application to all prior periods presented in the financial statements. The Company is currently assessing the timing and impact of adopting the updated provisions.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6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the contract assets and liabilities are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Unbilled accounts receivable – current </w:t>
            </w:r>
            <w:r>
              <w:rPr>
                <w:rFonts w:ascii="Times New Roman" w:cs="Times New Roman" w:eastAsia="Times New Roman" w:hAnsi="Times New Roman"/>
                <w:sz w:val="16"/>
                <w:szCs w:val="16"/>
                <w:color w:val="auto"/>
              </w:rPr>
              <w:t>(1)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current </w:t>
            </w:r>
            <w:r>
              <w:rPr>
                <w:rFonts w:ascii="Times New Roman" w:cs="Times New Roman" w:eastAsia="Times New Roman" w:hAnsi="Times New Roman"/>
                <w:sz w:val="16"/>
                <w:szCs w:val="16"/>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(47 )</w:t>
            </w:r>
          </w:p>
        </w:tc>
        <w:tc>
          <w:tcPr>
            <w:tcW w:w="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accounts receivable </w:t>
            </w:r>
            <w:r>
              <w:rPr>
                <w:rFonts w:ascii="Times New Roman" w:cs="Times New Roman" w:eastAsia="Times New Roman" w:hAnsi="Times New Roman"/>
                <w:sz w:val="16"/>
                <w:szCs w:val="16"/>
                <w:color w:val="auto"/>
              </w:rPr>
              <w:t>(3)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non-current </w:t>
            </w:r>
            <w:r>
              <w:rPr>
                <w:rFonts w:ascii="Times New Roman" w:cs="Times New Roman" w:eastAsia="Times New Roman" w:hAnsi="Times New Roman"/>
                <w:sz w:val="16"/>
                <w:szCs w:val="16"/>
                <w:color w:val="auto"/>
              </w:rPr>
              <w:t>(3)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advances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72,185</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(2,270 )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on the unaudited condensed consolidated balance sheets.</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prepaid expenses and other current assets on the unaudited condensed consolidated balance sheets.</w:t>
      </w:r>
    </w:p>
    <w:p>
      <w:pPr>
        <w:ind w:left="380" w:hanging="372"/>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on the unaudited condensed consolidated balance sheets.</w:t>
      </w:r>
    </w:p>
    <w:p>
      <w:pPr>
        <w:spacing w:after="0" w:line="191" w:lineRule="exact"/>
        <w:rPr>
          <w:sz w:val="20"/>
          <w:szCs w:val="20"/>
          <w:color w:val="auto"/>
        </w:rPr>
      </w:pPr>
    </w:p>
    <w:p>
      <w:pPr>
        <w:ind w:right="160" w:firstLine="255"/>
        <w:spacing w:after="0" w:line="260" w:lineRule="auto"/>
        <w:rPr>
          <w:sz w:val="20"/>
          <w:szCs w:val="20"/>
          <w:color w:val="auto"/>
        </w:rPr>
      </w:pPr>
      <w:r>
        <w:rPr>
          <w:rFonts w:ascii="Times New Roman" w:cs="Times New Roman" w:eastAsia="Times New Roman" w:hAnsi="Times New Roman"/>
          <w:sz w:val="18"/>
          <w:szCs w:val="18"/>
          <w:color w:val="auto"/>
        </w:rPr>
        <w:t>During the six months ended December 31, 2023, contract assets changed primarily due to changes in the timing of billings that occurred after revenues were recognized and changes in transactions with payment terms exceeding 12 months. During the six months ended December 31, 2023, contract liabilities changed due to changes in the timing of revenue recognition as a result of changes in shipping timing, modifications to the transaction price, reduced customer deposits for system sales and for which the warranty was deferred.</w:t>
      </w:r>
    </w:p>
    <w:p>
      <w:pPr>
        <w:spacing w:after="0" w:line="182" w:lineRule="exact"/>
        <w:rPr>
          <w:sz w:val="20"/>
          <w:szCs w:val="20"/>
          <w:color w:val="auto"/>
        </w:rPr>
      </w:pPr>
    </w:p>
    <w:p>
      <w:pPr>
        <w:ind w:right="100" w:firstLine="255"/>
        <w:spacing w:after="0" w:line="265" w:lineRule="auto"/>
        <w:rPr>
          <w:sz w:val="20"/>
          <w:szCs w:val="20"/>
          <w:color w:val="auto"/>
        </w:rPr>
      </w:pPr>
      <w:r>
        <w:rPr>
          <w:rFonts w:ascii="Times New Roman" w:cs="Times New Roman" w:eastAsia="Times New Roman" w:hAnsi="Times New Roman"/>
          <w:sz w:val="18"/>
          <w:szCs w:val="18"/>
          <w:color w:val="auto"/>
        </w:rPr>
        <w:t>During the three and six months ended December 31, 2023, the Company recognized revenue of $21.2 million and $51.2 million, which was included in the deferred revenue balances at June 30, 2023. During the three and six months ended December 31, 2022, the Company recognized revenue of $20.6 million and $55.5 million, which was included in the deferred revenue balances at June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w:t>
      </w:r>
    </w:p>
    <w:p>
      <w:pPr>
        <w:spacing w:after="0" w:line="163"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2023, total remaining performance obligations amounted to $987.9 million. Of this total amount, $67.5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 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9" w:right="239" w:bottom="1440" w:gutter="0" w:footer="0" w:header="0"/>
        </w:sectPr>
      </w:pPr>
    </w:p>
    <w:bookmarkStart w:id="9" w:name="page10"/>
    <w:bookmarkEnd w:id="9"/>
    <w:p>
      <w:pPr>
        <w:ind w:right="420" w:firstLine="255"/>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Company's remaining performance obligations related to long-term warranty and non-cancellable post-warranty services as of December 31,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years of revenue recognition</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4"/>
                <w:szCs w:val="14"/>
                <w:color w:val="auto"/>
              </w:rPr>
            </w:pPr>
          </w:p>
        </w:tc>
      </w:tr>
      <w:tr>
        <w:trPr>
          <w:trHeight w:val="236"/>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warranty and non-cancellable post-warranty services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shd w:val="clear" w:color="auto" w:fill="CFF0FC"/>
          </w:tcPr>
          <w:p>
            <w:pPr>
              <w:spacing w:after="0"/>
              <w:rPr>
                <w:sz w:val="20"/>
                <w:szCs w:val="20"/>
                <w:color w:val="auto"/>
              </w:rPr>
            </w:pPr>
          </w:p>
        </w:tc>
      </w:tr>
    </w:tbl>
    <w:p>
      <w:pPr>
        <w:spacing w:after="0" w:line="19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For the remaining $920.4 million of performance obligations (i.e., open systems sales, upgrades, training and other miscellaneous items), the Company estimates 28% to 31%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to its customers' needs or financial condition, changes in government or health insurance reimbursement policies, or changes to regulatory requirements. Based on historical experience and management's best estimate, approximately 23% of the Company’s $870.4 million open system sales contracts as of December 31, 2023, may never result in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Contract Costs</w:t>
      </w:r>
    </w:p>
    <w:p>
      <w:pPr>
        <w:spacing w:after="0" w:line="229"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8"/>
          <w:szCs w:val="18"/>
          <w:color w:val="auto"/>
        </w:rPr>
        <w:t>As of December 31, 2023, and June 30, 2023, the balance of capitalized costs to obtain a contract was $12.5 million and $11.0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w:t>
      </w:r>
    </w:p>
    <w:p>
      <w:pPr>
        <w:spacing w:after="0" w:line="177" w:lineRule="exact"/>
        <w:rPr>
          <w:sz w:val="20"/>
          <w:szCs w:val="20"/>
          <w:color w:val="auto"/>
        </w:rPr>
      </w:pPr>
    </w:p>
    <w:p>
      <w:pPr>
        <w:ind w:right="80" w:firstLine="255"/>
        <w:spacing w:after="0" w:line="280" w:lineRule="auto"/>
        <w:rPr>
          <w:sz w:val="20"/>
          <w:szCs w:val="20"/>
          <w:color w:val="auto"/>
        </w:rPr>
      </w:pPr>
      <w:r>
        <w:rPr>
          <w:rFonts w:ascii="Times New Roman" w:cs="Times New Roman" w:eastAsia="Times New Roman" w:hAnsi="Times New Roman"/>
          <w:sz w:val="17"/>
          <w:szCs w:val="17"/>
          <w:color w:val="auto"/>
        </w:rPr>
        <w:t>The Company recognized expenses related to the amortization of the capitalized contract costs of $0.7 million and $1.6 million during the three and six months ended December 31, 2023, respectively, and $1.0 million and $1.9 million during the three and six months ended December 31, 2022, respectively. The Company recorded $0.1 million in capitalized contract impairment losses during both the three and six months ended December 31, 2023, and recorded $0.2 million and $0.4 million in capitalized contract impairment losses during the three and six months ended December 31,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Supplemental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29" w:lineRule="exact"/>
        <w:rPr>
          <w:sz w:val="20"/>
          <w:szCs w:val="20"/>
          <w:color w:val="auto"/>
        </w:rPr>
      </w:pPr>
    </w:p>
    <w:p>
      <w:pPr>
        <w:ind w:right="160" w:firstLine="255"/>
        <w:spacing w:after="0" w:line="218" w:lineRule="exact"/>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The Company classifies accounts as high risk when it considers the financing receivable to be impaired or when management believes there is a significant near-term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The Company performs an assessment each quarter of the allowance for credit losses related to its financing receivables.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the Company’s financing receivables is presented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37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41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FF0FC"/>
          </w:tcPr>
          <w:p>
            <w:pPr>
              <w:spacing w:after="0"/>
              <w:rPr>
                <w:sz w:val="20"/>
                <w:szCs w:val="20"/>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(798 )</w:t>
            </w: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(798 )</w:t>
            </w:r>
          </w:p>
        </w:tc>
      </w:tr>
      <w:tr>
        <w:trPr>
          <w:trHeight w:val="276"/>
        </w:trPr>
        <w:tc>
          <w:tcPr>
            <w:tcW w:w="3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394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21"/>
                <w:szCs w:val="21"/>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20"/>
                <w:szCs w:val="20"/>
                <w:color w:val="auto"/>
              </w:rPr>
            </w:pPr>
          </w:p>
        </w:tc>
      </w:tr>
      <w:tr>
        <w:trPr>
          <w:trHeight w:val="27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41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FF0FC"/>
          </w:tcPr>
          <w:p>
            <w:pPr>
              <w:spacing w:after="0"/>
              <w:rPr>
                <w:sz w:val="24"/>
                <w:szCs w:val="24"/>
                <w:color w:val="auto"/>
              </w:rPr>
            </w:pPr>
          </w:p>
        </w:tc>
      </w:tr>
      <w:tr>
        <w:trPr>
          <w:trHeight w:val="632"/>
        </w:trPr>
        <w:tc>
          <w:tcPr>
            <w:tcW w:w="3760" w:type="dxa"/>
            <w:vAlign w:val="bottom"/>
            <w:tcBorders>
              <w:top w:val="single" w:sz="8" w:color="CFF0FC"/>
            </w:tcBorders>
          </w:tcPr>
          <w:p>
            <w:pPr>
              <w:spacing w:after="0"/>
              <w:rPr>
                <w:sz w:val="24"/>
                <w:szCs w:val="24"/>
                <w:color w:val="auto"/>
              </w:rPr>
            </w:pPr>
          </w:p>
        </w:tc>
        <w:tc>
          <w:tcPr>
            <w:tcW w:w="3740" w:type="dxa"/>
            <w:vAlign w:val="bottom"/>
            <w:tcBorders>
              <w:top w:val="single" w:sz="8" w:color="CFF0FC"/>
            </w:tcBorders>
          </w:tcPr>
          <w:p>
            <w:pPr>
              <w:jc w:val="right"/>
              <w:ind w:right="169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654"/>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-1515110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-1497965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-864235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-847090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63,699</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62,945</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tcPr>
          <w:p>
            <w:pPr>
              <w:spacing w:after="0"/>
              <w:rPr>
                <w:sz w:val="20"/>
                <w:szCs w:val="20"/>
                <w:color w:val="auto"/>
              </w:rPr>
            </w:pPr>
          </w:p>
        </w:tc>
      </w:tr>
      <w:tr>
        <w:trPr>
          <w:trHeight w:val="24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75,142</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155,228</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inventories on the unaudited condensed consolidated balance sheets are net of reserves.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commissions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106,609</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(80,690 )</w:t>
            </w:r>
          </w:p>
        </w:tc>
        <w:tc>
          <w:tcPr>
            <w:tcW w:w="3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(78,563 )</w:t>
            </w: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-2636520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-2636520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60" w:firstLine="255"/>
        <w:spacing w:after="0" w:line="260" w:lineRule="auto"/>
        <w:rPr>
          <w:sz w:val="20"/>
          <w:szCs w:val="20"/>
          <w:color w:val="auto"/>
        </w:rPr>
      </w:pPr>
      <w:r>
        <w:rPr>
          <w:rFonts w:ascii="Times New Roman" w:cs="Times New Roman" w:eastAsia="Times New Roman" w:hAnsi="Times New Roman"/>
          <w:sz w:val="18"/>
          <w:szCs w:val="18"/>
          <w:color w:val="auto"/>
        </w:rPr>
        <w:t>At December 31, 2023, software includes $8.1 million in capitalized costs for the completed transition of the Company's new enterprise resource planning system in August 2023. The Company will depreciate the enterprise resource planning system over five years. Depreciation expense related to property and equipment was $1.5 million and $2.7 million during the three and six months ended December 31, 2023, respectively, and $1.1 million and $2.2 million during the three and six months ended December 31,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4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3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shd w:val="clear" w:color="auto" w:fill="CFF0FC"/>
          </w:tcPr>
          <w:p>
            <w:pPr>
              <w:spacing w:after="0"/>
              <w:rPr>
                <w:sz w:val="20"/>
                <w:szCs w:val="20"/>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costs to be sold</w:t>
            </w:r>
          </w:p>
        </w:tc>
        <w:tc>
          <w:tcPr>
            <w:tcW w:w="3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FF0FC"/>
          </w:tcPr>
          <w:p>
            <w:pPr>
              <w:spacing w:after="0"/>
              <w:rPr>
                <w:sz w:val="21"/>
                <w:szCs w:val="21"/>
                <w:color w:val="auto"/>
              </w:rPr>
            </w:pPr>
          </w:p>
        </w:tc>
      </w:tr>
      <w:tr>
        <w:trPr>
          <w:trHeight w:val="432"/>
        </w:trPr>
        <w:tc>
          <w:tcPr>
            <w:tcW w:w="4100" w:type="dxa"/>
            <w:vAlign w:val="bottom"/>
          </w:tcPr>
          <w:p>
            <w:pPr>
              <w:spacing w:after="0"/>
              <w:rPr>
                <w:sz w:val="24"/>
                <w:szCs w:val="24"/>
                <w:color w:val="auto"/>
              </w:rPr>
            </w:pPr>
          </w:p>
        </w:tc>
        <w:tc>
          <w:tcPr>
            <w:tcW w:w="356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4"/>
        </w:trPr>
        <w:tc>
          <w:tcPr>
            <w:tcW w:w="41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20"/>
                <w:szCs w:val="20"/>
                <w:color w:val="auto"/>
              </w:rPr>
            </w:pPr>
          </w:p>
        </w:tc>
      </w:tr>
      <w:tr>
        <w:trPr>
          <w:trHeight w:val="278"/>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7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liabilities</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8,540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due to third parties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Refunds due to customers</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4,041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consulting</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2,518</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9,262</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-2191385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-2174240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-2191385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-2174240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0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changes in accumulated other comprehensive income are excluded from earnings and reported as a component of stockholders’ equity. The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spacing w:after="0" w:line="141" w:lineRule="exact"/>
        <w:rPr>
          <w:sz w:val="20"/>
          <w:szCs w:val="20"/>
          <w:color w:val="auto"/>
        </w:rPr>
      </w:pPr>
    </w:p>
    <w:p>
      <w:pPr>
        <w:ind w:right="200" w:firstLine="255"/>
        <w:spacing w:after="0" w:line="281" w:lineRule="auto"/>
        <w:rPr>
          <w:sz w:val="20"/>
          <w:szCs w:val="20"/>
          <w:color w:val="auto"/>
        </w:rPr>
      </w:pPr>
      <w:r>
        <w:rPr>
          <w:rFonts w:ascii="Times New Roman" w:cs="Times New Roman" w:eastAsia="Times New Roman" w:hAnsi="Times New Roman"/>
          <w:sz w:val="18"/>
          <w:szCs w:val="18"/>
          <w:color w:val="auto"/>
        </w:rPr>
        <w:t>The components of accumulated other comprehensive income in the stockholders' equity section of the Company’s unaudited condensed consolidated balance sheets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adjustment</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(1,697 )</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(2,332 )</w:t>
            </w: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obligation</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20"/>
                <w:szCs w:val="20"/>
                <w:color w:val="auto"/>
              </w:rPr>
            </w:pPr>
          </w:p>
        </w:tc>
      </w:tr>
      <w:tr>
        <w:trPr>
          <w:trHeight w:val="276"/>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center"/>
              <w:ind w:right="2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FF0FC"/>
          </w:tcPr>
          <w:p>
            <w:pPr>
              <w:spacing w:after="0"/>
              <w:rPr>
                <w:sz w:val="24"/>
                <w:szCs w:val="24"/>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4"/>
                <w:szCs w:val="24"/>
                <w:color w:val="auto"/>
              </w:rPr>
            </w:pPr>
          </w:p>
        </w:tc>
      </w:tr>
      <w:tr>
        <w:trPr>
          <w:trHeight w:val="416"/>
        </w:trPr>
        <w:tc>
          <w:tcPr>
            <w:tcW w:w="57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8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expense, net, consisted of the following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gridSpan w:val="5"/>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(2,922 )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(2,644 )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(5,844 )</w:t>
            </w:r>
          </w:p>
        </w:tc>
        <w:tc>
          <w:tcPr>
            <w:tcW w:w="640" w:type="dxa"/>
            <w:vAlign w:val="bottom"/>
            <w:shd w:val="clear" w:color="auto" w:fill="CFF0FC"/>
          </w:tcPr>
          <w:p>
            <w:pPr>
              <w:jc w:val="right"/>
              <w:ind w:right="46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(4,906 )</w:t>
            </w: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(1,278 )</w:t>
            </w:r>
          </w:p>
        </w:tc>
        <w:tc>
          <w:tcPr>
            <w:tcW w:w="34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0"/>
                <w:szCs w:val="20"/>
                <w:color w:val="auto"/>
              </w:rPr>
            </w:pPr>
          </w:p>
        </w:tc>
        <w:tc>
          <w:tcPr>
            <w:tcW w:w="12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(2,234 )</w:t>
            </w:r>
          </w:p>
        </w:tc>
        <w:tc>
          <w:tcPr>
            <w:tcW w:w="6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(284 )</w:t>
            </w:r>
          </w:p>
        </w:tc>
      </w:tr>
      <w:tr>
        <w:trPr>
          <w:trHeight w:val="234"/>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(152 )</w:t>
            </w:r>
          </w:p>
        </w:tc>
        <w:tc>
          <w:tcPr>
            <w:tcW w:w="3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(154 )</w:t>
            </w: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(199 )</w:t>
            </w:r>
          </w:p>
        </w:tc>
      </w:tr>
      <w:tr>
        <w:trPr>
          <w:trHeight w:val="20"/>
        </w:trPr>
        <w:tc>
          <w:tcPr>
            <w:tcW w:w="56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(2,831 )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(8,033 )</w:t>
            </w:r>
          </w:p>
        </w:tc>
        <w:tc>
          <w:tcPr>
            <w:tcW w:w="640" w:type="dxa"/>
            <w:vAlign w:val="bottom"/>
          </w:tcPr>
          <w:p>
            <w:pPr>
              <w:jc w:val="right"/>
              <w:ind w:right="46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(5,389 )</w:t>
            </w: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-1685925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-1668780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-187960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warehouse facilities worldwide. Additionally, the Company leases cars, copy machines and laptops that are considered operating leases. Some of the Company’s leases are non-cancellable operating lease agreements with various expiration dates through June 2035. Certain lease agreements include options to renew or terminate the lease, which are not reasonably certain to be exercised and therefore, are not factored into the determination of lease payments.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operating leases: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00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Operating lease costs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FF0FC"/>
          </w:tcPr>
          <w:p>
            <w:pPr>
              <w:spacing w:after="0"/>
              <w:rPr>
                <w:sz w:val="20"/>
                <w:szCs w:val="20"/>
                <w:color w:val="auto"/>
              </w:rPr>
            </w:pPr>
          </w:p>
        </w:tc>
      </w:tr>
      <w:tr>
        <w:trPr>
          <w:trHeight w:val="238"/>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47"/>
        </w:trPr>
        <w:tc>
          <w:tcPr>
            <w:tcW w:w="6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expenses related to short-term lease operating costs.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Operating lease right-of-use assets and operating lease liabilities consisted of the following (in thousands):</w:t>
      </w:r>
    </w:p>
    <w:p>
      <w:pPr>
        <w:spacing w:after="0" w:line="232" w:lineRule="exact"/>
        <w:rPr>
          <w:sz w:val="20"/>
          <w:szCs w:val="20"/>
          <w:color w:val="auto"/>
        </w:rPr>
      </w:pPr>
    </w:p>
    <w:p>
      <w:pPr>
        <w:ind w:left="8100"/>
        <w:spacing w:after="0"/>
        <w:tabs>
          <w:tab w:leader="none" w:pos="1008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June 30,</w:t>
      </w:r>
    </w:p>
    <w:p>
      <w:pPr>
        <w:spacing w:after="0" w:line="5" w:lineRule="exact"/>
        <w:rPr>
          <w:sz w:val="20"/>
          <w:szCs w:val="20"/>
          <w:color w:val="auto"/>
        </w:rPr>
      </w:pPr>
    </w:p>
    <w:p>
      <w:pPr>
        <w:ind w:left="840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5080</wp:posOffset>
            </wp:positionV>
            <wp:extent cx="2157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assets added</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for the period</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the end of period</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liabilities added</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and interest accretion</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the end of period</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Non-current portion of operating lease liabilities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060" w:hanging="105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25,853</w:t>
      </w:r>
    </w:p>
    <w:p>
      <w:pPr>
        <w:spacing w:after="0" w:line="3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-436245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-127635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9931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 w:lineRule="exact"/>
        <w:rPr>
          <w:sz w:val="20"/>
          <w:szCs w:val="20"/>
          <w:color w:val="auto"/>
        </w:rPr>
      </w:pPr>
    </w:p>
    <w:p>
      <w:pPr>
        <w:ind w:left="1060" w:hanging="1052"/>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205740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-127635</wp:posOffset>
            </wp:positionV>
            <wp:extent cx="713232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060" w:hanging="1052"/>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27,753</w:t>
      </w:r>
    </w:p>
    <w:p>
      <w:pPr>
        <w:spacing w:after="0" w:line="3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-127635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9931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 w:lineRule="exact"/>
        <w:rPr>
          <w:sz w:val="20"/>
          <w:szCs w:val="20"/>
          <w:color w:val="auto"/>
        </w:rPr>
      </w:pPr>
    </w:p>
    <w:p>
      <w:pPr>
        <w:ind w:left="1060" w:hanging="1052"/>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-127635</wp:posOffset>
            </wp:positionV>
            <wp:extent cx="713232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99" w:lineRule="exact"/>
        <w:rPr>
          <w:sz w:val="20"/>
          <w:szCs w:val="20"/>
          <w:color w:val="auto"/>
        </w:rPr>
      </w:pPr>
    </w:p>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5,707</w:t>
      </w:r>
    </w:p>
    <w:p>
      <w:pPr>
        <w:spacing w:after="0" w:line="35"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-281940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011" w:hanging="1011"/>
        <w:spacing w:after="0"/>
        <w:tabs>
          <w:tab w:leader="none" w:pos="10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16,798</w:t>
      </w:r>
    </w:p>
    <w:p>
      <w:pPr>
        <w:spacing w:after="0" w:line="35" w:lineRule="exact"/>
        <w:rPr>
          <w:rFonts w:ascii="Times New Roman" w:cs="Times New Roman" w:eastAsia="Times New Roman" w:hAnsi="Times New Roman"/>
          <w:sz w:val="18"/>
          <w:szCs w:val="18"/>
          <w:color w:val="auto"/>
        </w:rPr>
      </w:pPr>
    </w:p>
    <w:p>
      <w:pPr>
        <w:ind w:left="10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17,157</w:t>
      </w:r>
    </w:p>
    <w:p>
      <w:pPr>
        <w:spacing w:after="0" w:line="35" w:lineRule="exact"/>
        <w:rPr>
          <w:rFonts w:ascii="Times New Roman" w:cs="Times New Roman" w:eastAsia="Times New Roman" w:hAnsi="Times New Roman"/>
          <w:sz w:val="18"/>
          <w:szCs w:val="18"/>
          <w:color w:val="auto"/>
        </w:rPr>
      </w:pPr>
    </w:p>
    <w:p>
      <w:pPr>
        <w:ind w:left="105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759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41" w:lineRule="exact"/>
        <w:rPr>
          <w:sz w:val="20"/>
          <w:szCs w:val="20"/>
          <w:color w:val="auto"/>
        </w:rPr>
      </w:pPr>
    </w:p>
    <w:p>
      <w:pPr>
        <w:ind w:left="1011" w:hanging="1011"/>
        <w:spacing w:after="0"/>
        <w:tabs>
          <w:tab w:leader="none" w:pos="10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25,853</w:t>
      </w:r>
    </w:p>
    <w:p>
      <w:pPr>
        <w:spacing w:after="0" w:line="200" w:lineRule="exact"/>
        <w:rPr>
          <w:sz w:val="20"/>
          <w:szCs w:val="20"/>
          <w:color w:val="auto"/>
        </w:rPr>
      </w:pPr>
    </w:p>
    <w:p>
      <w:pPr>
        <w:spacing w:after="0" w:line="362" w:lineRule="exact"/>
        <w:rPr>
          <w:sz w:val="20"/>
          <w:szCs w:val="20"/>
          <w:color w:val="auto"/>
        </w:rPr>
      </w:pPr>
    </w:p>
    <w:p>
      <w:pPr>
        <w:ind w:left="1011" w:hanging="1011"/>
        <w:spacing w:after="0"/>
        <w:tabs>
          <w:tab w:leader="none" w:pos="10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19,020</w:t>
      </w:r>
    </w:p>
    <w:p>
      <w:pPr>
        <w:spacing w:after="0" w:line="35" w:lineRule="exact"/>
        <w:rPr>
          <w:rFonts w:ascii="Times New Roman" w:cs="Times New Roman" w:eastAsia="Times New Roman" w:hAnsi="Times New Roman"/>
          <w:sz w:val="18"/>
          <w:szCs w:val="18"/>
          <w:color w:val="auto"/>
        </w:rPr>
      </w:pPr>
    </w:p>
    <w:p>
      <w:pPr>
        <w:ind w:left="10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16,834</w:t>
      </w:r>
    </w:p>
    <w:p>
      <w:pPr>
        <w:spacing w:after="0" w:line="35" w:lineRule="exact"/>
        <w:rPr>
          <w:rFonts w:ascii="Times New Roman" w:cs="Times New Roman" w:eastAsia="Times New Roman" w:hAnsi="Times New Roman"/>
          <w:sz w:val="18"/>
          <w:szCs w:val="18"/>
          <w:color w:val="auto"/>
        </w:rPr>
      </w:pPr>
    </w:p>
    <w:p>
      <w:pPr>
        <w:ind w:left="105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759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41" w:lineRule="exact"/>
        <w:rPr>
          <w:sz w:val="20"/>
          <w:szCs w:val="20"/>
          <w:color w:val="auto"/>
        </w:rPr>
      </w:pPr>
    </w:p>
    <w:p>
      <w:pPr>
        <w:ind w:left="1011" w:hanging="1011"/>
        <w:spacing w:after="0"/>
        <w:tabs>
          <w:tab w:leader="none" w:pos="10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27,753</w:t>
      </w:r>
    </w:p>
    <w:p>
      <w:pPr>
        <w:spacing w:after="0" w:line="319" w:lineRule="exact"/>
        <w:rPr>
          <w:sz w:val="20"/>
          <w:szCs w:val="20"/>
          <w:color w:val="auto"/>
        </w:rPr>
      </w:pPr>
    </w:p>
    <w:p>
      <w:pPr>
        <w:ind w:left="1111" w:hanging="1111"/>
        <w:spacing w:after="0"/>
        <w:tabs>
          <w:tab w:leader="none" w:pos="11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4,151</w:t>
      </w:r>
    </w:p>
    <w:p>
      <w:pPr>
        <w:spacing w:after="0" w:line="35" w:lineRule="exact"/>
        <w:rPr>
          <w:rFonts w:ascii="Times New Roman" w:cs="Times New Roman" w:eastAsia="Times New Roman" w:hAnsi="Times New Roman"/>
          <w:sz w:val="18"/>
          <w:szCs w:val="18"/>
          <w:color w:val="auto"/>
        </w:rPr>
      </w:pPr>
    </w:p>
    <w:p>
      <w:pPr>
        <w:ind w:left="10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23,602</w:t>
      </w:r>
    </w:p>
    <w:p>
      <w:pPr>
        <w:spacing w:after="0" w:line="200" w:lineRule="exact"/>
        <w:rPr>
          <w:sz w:val="20"/>
          <w:szCs w:val="20"/>
          <w:color w:val="auto"/>
        </w:rPr>
      </w:pPr>
    </w:p>
    <w:p>
      <w:pPr>
        <w:sectPr>
          <w:pgSz w:w="11900" w:h="16838" w:orient="portrait"/>
          <w:cols w:equalWidth="0" w:num="3">
            <w:col w:w="7020" w:space="720"/>
            <w:col w:w="1640" w:space="229"/>
            <w:col w:w="1691"/>
          </w:cols>
          <w:pgMar w:left="320" w:top="337" w:right="279" w:bottom="1440" w:gutter="0" w:footer="0" w:header="0"/>
          <w:type w:val="continuous"/>
        </w:sectPr>
      </w:pP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are presented in the table below (dollars in thousands):</w:t>
      </w:r>
    </w:p>
    <w:p>
      <w:pPr>
        <w:spacing w:after="0" w:line="232"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2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(14,613 )</w:t>
            </w:r>
          </w:p>
        </w:tc>
        <w:tc>
          <w:tcPr>
            <w:tcW w:w="6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445"/>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Activity related to goodwill consisted of the following (in thousands):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14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6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57,771</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-1960245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The Company performed its annual goodwill impairment test in the second quarter of fiscal year 2024, and determined that there was no impairment to goodwill. The Company will continue to monitor its recorded goodwill for indicators of impairment.</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Purchased Intangible Assets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carrying amount of acquired intangible assets,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license</w:t>
            </w:r>
          </w:p>
        </w:tc>
        <w:tc>
          <w:tcPr>
            <w:tcW w:w="140" w:type="dxa"/>
            <w:vAlign w:val="bottom"/>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(1,016 )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(922 )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firstLine="255"/>
        <w:spacing w:after="0" w:line="281" w:lineRule="auto"/>
        <w:rPr>
          <w:sz w:val="20"/>
          <w:szCs w:val="20"/>
          <w:color w:val="auto"/>
        </w:rPr>
      </w:pPr>
      <w:r>
        <w:rPr>
          <w:rFonts w:ascii="Times New Roman" w:cs="Times New Roman" w:eastAsia="Times New Roman" w:hAnsi="Times New Roman"/>
          <w:sz w:val="18"/>
          <w:szCs w:val="18"/>
          <w:color w:val="auto"/>
        </w:rPr>
        <w:t>The Company did not identify any triggering events that would indicate a potential impairment of its definite-lived intangible and long-lived assets as of December 31, 2023.</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estimated future amortization expense of acquired intangible assets, net, as of December 31, 2023,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0"/>
                <w:szCs w:val="20"/>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r>
        <w:trPr>
          <w:trHeight w:val="243"/>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0"/>
        </w:trPr>
        <w:tc>
          <w:tcPr>
            <w:tcW w:w="9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Financial Instruments</w:t>
      </w:r>
    </w:p>
    <w:p>
      <w:pPr>
        <w:spacing w:after="0" w:line="18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utilizes foreign currency forward contracts with reputable financial institutions to manage its exposure of fluctuations in foreign currency exchange rates on certain intercompany balances and foreign currency denominated cash, customer receivables and liabilities. The Company does not use derivative financial instruments for speculative or trading purposes. These forward contracts are not designated as hedging instruments for accounting purposes. Principal hedged currencies primarily include the Japanese Yen, Swiss Franc, and Euro. The periods of these forward contracts range up to approximately three months and the notional amounts are intended to be consistent with changes in the underlying exposures.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notional amount of the Company's outstanding forward currency exchange contracts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Swiss Franc</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45,238</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outstanding forward currency exchange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8"/>
          <w:szCs w:val="18"/>
          <w:color w:val="auto"/>
        </w:rPr>
        <w:t>Gains and losses on the Company's foreign currency forward contracts are recorded in Other expense, net, on the Company's unaudited condensed consolidated statements of operations. The following table provides information about the gain or loss associated with the Company’s derivative financial instruments not designated as hedging instruments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4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on forward contracts</w:t>
            </w:r>
          </w:p>
        </w:tc>
        <w:tc>
          <w:tcPr>
            <w:tcW w:w="18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959</w:t>
            </w:r>
          </w:p>
        </w:tc>
        <w:tc>
          <w:tcPr>
            <w:tcW w:w="10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6"/>
              </w:rPr>
              <w:t>141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0"/>
                <w:szCs w:val="20"/>
                <w:color w:val="auto"/>
              </w:rPr>
            </w:pPr>
          </w:p>
        </w:tc>
      </w:tr>
      <w:tr>
        <w:trPr>
          <w:trHeight w:val="647"/>
        </w:trPr>
        <w:tc>
          <w:tcPr>
            <w:tcW w:w="4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4"/>
        </w:trPr>
        <w:tc>
          <w:tcPr>
            <w:tcW w:w="4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88" w:lineRule="exact"/>
        <w:rPr>
          <w:sz w:val="20"/>
          <w:szCs w:val="20"/>
          <w:color w:val="auto"/>
        </w:rPr>
      </w:pPr>
    </w:p>
    <w:p>
      <w:pPr>
        <w:ind w:right="400" w:firstLine="255"/>
        <w:spacing w:after="0" w:line="265"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that are available in active markets for the identical assets or liabilities at the measurement date.</w:t>
      </w:r>
    </w:p>
    <w:p>
      <w:pPr>
        <w:spacing w:after="0" w:line="184" w:lineRule="exact"/>
        <w:rPr>
          <w:sz w:val="20"/>
          <w:szCs w:val="20"/>
          <w:color w:val="auto"/>
        </w:rPr>
      </w:pPr>
    </w:p>
    <w:p>
      <w:pPr>
        <w:ind w:right="740" w:firstLine="255"/>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Other observable inputs available at the measurement date, other than quoted prices included in Level 1,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161" w:lineRule="exact"/>
        <w:rPr>
          <w:sz w:val="20"/>
          <w:szCs w:val="20"/>
          <w:color w:val="auto"/>
        </w:rPr>
      </w:pPr>
    </w:p>
    <w:p>
      <w:pPr>
        <w:ind w:left="640" w:hanging="37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4"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224"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224"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182" w:lineRule="exact"/>
        <w:rPr>
          <w:sz w:val="20"/>
          <w:szCs w:val="20"/>
          <w:color w:val="auto"/>
        </w:rPr>
      </w:pPr>
    </w:p>
    <w:p>
      <w:pPr>
        <w:ind w:right="200" w:firstLine="255"/>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Unobservable inputs that cannot be corroborated by observable market data and require the use of significant management judgment.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values are generally determined using pricing models for which the assumptions utilize management’s estimates of market participant assumptions.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2023, the Company had open currency forward contracts to purchase or sell foreign currencies with a stated or notional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 million. The fair value of the underlying currency, based upon the December 31, 2023 exchange rate, was $100.4 million, which it considers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fair value measurement.</w:t>
      </w:r>
    </w:p>
    <w:p>
      <w:pPr>
        <w:spacing w:after="0" w:line="166" w:lineRule="exact"/>
        <w:rPr>
          <w:sz w:val="20"/>
          <w:szCs w:val="20"/>
          <w:color w:val="auto"/>
        </w:rPr>
      </w:pPr>
    </w:p>
    <w:p>
      <w:pPr>
        <w:jc w:val="both"/>
        <w:ind w:right="220" w:firstLine="255"/>
        <w:spacing w:after="0" w:line="265" w:lineRule="auto"/>
        <w:rPr>
          <w:sz w:val="20"/>
          <w:szCs w:val="20"/>
          <w:color w:val="auto"/>
        </w:rPr>
      </w:pPr>
      <w:r>
        <w:rPr>
          <w:rFonts w:ascii="Times New Roman" w:cs="Times New Roman" w:eastAsia="Times New Roman" w:hAnsi="Times New Roman"/>
          <w:sz w:val="18"/>
          <w:szCs w:val="18"/>
          <w:color w:val="auto"/>
        </w:rPr>
        <w:t>As of June 30, 2023, the Company had open currency forward contracts to purchase or sell foreign currencies with a stated or notional value of $61.5 million. The fair value of the underlying currency, based upon the June 30, 2023 exchange rate, was $61.2 million, which it considers to be a Level 2 fair value measurement.</w:t>
      </w:r>
    </w:p>
    <w:p>
      <w:pPr>
        <w:spacing w:after="0" w:line="137" w:lineRule="exact"/>
        <w:rPr>
          <w:sz w:val="20"/>
          <w:szCs w:val="20"/>
          <w:color w:val="auto"/>
        </w:rPr>
      </w:pPr>
    </w:p>
    <w:p>
      <w:pPr>
        <w:ind w:right="400" w:firstLine="255"/>
        <w:spacing w:after="0" w:line="260" w:lineRule="auto"/>
        <w:rPr>
          <w:sz w:val="20"/>
          <w:szCs w:val="20"/>
          <w:color w:val="auto"/>
        </w:rPr>
      </w:pPr>
      <w:r>
        <w:rPr>
          <w:rFonts w:ascii="Times New Roman" w:cs="Times New Roman" w:eastAsia="Times New Roman" w:hAnsi="Times New Roman"/>
          <w:sz w:val="18"/>
          <w:szCs w:val="18"/>
          <w:color w:val="auto"/>
        </w:rPr>
        <w:t>The Company’s convertible debt is measured on a recurring basis using Level 2 based upon observable inputs. The Company's Revolving Credit Facility and Term Loan Facility (as defined in Note 9) collectively (the “Credit Facilities”) reflect the bank quoted market rates, which the Company considers to be a Level 2 fair value measurement. The Company believes that the carrying value of the Credit Facilities approximates its estimated fair value based on the effective interest rate, compared to the current market rate available to the Company at quarter-end.</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summarizes the carrying value and estimated fair value of the 3.75% Convertible Senior Notes due 2026, Term Loan Facility,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4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1"/>
                <w:szCs w:val="11"/>
                <w:color w:val="auto"/>
              </w:rPr>
            </w:pPr>
          </w:p>
        </w:tc>
        <w:tc>
          <w:tcPr>
            <w:tcW w:w="980" w:type="dxa"/>
            <w:vAlign w:val="bottom"/>
          </w:tcPr>
          <w:p>
            <w:pPr>
              <w:jc w:val="right"/>
              <w:ind w:right="4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Notes due 2026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98,265</w:t>
            </w:r>
          </w:p>
        </w:tc>
        <w:tc>
          <w:tcPr>
            <w:tcW w:w="100" w:type="dxa"/>
            <w:vAlign w:val="bottom"/>
            <w:shd w:val="clear" w:color="auto" w:fill="CFF0FC"/>
          </w:tcPr>
          <w:p>
            <w:pPr>
              <w:spacing w:after="0"/>
              <w:rPr>
                <w:sz w:val="20"/>
                <w:szCs w:val="20"/>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10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174,758</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177,359</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4"/>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-1026795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-1026795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-1026795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02"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188"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Under the terms of the Company’s software license agreements with its customers, the Company agrees that in the event the software sold infringes upon any patent, copyright, trademark, or any other proprietary right of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December 31, 2023.</w:t>
      </w:r>
    </w:p>
    <w:p>
      <w:pPr>
        <w:spacing w:after="0" w:line="176"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As of December 31, 2023 and June 30, 2023, the Company had various bank guarantees totaling $1.2 million and $1.3 million, respectively, primarily related to bidding processes with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Agreement</w:t>
      </w:r>
    </w:p>
    <w:p>
      <w:pPr>
        <w:spacing w:after="0" w:line="22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Company enters into software license agreements with third parties that require royalty payments for each license used. In connection with such agreements, the Company recorded royalty costs of $0.4 million and $0.9 million during the three and six months ended December 31, 2023, respectively, and $0.6 million and $1.1 million during the three and six months ended December 31, 2022, respectively, which were recorded in cost of revenue or deferred cost of revenue. The Company had approximately $2.5 million and $2.4 million in accrued royalty payments as of December 31, 2023, and June 30, 2023, respectively, related to royalty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188"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8"/>
          <w:szCs w:val="18"/>
          <w:color w:val="auto"/>
        </w:rPr>
        <w:t>On October 25, 2023, the Company informed affected employees of a cost savings initiative to reduce operating expenses resulting in the elimination of approximately 5.9 percent of the Company’s global workforce. The Company recorded a charge of $2.6 million during the three months ended December 31, 2023. These charges are cash-based and are primarily related to severance expenses and other one-time termination benefits. The Company paid approximately $1.9 million in cash for the restructuring charges during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6" w:name="page17"/>
    <w:bookmarkEnd w:id="16"/>
    <w:p>
      <w:pPr>
        <w:ind w:right="200"/>
        <w:spacing w:after="0" w:line="312" w:lineRule="auto"/>
        <w:rPr>
          <w:sz w:val="20"/>
          <w:szCs w:val="20"/>
          <w:color w:val="auto"/>
        </w:rPr>
      </w:pPr>
      <w:r>
        <w:rPr>
          <w:rFonts w:ascii="Times New Roman" w:cs="Times New Roman" w:eastAsia="Times New Roman" w:hAnsi="Times New Roman"/>
          <w:sz w:val="17"/>
          <w:szCs w:val="17"/>
          <w:color w:val="auto"/>
        </w:rPr>
        <w:t>three months ended December 31, 2023. At December 31, 2023, the Company has a remaining accrual of $0.7 million, which is included in accrued compensation on the unaudited condensed consolidated balance sheets, and expects to pay the remaining amounts over the remainder of fiscal year 2024.</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outstanding debt as of December 31, 2023 and June 30, 2023,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980" w:type="dxa"/>
            <w:vAlign w:val="bottom"/>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980" w:type="dxa"/>
            <w:vAlign w:val="bottom"/>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r>
      <w:tr>
        <w:trPr>
          <w:trHeight w:val="187"/>
        </w:trPr>
        <w:tc>
          <w:tcPr>
            <w:tcW w:w="3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Senior Notes due 2026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98,189</w:t>
            </w:r>
          </w:p>
        </w:tc>
        <w:tc>
          <w:tcPr>
            <w:tcW w:w="100" w:type="dxa"/>
            <w:vAlign w:val="bottom"/>
            <w:shd w:val="clear" w:color="auto" w:fill="CFF0FC"/>
          </w:tcPr>
          <w:p>
            <w:pPr>
              <w:spacing w:after="0"/>
              <w:rPr>
                <w:sz w:val="20"/>
                <w:szCs w:val="20"/>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(906 )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100" w:type="dxa"/>
            <w:vAlign w:val="bottom"/>
          </w:tcPr>
          <w:p>
            <w:pPr>
              <w:spacing w:after="0"/>
              <w:rPr>
                <w:sz w:val="20"/>
                <w:szCs w:val="20"/>
                <w:color w:val="auto"/>
              </w:rPr>
            </w:pPr>
          </w:p>
        </w:tc>
      </w:tr>
      <w:tr>
        <w:trPr>
          <w:trHeight w:val="24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(2,242 )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177,283</w:t>
            </w:r>
          </w:p>
        </w:tc>
        <w:tc>
          <w:tcPr>
            <w:tcW w:w="100" w:type="dxa"/>
            <w:vAlign w:val="bottom"/>
          </w:tcPr>
          <w:p>
            <w:pPr>
              <w:spacing w:after="0"/>
              <w:rPr>
                <w:sz w:val="20"/>
                <w:szCs w:val="20"/>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0"/>
                <w:szCs w:val="20"/>
                <w:color w:val="auto"/>
              </w:rPr>
            </w:pPr>
          </w:p>
        </w:tc>
      </w:tr>
      <w:tr>
        <w:trPr>
          <w:trHeight w:val="24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168,020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177,283</w:t>
            </w:r>
          </w:p>
        </w:tc>
        <w:tc>
          <w:tcPr>
            <w:tcW w:w="10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-838200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-838200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-838200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-838200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-838200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3.75% Convertible Senior Notes due June 2026</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May 2021, the Company issued $100.0 million aggregate principal amount of its 3.75% Convertible Senior Notes due June 2026 (the “3.75%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due 2026”) under an indenture agreement between the Company and The Bank of New York Mellon Trust Company, N.A., as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if-converted value of its 3.75% Convertible Notes due 2026 did not exceed the outstanding principal amount.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The Company has a $40.0 million revolving credit facility (the “Revolving Credit Facility”) and a five-year $80.0 million term loan (the “Term Loan Facility”). In fiscal year 2024, interest on the borrowings under the Credit Facilities is payable in arrears on the applicable interest payment date, at an annual interest rate of reserve-adjusted, 90-day term Secured Overnight Financing Rate (subject to a 0.50% floor) plus a margin between 2.50% and 3.25% margin, determined by the Consolidated Senior Net Leverage Ratio (as defined in the credit agreement governing the Credit Facilities (the “Credit Agreement”)). The weighted average effective interest rate on the Term Loan Facility and Revolving Credit Facility was approximately 8.4% during both the three and six months ended December 31, 2023.</w:t>
      </w:r>
    </w:p>
    <w:p>
      <w:pPr>
        <w:spacing w:after="0" w:line="186"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The Credit Agreement requires the Company to pay the lenders an unused commitment fee equal to the average unused portion of the Revolving Credit Facility. The Company pays a rate of 0.25% to 0.40% per annum of the average unused portion of the Revolving Credit Facility, determined by the Consolidated Senior Net Leverage Ratio (as defined in the Credit Agreement). If all or a portion of the loans under the Term Loan Facility are prepaid, then the Company will be required to pay a fee equal to 1% of the aggregate amount of the loans so prepaid, subject to certain exceptions.</w:t>
      </w:r>
    </w:p>
    <w:p>
      <w:pPr>
        <w:spacing w:after="0" w:line="182"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The Credit Agreement contains restrictions and covenants applicable to the Company and its subsidiaries. Among other requirements, the Company may not permit the Fixed Charge Coverage Ratio (as defined in the Credit Agreement) to be less than a certain specified ratio for each fiscal quarter during the term of the Credit Agreement or the consolidated senior net leverage ratio to be greater than a certain specified ratio for each fiscal quarter during the term of the Credit Agreement. As of December 31, 2023, the Company was in compliance with its covenants under the Credit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7" w:name="page18"/>
    <w:bookmarkEnd w:id="17"/>
    <w:p>
      <w:pPr>
        <w:ind w:right="260" w:firstLine="255"/>
        <w:spacing w:after="0" w:line="281" w:lineRule="auto"/>
        <w:rPr>
          <w:sz w:val="20"/>
          <w:szCs w:val="20"/>
          <w:color w:val="auto"/>
        </w:rPr>
      </w:pPr>
      <w:r>
        <w:rPr>
          <w:rFonts w:ascii="Times New Roman" w:cs="Times New Roman" w:eastAsia="Times New Roman" w:hAnsi="Times New Roman"/>
          <w:sz w:val="18"/>
          <w:szCs w:val="18"/>
          <w:color w:val="auto"/>
        </w:rPr>
        <w:t>A summary of interest expense on the 3.75% Convertible Notes due 2026, the Revolving Credit Facility, and the Term Loan Facility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1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contractual interest coupon</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2,653</w:t>
            </w:r>
          </w:p>
        </w:tc>
        <w:tc>
          <w:tcPr>
            <w:tcW w:w="10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2,362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FF0FC"/>
          </w:tcPr>
          <w:p>
            <w:pPr>
              <w:spacing w:after="0"/>
              <w:rPr>
                <w:sz w:val="20"/>
                <w:szCs w:val="20"/>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related to amortization of debt issuance costs</w:t>
            </w:r>
          </w:p>
        </w:tc>
        <w:tc>
          <w:tcPr>
            <w:tcW w:w="7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r>
      <w:tr>
        <w:trPr>
          <w:trHeight w:val="272"/>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2,890</w:t>
            </w:r>
          </w:p>
        </w:tc>
        <w:tc>
          <w:tcPr>
            <w:tcW w:w="2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2,590</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 Incentive Plan and Employee Stock Purchase Plan</w:t>
      </w:r>
    </w:p>
    <w:p>
      <w:pPr>
        <w:spacing w:after="0" w:line="202"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8"/>
          <w:szCs w:val="18"/>
          <w:color w:val="auto"/>
        </w:rPr>
        <w:t>The following table presents details of share-based compensation expenses, by functional line item, noted within the Company's operating expenses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1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1,207</w:t>
            </w: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2,314</w:t>
            </w:r>
          </w:p>
        </w:tc>
        <w:tc>
          <w:tcPr>
            <w:tcW w:w="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3,126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00" w:firstLine="255"/>
        <w:spacing w:after="0" w:line="281" w:lineRule="auto"/>
        <w:rPr>
          <w:sz w:val="20"/>
          <w:szCs w:val="20"/>
          <w:color w:val="auto"/>
        </w:rPr>
      </w:pPr>
      <w:r>
        <w:rPr>
          <w:rFonts w:ascii="Times New Roman" w:cs="Times New Roman" w:eastAsia="Times New Roman" w:hAnsi="Times New Roman"/>
          <w:sz w:val="18"/>
          <w:szCs w:val="18"/>
          <w:color w:val="auto"/>
        </w:rPr>
        <w:t>On November 9, 2023, the Company’s stockholders approved amending and restating the Company’s 2016 Equity Incentive Plan to increase the number of shares of the Company’s common stock available for issuance by 5.0 million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Common Share</w:t>
      </w:r>
    </w:p>
    <w:p>
      <w:pPr>
        <w:spacing w:after="0" w:line="188"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8"/>
          <w:szCs w:val="18"/>
          <w:color w:val="auto"/>
        </w:rPr>
        <w:t>The Company reports both basic and diluted net loss per share, which is based on the weighted average number of common shares outstanding during the period. A reconciliation of the numerator and denominator used in the calculation of basic and diluted net loss per common share follows (in thousands, except for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(12,590 )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(7,323 )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97,776</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19"/>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Anti-dilutive share-based awards, excluded</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-516255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-516255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-173990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-156845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-173990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-156845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-173990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-156845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The potentially dilutive shares of the Company’s common stock are excluded from the computation of diluted net loss per share when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Additionally, the outstanding 3.75% Convertible Notes due 2026 are included in the calculation of diluted net loss per share only if their inclusion is dilutive for periods during which the 3.75% Convertible Notes due 2026 were outstanding. The shares of common stock issuable upon conversion of the outstanding principal amount of the 3.75% Convertible Notes due 2026 as of three and six months ended December 31, 2023 and 2022 totaled approximately 17.1 million shares and were not included in the basic and diluted net loss per common share as the effect of adding the shares were anti-dilutive.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reviews financial information presented on a consolidated basis for purposes of making operating decisions and assessing financial performance. The Company does not assess the performance of its individual product lines on measures of profit or loss, or asset-based metrics, therefore, the information below is presented only for revenues and long-lived tangible assets by geographic area.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120" w:firstLine="255"/>
        <w:spacing w:after="0" w:line="265" w:lineRule="auto"/>
        <w:rPr>
          <w:sz w:val="20"/>
          <w:szCs w:val="20"/>
          <w:color w:val="auto"/>
        </w:rPr>
      </w:pPr>
      <w:r>
        <w:rPr>
          <w:rFonts w:ascii="Times New Roman" w:cs="Times New Roman" w:eastAsia="Times New Roman" w:hAnsi="Times New Roman"/>
          <w:sz w:val="18"/>
          <w:szCs w:val="18"/>
          <w:color w:val="auto"/>
        </w:rPr>
        <w:t>The Company reports its customer revenues in four geographic regions: the Americas, EIMEA, Asia Pacific and Japan. The Americas region primarily includes the United States, Canada, and Latin America. The EIMEA region includes Europe, India, the Middle East and Africa. The Asia Pacific region consists of Asia, Australia and New Zealand.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summarizes revenue by geographic region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55,204</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00" w:type="dxa"/>
            <w:vAlign w:val="bottom"/>
          </w:tcPr>
          <w:p>
            <w:pPr>
              <w:spacing w:after="0"/>
              <w:rPr>
                <w:sz w:val="20"/>
                <w:szCs w:val="20"/>
                <w:color w:val="auto"/>
              </w:rPr>
            </w:pPr>
          </w:p>
        </w:tc>
      </w:tr>
      <w:tr>
        <w:trPr>
          <w:trHeight w:val="247"/>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35,278</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27,188</w:t>
            </w:r>
          </w:p>
        </w:tc>
        <w:tc>
          <w:tcPr>
            <w:tcW w:w="100" w:type="dxa"/>
            <w:vAlign w:val="bottom"/>
          </w:tcPr>
          <w:p>
            <w:pPr>
              <w:spacing w:after="0"/>
              <w:rPr>
                <w:sz w:val="20"/>
                <w:szCs w:val="20"/>
                <w:color w:val="auto"/>
              </w:rPr>
            </w:pPr>
          </w:p>
        </w:tc>
      </w:tr>
      <w:tr>
        <w:trPr>
          <w:trHeight w:val="243"/>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211,253</w:t>
            </w:r>
          </w:p>
        </w:tc>
        <w:tc>
          <w:tcPr>
            <w:tcW w:w="100" w:type="dxa"/>
            <w:vAlign w:val="bottom"/>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-187960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Long-Lived Assets</w:t>
      </w:r>
    </w:p>
    <w:p>
      <w:pPr>
        <w:spacing w:after="0" w:line="229" w:lineRule="exact"/>
        <w:rPr>
          <w:sz w:val="20"/>
          <w:szCs w:val="20"/>
          <w:color w:val="auto"/>
        </w:rPr>
      </w:pPr>
    </w:p>
    <w:p>
      <w:pPr>
        <w:jc w:val="both"/>
        <w:ind w:firstLine="255"/>
        <w:spacing w:after="0" w:line="281" w:lineRule="auto"/>
        <w:rPr>
          <w:sz w:val="20"/>
          <w:szCs w:val="20"/>
          <w:color w:val="auto"/>
        </w:rPr>
      </w:pPr>
      <w:r>
        <w:rPr>
          <w:rFonts w:ascii="Times New Roman" w:cs="Times New Roman" w:eastAsia="Times New Roman" w:hAnsi="Times New Roman"/>
          <w:sz w:val="18"/>
          <w:szCs w:val="18"/>
          <w:color w:val="auto"/>
        </w:rPr>
        <w:t>Information regarding geographic areas in which the Company has long-lived assets, which consists of property, plant and equipment, net, and operating lease right-of-use assets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44,360</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46,779</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Joint Venture</w:t>
      </w:r>
    </w:p>
    <w:p>
      <w:pPr>
        <w:spacing w:after="0" w:line="22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December 31, 2023, the Company owned a 49% interest in the JV, which is reported as an investment in joint venture on the Company’s unaudited condensed consolidated balance sheets.</w:t>
      </w:r>
    </w:p>
    <w:p>
      <w:pPr>
        <w:spacing w:after="0" w:line="20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or loss on a one-quarter lag due to the timing of the availability of the JV’s financial records. The Company recognizes revenue on sales to the JV in the current period, eliminating a portion of profit to the extent goods sold have not been sold through by the JV to an end customer at the end of such reporting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620" w:firstLine="255"/>
        <w:spacing w:after="0" w:line="281" w:lineRule="auto"/>
        <w:rPr>
          <w:sz w:val="20"/>
          <w:szCs w:val="20"/>
          <w:color w:val="auto"/>
        </w:rPr>
      </w:pPr>
      <w:r>
        <w:rPr>
          <w:rFonts w:ascii="Times New Roman" w:cs="Times New Roman" w:eastAsia="Times New Roman" w:hAnsi="Times New Roman"/>
          <w:sz w:val="18"/>
          <w:szCs w:val="18"/>
          <w:color w:val="auto"/>
        </w:rPr>
        <w:t>The following table shows the reconciliation between the carrying value of the Company's investment in the JV and its proportional share of the underlying equity in net assets of the JV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800" w:type="dxa"/>
            <w:vAlign w:val="bottom"/>
          </w:tcPr>
          <w:p>
            <w:pPr>
              <w:spacing w:after="0"/>
              <w:rPr>
                <w:sz w:val="16"/>
                <w:szCs w:val="16"/>
                <w:color w:val="auto"/>
              </w:rPr>
            </w:pPr>
          </w:p>
        </w:tc>
        <w:tc>
          <w:tcPr>
            <w:tcW w:w="1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investment in joint venture</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shd w:val="clear" w:color="auto" w:fill="CFF0FC"/>
          </w:tcPr>
          <w:p>
            <w:pPr>
              <w:spacing w:after="0"/>
              <w:rPr>
                <w:sz w:val="20"/>
                <w:szCs w:val="20"/>
                <w:color w:val="auto"/>
              </w:rPr>
            </w:pPr>
          </w:p>
        </w:tc>
      </w:t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profit margin</w:t>
            </w:r>
          </w:p>
        </w:tc>
        <w:tc>
          <w:tcPr>
            <w:tcW w:w="14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method goodwill</w:t>
            </w:r>
          </w:p>
        </w:tc>
        <w:tc>
          <w:tcPr>
            <w:tcW w:w="14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(4,720 )</w:t>
            </w:r>
          </w:p>
        </w:tc>
        <w:tc>
          <w:tcPr>
            <w:tcW w:w="4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(4,720 )</w:t>
            </w:r>
          </w:p>
        </w:tc>
      </w:tr>
      <w:tr>
        <w:trPr>
          <w:trHeight w:val="236"/>
        </w:trPr>
        <w:tc>
          <w:tcPr>
            <w:tcW w:w="68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Proportional share of equity investment in joint venture</w:t>
            </w: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3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100" w:type="dxa"/>
            <w:vAlign w:val="bottom"/>
            <w:tcBorders>
              <w:top w:val="single" w:sz="8" w:color="CFF0FC"/>
            </w:tcBorders>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Company’s carrying value of the investment in the JV was decreased for the Company's proportional share of the JV's currency translation adjustment by $0.9 million. As of June 30, 2023, the Company’s carrying value of the investment in the JV for the Company's proportional share of the JV's currency translation adjustment was not material.</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Summarized financial information of the JV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8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100" w:type="dxa"/>
            <w:vAlign w:val="bottom"/>
            <w:shd w:val="clear" w:color="auto" w:fill="CFF0FC"/>
          </w:tcPr>
          <w:p>
            <w:pPr>
              <w:spacing w:after="0"/>
              <w:rPr>
                <w:sz w:val="20"/>
                <w:szCs w:val="20"/>
                <w:color w:val="auto"/>
              </w:rPr>
            </w:pPr>
          </w:p>
        </w:tc>
      </w:tr>
      <w:tr>
        <w:trPr>
          <w:trHeight w:val="238"/>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Pr>
          <w:p>
            <w:pPr>
              <w:spacing w:after="0"/>
              <w:rPr>
                <w:sz w:val="20"/>
                <w:szCs w:val="20"/>
                <w:color w:val="auto"/>
              </w:rPr>
            </w:pPr>
          </w:p>
        </w:tc>
      </w:tr>
      <w:tr>
        <w:trPr>
          <w:trHeight w:val="247"/>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(872 )</w:t>
            </w:r>
          </w:p>
        </w:tc>
        <w:tc>
          <w:tcPr>
            <w:tcW w:w="3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(1,416 )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(2,168 )</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(427 )</w:t>
            </w:r>
          </w:p>
        </w:tc>
        <w:tc>
          <w:tcPr>
            <w:tcW w:w="3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(1,067 )</w:t>
            </w: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Summarized Balance Sheet Data:</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2"/>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94,504</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108,080</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92,183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31,568</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-829945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-812800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-187960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shows the activity of the Company’s net revenue recognized from intra-entity profit margin from sales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9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recognized from released deferred intra-entity profit margin</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FF0FC"/>
          </w:tcPr>
          <w:p>
            <w:pPr>
              <w:spacing w:after="0"/>
              <w:rPr>
                <w:sz w:val="20"/>
                <w:szCs w:val="20"/>
                <w:color w:val="auto"/>
              </w:rPr>
            </w:pP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profit margin from sales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(2,858 )</w:t>
            </w:r>
          </w:p>
        </w:tc>
        <w:tc>
          <w:tcPr>
            <w:tcW w:w="3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(3,042 )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(6,019 )</w:t>
            </w:r>
          </w:p>
        </w:tc>
        <w:tc>
          <w:tcPr>
            <w:tcW w:w="3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(5,429 )</w:t>
            </w:r>
          </w:p>
        </w:tc>
      </w:tr>
      <w:tr>
        <w:trPr>
          <w:trHeight w:val="276"/>
        </w:trPr>
        <w:tc>
          <w:tcPr>
            <w:tcW w:w="6540" w:type="dxa"/>
            <w:vAlign w:val="bottom"/>
            <w:tcBorders>
              <w:bottom w:val="single" w:sz="8" w:color="CFF0FC"/>
            </w:tcBorders>
            <w:shd w:val="clear" w:color="auto" w:fill="CFF0FC"/>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Net revenue recognized from intra-entity profit margin from sales </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-24765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380" w:right="40" w:hanging="372"/>
        <w:spacing w:after="0" w:line="258"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earned by the Company from the JV is eliminated through cost of goods sold until it is realized; such profits would generally be considered realized when the inventory has been sold through to third parties.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w:t>
      </w:r>
    </w:p>
    <w:p>
      <w:pPr>
        <w:spacing w:after="0" w:line="229" w:lineRule="exact"/>
        <w:rPr>
          <w:sz w:val="20"/>
          <w:szCs w:val="20"/>
          <w:color w:val="auto"/>
        </w:rPr>
      </w:pPr>
    </w:p>
    <w:p>
      <w:pPr>
        <w:ind w:right="240" w:firstLine="255"/>
        <w:spacing w:after="0" w:line="265" w:lineRule="auto"/>
        <w:rPr>
          <w:sz w:val="20"/>
          <w:szCs w:val="20"/>
          <w:color w:val="auto"/>
        </w:rPr>
      </w:pPr>
      <w:r>
        <w:rPr>
          <w:rFonts w:ascii="Times New Roman" w:cs="Times New Roman" w:eastAsia="Times New Roman" w:hAnsi="Times New Roman"/>
          <w:sz w:val="18"/>
          <w:szCs w:val="18"/>
          <w:color w:val="auto"/>
        </w:rPr>
        <w:t>On a quarterly basis, the Company provides for income taxes based upon an estimated annual effective income tax rate. The Company recognized income tax expense, which were primarily related to foreign taxes, of $0.9 million and $2.8 million during the three and six months ended December 31, 2023, respectively, and $1.0 million and $1.4 million during the three and six months ended December 31, 2022, respectively.</w:t>
      </w:r>
    </w:p>
    <w:p>
      <w:pPr>
        <w:spacing w:after="0" w:line="177"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8"/>
          <w:szCs w:val="18"/>
          <w:color w:val="auto"/>
        </w:rPr>
        <w:t>Starting in fiscal year 2019, certain income earned by controlling foreign corporations (“CFCs”) must be included in the gross income of the CFC’s U.S. shareholder. The income required to be included in gross income is referred to as global intangible low tax income (“GILTI”) and is defined under IRC Section 951A as the excess of the shareholder’s net CFC tested income over the net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180"/>
        <w:spacing w:after="0" w:line="281" w:lineRule="auto"/>
        <w:rPr>
          <w:sz w:val="20"/>
          <w:szCs w:val="20"/>
          <w:color w:val="auto"/>
        </w:rPr>
      </w:pPr>
      <w:r>
        <w:rPr>
          <w:rFonts w:ascii="Times New Roman" w:cs="Times New Roman" w:eastAsia="Times New Roman" w:hAnsi="Times New Roman"/>
          <w:sz w:val="18"/>
          <w:szCs w:val="18"/>
          <w:color w:val="auto"/>
        </w:rPr>
        <w:t>deemed tangible income return. The GILTI inclusion amount is expected to be fully absorbed by net operating losses carryforward and is not expected to cause the Company to be in a U.S. taxable income position for fiscal year 2024.</w:t>
      </w:r>
    </w:p>
    <w:p>
      <w:pPr>
        <w:spacing w:after="0" w:line="163"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8"/>
          <w:szCs w:val="18"/>
          <w:color w:val="auto"/>
        </w:rPr>
        <w:t>There is no material impact on the Company’s unaudited condensed consolidated financial statements for fiscal year 2024 relating to the change in U.S. tax law that requires capitalization and amortization of research and experimental expenditures incurred after July 1, 2022 which has been fully offset by pre-2018 net operating loss carryforwards. The Company will continue to evaluate the impact of this tax law change on future periods.</w:t>
      </w:r>
    </w:p>
    <w:p>
      <w:pPr>
        <w:spacing w:after="0" w:line="177"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Company’s gross unrecognized tax benefits were $21.6 million, of which $21.2 million would not affect income tax expense before consideration of any valuation allowance. The Company does not expect its unrecognized tax benefits to change significantly over the next 12 months. Interest and penalties accrued on unrecognized tax benefits and are recorded as a component of income tax expense.</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255"/>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as of December 31, 2023, and results of operations for the three and six months ended December 31, 2023 and 2022 should be read together with our unaudited condensed consolidated financial statements and related notes included in this report. Statements made in this Form 10-Q report that are not statements of historical fact are forward-looking statements that are subject to the “safe harbor”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expectations regarding our cost savings initiatives, including our reduction in our global workforce and any related costs; our expectations regarding backlog and age-outs, cancellations of contracts and foreign currency impacts; the anticipated drivers of our future capital requirements; expectations regarding our strategy in China and our China joint venture as well as its expected impact on our business; expectations regarding our new enterprise resource planning system, SAP; expectations regarding the market in China for radiation oncology systems; expectations regarding the effects of the global macroeconomic conditions and the COVID-19 pandemic on our financial results and business as well as the business of our customers and suppliers;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the timing of deliveries and revenue conversion related to China; our expectations regarding the adequacy of our manufacturing facilities; the anticipated risks associated with our foreign operations and fluctuations in the U.S. Dollar and foreign currencies as well as our ability to mitigate such risks; tariffs and trade policies; expectations related to the effect of the GILTI tax on our taxable income position;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“Risk Factors” in Part II, Item 1A, and other filings we make with the Securities and Exchange Commission. Forward-looking statements speak only as of the date the statements are made and are based on information available to us at the time those statements are made and/or management’s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this report, “Accuray,” the “Company,” “we,” “us,” and “our” refer to Accuray Incorporated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right="40" w:firstLine="187"/>
        <w:spacing w:after="0" w:line="258" w:lineRule="auto"/>
        <w:rPr>
          <w:sz w:val="20"/>
          <w:szCs w:val="20"/>
          <w:color w:val="auto"/>
        </w:rPr>
      </w:pPr>
      <w:r>
        <w:rPr>
          <w:rFonts w:ascii="Times New Roman" w:cs="Times New Roman" w:eastAsia="Times New Roman" w:hAnsi="Times New Roman"/>
          <w:sz w:val="18"/>
          <w:szCs w:val="18"/>
          <w:color w:val="auto"/>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spacing w:after="0" w:line="200" w:lineRule="exact"/>
        <w:rPr>
          <w:sz w:val="20"/>
          <w:szCs w:val="20"/>
          <w:color w:val="auto"/>
        </w:rPr>
      </w:pPr>
    </w:p>
    <w:p>
      <w:pPr>
        <w:spacing w:after="0" w:line="205"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8"/>
          <w:szCs w:val="18"/>
          <w:color w:val="auto"/>
        </w:rPr>
        <w:t>Our innovative technologies, the CyberKnife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TomoTherapy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platforms, including the Radixact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229" w:lineRule="exact"/>
        <w:rPr>
          <w:sz w:val="20"/>
          <w:szCs w:val="20"/>
          <w:color w:val="auto"/>
        </w:rPr>
      </w:pPr>
    </w:p>
    <w:p>
      <w:pPr>
        <w:ind w:right="40" w:firstLine="187"/>
        <w:spacing w:after="0" w:line="256" w:lineRule="auto"/>
        <w:rPr>
          <w:sz w:val="20"/>
          <w:szCs w:val="20"/>
          <w:color w:val="auto"/>
        </w:rPr>
      </w:pPr>
      <w:r>
        <w:rPr>
          <w:rFonts w:ascii="Times New Roman" w:cs="Times New Roman" w:eastAsia="Times New Roman" w:hAnsi="Times New Roman"/>
          <w:sz w:val="18"/>
          <w:szCs w:val="18"/>
          <w:color w:val="auto"/>
        </w:rPr>
        <w:t>We are subject to risks and uncertainties caused, directly or indirectly, by events with significant geopolitical and macroeconomic impacts, including, but not limited to, rising inflation; actions taken to counter inflation, including rising interest rates; foreign currency exchange rate fluctuations; uncertainty and volatility in the banking and financial services sector; tightening credit markets, the effects of the COVID-19 pandemic; geopolitical concerns, such as the Russian-Ukraine and Israel-Hamas conflicts and increasing tension between China and the U.S., including with respect to Taiwan; and other factors that may emerge. We are also continuing to navigate supply chain and inflation challenges and adverse foreign currency exchange rate fluctuations, all of which continues to have a negative impact on our results of operations.</w:t>
      </w:r>
    </w:p>
    <w:p>
      <w:pPr>
        <w:spacing w:after="0" w:line="18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expect that our customers’ business and our business will continue to be adversely impacted, directly or indirectly, by these macroeconomic and geopolitical issues. Delays in deliveries and installations as a result of the COVID-19 pandemic and the ongoing recovery from the COVID-19 pandemic as well as its effects on the global economic environment have occurred and may continue, to some degree, through the remainder of calendar year 2024, which could have a negative impact on our revenue during such period. In addition, rising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at least the remainder of fiscal year 2024, and potentially longer. The extent of the ongoing impact of these macroeconomic events on our business, our markets and on global economic activity however, is uncertain and the related financial impact cannot be reasonably estimated with any certainty at this time. 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including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and the COVID-19 pandemic on our business, are further described in the section titled “Risk Factors” in Part II, Item 1A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Our Products</w:t>
      </w:r>
    </w:p>
    <w:p>
      <w:pPr>
        <w:spacing w:after="0" w:line="22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four geographic regions: the Americas, EIMEA, Asia Pacific and Japan. The Americas region includes the United States, Canada and Latin America. The EIMEA region includes Europe, India, the Middle East and Africa. The Asia Pacific region consists of Asia, Australia and New Zealand.</w:t>
      </w:r>
    </w:p>
    <w:p>
      <w:pPr>
        <w:spacing w:after="0" w:line="186"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 the United States, we primarily market directly to customers, including hospitals and stand-alone treatment facilities, through our sales organization and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Eastern Europe, Russia, the Middle East, the Asia Pacific region, and Latin America.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22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w:t>
      </w:r>
    </w:p>
    <w:p>
      <w:pPr>
        <w:spacing w:after="0" w:line="182" w:lineRule="exact"/>
        <w:rPr>
          <w:sz w:val="20"/>
          <w:szCs w:val="20"/>
          <w:color w:val="auto"/>
        </w:rPr>
      </w:pPr>
    </w:p>
    <w:p>
      <w:pPr>
        <w:ind w:right="200" w:firstLine="255"/>
        <w:spacing w:after="0" w:line="260" w:lineRule="auto"/>
        <w:rPr>
          <w:sz w:val="20"/>
          <w:szCs w:val="20"/>
          <w:color w:val="auto"/>
        </w:rPr>
      </w:pPr>
      <w:r>
        <w:rPr>
          <w:rFonts w:ascii="Times New Roman" w:cs="Times New Roman" w:eastAsia="Times New Roman" w:hAnsi="Times New Roman"/>
          <w:sz w:val="18"/>
          <w:szCs w:val="18"/>
          <w:color w:val="auto"/>
        </w:rPr>
        <w:t>With the receipt of the necessary permits and licenses to operate, the JV has begun selling products in China, much like a distributor. In the long term, we anticipate that the JV will manufacture and sell a locally branded “Made in China” radiotherapy device in the Class B license category, or Class B device, which would replace our current offering in that category. We believe this strategy will allow us to best maximize both near and longer-term opportunities in China. In September 2023, we received approval for our Class B device from the National Medical Products Administration.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On October 25, 2023, we informed affected employees of a cost savings initiative (the “2024 restructuring initiative”) to reduce operating costs resulting in the elimination of approximately 5.9 percent of our global workforce. We incurred a charge of $2.6 million during the three months ended December 31, 2023. These charges are cash-based and are primarily related to severance expenses and other one-time termination benefits. We will record the restructuring charges of the affected employees in their respective department cost center. The restructuring charges recorded during the period ending December 31, 2023 are as follows: cost of sales $0.2 million, research and development $1.7 million, sales and marketing $0.1 million, and general and administrative $0.6 million. We paid approximately $1.9 million in cash for the restructuring charges during the three months ended December 31, 2023. At December 31, 2023, we have a remaining accrual of $0.7 million, which is included in accrued compensation on the unaudited condensed consolidated balance sheets, and expect to pay the remaining amounts over the remainder of fiscal year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order for the product portion of a system sales agreement to be included in backlog, it must meet the following criteria:</w:t>
      </w:r>
    </w:p>
    <w:p>
      <w:pPr>
        <w:spacing w:after="0" w:line="117" w:lineRule="exact"/>
        <w:rPr>
          <w:sz w:val="20"/>
          <w:szCs w:val="20"/>
          <w:color w:val="auto"/>
        </w:rPr>
      </w:pPr>
    </w:p>
    <w:p>
      <w:pPr>
        <w:ind w:left="1020" w:right="18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spacing w:after="0" w:line="69"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end-customer site has been identified by the customer in the written contract or written amendment;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30 months have passed since the contract met all the criteria above.</w:t>
      </w:r>
    </w:p>
    <w:p>
      <w:pPr>
        <w:spacing w:after="0" w:line="225"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8"/>
          <w:szCs w:val="18"/>
          <w:color w:val="auto"/>
        </w:rPr>
        <w:t>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w:t>
      </w:r>
    </w:p>
    <w:p>
      <w:pPr>
        <w:spacing w:after="0" w:line="74" w:lineRule="exact"/>
        <w:rPr>
          <w:sz w:val="20"/>
          <w:szCs w:val="20"/>
          <w:color w:val="auto"/>
        </w:rPr>
      </w:pPr>
    </w:p>
    <w:p>
      <w:pPr>
        <w:ind w:left="102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w:t>
      </w:r>
    </w:p>
    <w:p>
      <w:pPr>
        <w:spacing w:after="0" w:line="69" w:lineRule="exact"/>
        <w:rPr>
          <w:rFonts w:ascii="Times New Roman" w:cs="Times New Roman" w:eastAsia="Times New Roman" w:hAnsi="Times New Roman"/>
          <w:sz w:val="18"/>
          <w:szCs w:val="18"/>
          <w:color w:val="auto"/>
        </w:rPr>
      </w:pPr>
    </w:p>
    <w:p>
      <w:pPr>
        <w:ind w:left="1020" w:right="140" w:hanging="504"/>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w:t>
      </w:r>
    </w:p>
    <w:p>
      <w:pPr>
        <w:spacing w:after="0" w:line="74" w:lineRule="exact"/>
        <w:rPr>
          <w:rFonts w:ascii="Times New Roman" w:cs="Times New Roman" w:eastAsia="Times New Roman" w:hAnsi="Times New Roman"/>
          <w:sz w:val="18"/>
          <w:szCs w:val="18"/>
          <w:color w:val="auto"/>
        </w:rPr>
      </w:pPr>
    </w:p>
    <w:p>
      <w:pPr>
        <w:jc w:val="both"/>
        <w:ind w:left="1020" w:right="200" w:hanging="504"/>
        <w:spacing w:after="0" w:line="288"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include amounts not denominated in U.S. Dollars and therefore, fluctuations in the U.S. Dollar as compared to other currencies will impact revenue. Generally, strengthening of the U.S. Dollar will negatively impact revenue. Backlog is stated at historical foreign currency exchange rates, and revenue is released from backlog at current exchange rates, with any difference recorded as a backlog adjustment.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color w:val="auto"/>
        </w:rPr>
        <w:t>A summary of gross orders, net orders, and order backlog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orders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93,856</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157,590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148,883</w:t>
            </w:r>
          </w:p>
        </w:tc>
        <w:tc>
          <w:tcPr>
            <w:tcW w:w="100" w:type="dxa"/>
            <w:vAlign w:val="bottom"/>
            <w:shd w:val="clear" w:color="auto" w:fill="CFF0FC"/>
          </w:tcPr>
          <w:p>
            <w:pPr>
              <w:spacing w:after="0"/>
              <w:rPr>
                <w:sz w:val="20"/>
                <w:szCs w:val="20"/>
                <w:color w:val="auto"/>
              </w:rPr>
            </w:pP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Age-ins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Age-outs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(40,366 )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(41,350 )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(71,359 )</w:t>
            </w:r>
          </w:p>
        </w:tc>
        <w:tc>
          <w:tcPr>
            <w:tcW w:w="4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(92,526 )</w:t>
            </w: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(8,841 )</w:t>
            </w:r>
          </w:p>
        </w:tc>
        <w:tc>
          <w:tcPr>
            <w:tcW w:w="4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(1,460 )</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impacts and other</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(3,730 )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(3,342 )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(4,616 )</w:t>
            </w:r>
          </w:p>
        </w:tc>
        <w:tc>
          <w:tcPr>
            <w:tcW w:w="4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(6,874 )</w:t>
            </w:r>
          </w:p>
        </w:tc>
      </w:tr>
      <w:tr>
        <w:trPr>
          <w:trHeight w:val="236"/>
        </w:trPr>
        <w:tc>
          <w:tcPr>
            <w:tcW w:w="49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orders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40,869</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86,346</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Order backlog at the end of the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492,100</w:t>
            </w:r>
          </w:p>
        </w:tc>
        <w:tc>
          <w:tcPr>
            <w:tcW w:w="2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515,236</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492,100</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515,236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-367665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-367665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-367665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Orders and Book to Bill Ratio</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Gross orders are defined as the sum of new orders recorded during the period adjusted for any revisions to existing orders during the period.</w:t>
      </w:r>
    </w:p>
    <w:p>
      <w:pPr>
        <w:spacing w:after="0" w:line="184" w:lineRule="exact"/>
        <w:rPr>
          <w:sz w:val="20"/>
          <w:szCs w:val="20"/>
          <w:color w:val="auto"/>
        </w:rPr>
      </w:pPr>
    </w:p>
    <w:p>
      <w:pPr>
        <w:ind w:right="160" w:firstLine="255"/>
        <w:spacing w:after="0" w:line="260" w:lineRule="auto"/>
        <w:rPr>
          <w:sz w:val="20"/>
          <w:szCs w:val="20"/>
          <w:color w:val="auto"/>
        </w:rPr>
      </w:pPr>
      <w:r>
        <w:rPr>
          <w:rFonts w:ascii="Times New Roman" w:cs="Times New Roman" w:eastAsia="Times New Roman" w:hAnsi="Times New Roman"/>
          <w:sz w:val="18"/>
          <w:szCs w:val="18"/>
          <w:color w:val="auto"/>
        </w:rPr>
        <w:t>Gross orders increased by $14.8 million during the three months ended December 31, 2023, as compared to the same period in the prior fiscal year, primarily due to an increase in gross orders from the China and EIMEA regions, partially offset by a decrease in gross orders from the Americas region. CyberKnife System gross orders and upgrades increased by $12.0 million, and TomoTherapy System gross orders and upgrades increased by $2.8 million during three months ended December 31, 2023, as compared to the same period in the prior fiscal year.</w:t>
      </w:r>
    </w:p>
    <w:p>
      <w:pPr>
        <w:spacing w:after="0" w:line="155" w:lineRule="exact"/>
        <w:rPr>
          <w:sz w:val="20"/>
          <w:szCs w:val="20"/>
          <w:color w:val="auto"/>
        </w:rPr>
      </w:pPr>
    </w:p>
    <w:p>
      <w:pPr>
        <w:jc w:val="both"/>
        <w:ind w:right="600" w:firstLine="255"/>
        <w:spacing w:after="0" w:line="260" w:lineRule="auto"/>
        <w:rPr>
          <w:sz w:val="20"/>
          <w:szCs w:val="20"/>
          <w:color w:val="auto"/>
        </w:rPr>
      </w:pPr>
      <w:r>
        <w:rPr>
          <w:rFonts w:ascii="Times New Roman" w:cs="Times New Roman" w:eastAsia="Times New Roman" w:hAnsi="Times New Roman"/>
          <w:sz w:val="18"/>
          <w:szCs w:val="18"/>
          <w:color w:val="auto"/>
        </w:rPr>
        <w:t>Gross orders increased by $8.7 million during the six months ended December 31, 2023, as compared to the same period in the prior fiscal year, primarily due to an increase in gross orders from the EIMEA, Asia Pacific, and Japan regions, partially offset by a decrease in gross orders from the Americas and China regions. CyberKnife System gross orders and upgrades increased by $15.5 million, and TomoTherapy System gross orders and upgrades decreased by $6.8 million during the six months ended December 31, 2023, as compared to the same period in the prior fiscal year.</w:t>
      </w:r>
    </w:p>
    <w:p>
      <w:pPr>
        <w:spacing w:after="0" w:line="141" w:lineRule="exact"/>
        <w:rPr>
          <w:sz w:val="20"/>
          <w:szCs w:val="20"/>
          <w:color w:val="auto"/>
        </w:rPr>
      </w:pPr>
    </w:p>
    <w:p>
      <w:pPr>
        <w:ind w:right="220" w:firstLine="255"/>
        <w:spacing w:after="0" w:line="260" w:lineRule="auto"/>
        <w:rPr>
          <w:sz w:val="20"/>
          <w:szCs w:val="20"/>
          <w:color w:val="auto"/>
        </w:rPr>
      </w:pPr>
      <w:r>
        <w:rPr>
          <w:rFonts w:ascii="Times New Roman" w:cs="Times New Roman" w:eastAsia="Times New Roman" w:hAnsi="Times New Roman"/>
          <w:sz w:val="18"/>
          <w:szCs w:val="18"/>
          <w:color w:val="auto"/>
        </w:rPr>
        <w:t>Our book to bill ratio is defined as gross orders for the period divided by product revenue for the period. Our book to bill ratio was 1.8 and 1.5 during the three and six months ended December 31, 2023, respectively, as compared to 1.2 and 1.4 during the three and six months ended December 31, 2022, respectively. A book-to-bill ratio greater than 1.2 indicates strong demand for our products. This metric allows management to monitor our business development efforts to ensure we grow our backlog and our business over time.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Orders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orders are defined as gross orders less cancellations, age-outs net of age-ins, foreign currency impacts and other adjustments during the period.</w:t>
      </w:r>
    </w:p>
    <w:p>
      <w:pPr>
        <w:spacing w:after="0" w:line="184" w:lineRule="exact"/>
        <w:rPr>
          <w:sz w:val="20"/>
          <w:szCs w:val="20"/>
          <w:color w:val="auto"/>
        </w:rPr>
      </w:pPr>
    </w:p>
    <w:p>
      <w:pPr>
        <w:ind w:right="340" w:firstLine="255"/>
        <w:spacing w:after="0" w:line="265" w:lineRule="auto"/>
        <w:rPr>
          <w:sz w:val="20"/>
          <w:szCs w:val="20"/>
          <w:color w:val="auto"/>
        </w:rPr>
      </w:pPr>
      <w:r>
        <w:rPr>
          <w:rFonts w:ascii="Times New Roman" w:cs="Times New Roman" w:eastAsia="Times New Roman" w:hAnsi="Times New Roman"/>
          <w:sz w:val="18"/>
          <w:szCs w:val="18"/>
          <w:color w:val="auto"/>
        </w:rPr>
        <w:t>Net orders increased by $13.7 million during the three months ended December 31, 2023, as compared to the same period in the prior fiscal year, primarily due to an increase in gross orders. Net orders increased by $25.9 million during the six months ended December 31, 2023, as compared to the same period in the prior fiscal year, primarily due to an increase in gross orders and a decrease in age-outs.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and six months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 by sales classification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(a)(c)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(19 )%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104,888</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107,892</w:t>
            </w: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(b)</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51,491</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103,361</w:t>
            </w:r>
          </w:p>
        </w:tc>
        <w:tc>
          <w:tcPr>
            <w:tcW w:w="2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114,760</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gridSpan w:val="3"/>
          </w:tcPr>
          <w:p>
            <w:pPr>
              <w:jc w:val="right"/>
              <w:ind w:right="120"/>
              <w:spacing w:after="0" w:line="236" w:lineRule="exact"/>
              <w:rPr>
                <w:sz w:val="20"/>
                <w:szCs w:val="20"/>
                <w:color w:val="auto"/>
              </w:rPr>
            </w:pPr>
            <w:r>
              <w:rPr>
                <w:rFonts w:ascii="Times New Roman" w:cs="Times New Roman" w:eastAsia="Times New Roman" w:hAnsi="Times New Roman"/>
                <w:sz w:val="15"/>
                <w:szCs w:val="15"/>
                <w:color w:val="auto"/>
              </w:rPr>
              <w:t xml:space="preserve">(7 )% </w:t>
            </w:r>
            <w:r>
              <w:rPr>
                <w:rFonts w:ascii="Times New Roman" w:cs="Times New Roman" w:eastAsia="Times New Roman" w:hAnsi="Times New Roman"/>
                <w:sz w:val="27"/>
                <w:szCs w:val="27"/>
                <w:color w:val="auto"/>
                <w:vertAlign w:val="super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211,253</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Products revenue as a percentage of net revenue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 as a percentage of net revenue</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52 %</w:t>
            </w: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45 %</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7" w:lineRule="exact"/>
        <w:rPr>
          <w:sz w:val="20"/>
          <w:szCs w:val="20"/>
          <w:color w:val="auto"/>
        </w:rPr>
      </w:pPr>
    </w:p>
    <w:p>
      <w:pPr>
        <w:ind w:left="580" w:right="580" w:hanging="378"/>
        <w:spacing w:after="0" w:line="258"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$17,890 and $39,842 during the three and six months ended December 31, 2023 and $16,715 and $25,584 during the three and six months ended December 31, 2022, respectively. See Note 13.</w:t>
      </w:r>
    </w:p>
    <w:p>
      <w:pPr>
        <w:spacing w:after="0" w:line="58" w:lineRule="exact"/>
        <w:rPr>
          <w:rFonts w:ascii="Times New Roman" w:cs="Times New Roman" w:eastAsia="Times New Roman" w:hAnsi="Times New Roman"/>
          <w:sz w:val="14"/>
          <w:szCs w:val="14"/>
          <w:color w:val="auto"/>
        </w:rPr>
      </w:pPr>
    </w:p>
    <w:p>
      <w:pPr>
        <w:ind w:left="580" w:right="400" w:hanging="378"/>
        <w:spacing w:after="0" w:line="258"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$4,134 and $6,988 during the three and six months ended December 31, 2023 and $2,494 and $5,451 during the three and six months ended December 31, 2022, respectively. See Note 13.</w:t>
      </w:r>
    </w:p>
    <w:p>
      <w:pPr>
        <w:spacing w:after="0" w:line="58" w:lineRule="exact"/>
        <w:rPr>
          <w:rFonts w:ascii="Times New Roman" w:cs="Times New Roman" w:eastAsia="Times New Roman" w:hAnsi="Times New Roman"/>
          <w:sz w:val="14"/>
          <w:szCs w:val="14"/>
          <w:color w:val="auto"/>
        </w:rPr>
      </w:pPr>
    </w:p>
    <w:p>
      <w:pPr>
        <w:ind w:left="580" w:right="200" w:hanging="378"/>
        <w:spacing w:after="0" w:line="258" w:lineRule="auto"/>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six months ended December 31, 2023 includes revenue from certain upgrades that were recorded in services net revenue in the three and six months ended December 31, 2022.</w:t>
      </w:r>
    </w:p>
    <w:p>
      <w:pPr>
        <w:spacing w:after="0" w:line="103" w:lineRule="exact"/>
        <w:rPr>
          <w:sz w:val="20"/>
          <w:szCs w:val="20"/>
          <w:color w:val="auto"/>
        </w:rPr>
      </w:pPr>
    </w:p>
    <w:p>
      <w:pPr>
        <w:ind w:right="140" w:firstLine="282"/>
        <w:spacing w:after="0" w:line="265" w:lineRule="auto"/>
        <w:rPr>
          <w:sz w:val="20"/>
          <w:szCs w:val="20"/>
          <w:color w:val="auto"/>
        </w:rPr>
      </w:pPr>
      <w:r>
        <w:rPr>
          <w:rFonts w:ascii="Times New Roman" w:cs="Times New Roman" w:eastAsia="Times New Roman" w:hAnsi="Times New Roman"/>
          <w:sz w:val="18"/>
          <w:szCs w:val="18"/>
          <w:color w:val="auto"/>
        </w:rPr>
        <w:t>Products net revenue decreased by $11.7 million and $3.0 million during the three and six months ended December 31, 2023, respectively, as compared to the same periods in the prior fiscal year, mostly driven by a lower volume of shipments of system units of our TomoTherapy System and CyberKnife System.</w:t>
      </w:r>
    </w:p>
    <w:p>
      <w:pPr>
        <w:spacing w:after="0" w:line="177"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8"/>
          <w:szCs w:val="18"/>
          <w:color w:val="auto"/>
        </w:rPr>
        <w:t>Services net revenue increased by $4.2 million and $2.9 million during the three and six months ended December 31, 2023, respectively, as compared to the same periods in the prior fiscal year, primarily due to an increase in revenue from service contracts as a result of an increase in our installed base and an increase in revenue from training as a result of more systems put into service, partially offset by a decrease in revenue from the purchase of spare parts by customers and revenue recognized from the installation of systems at customer locations.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 by geographic region, based on the shipping location of our customers,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31"/>
        </w:trPr>
        <w:tc>
          <w:tcPr>
            <w:tcW w:w="4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1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35,278</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4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114,760</w:t>
            </w:r>
          </w:p>
        </w:tc>
        <w:tc>
          <w:tcPr>
            <w:tcW w:w="1640" w:type="dxa"/>
            <w:vAlign w:val="bottom"/>
            <w:gridSpan w:val="4"/>
          </w:tcPr>
          <w:p>
            <w:pPr>
              <w:jc w:val="right"/>
              <w:ind w:right="120"/>
              <w:spacing w:after="0" w:line="236" w:lineRule="exact"/>
              <w:rPr>
                <w:sz w:val="20"/>
                <w:szCs w:val="20"/>
                <w:color w:val="auto"/>
              </w:rPr>
            </w:pPr>
            <w:r>
              <w:rPr>
                <w:rFonts w:ascii="Times New Roman" w:cs="Times New Roman" w:eastAsia="Times New Roman" w:hAnsi="Times New Roman"/>
                <w:sz w:val="15"/>
                <w:szCs w:val="15"/>
                <w:color w:val="auto"/>
              </w:rPr>
              <w:t>(7 )%</w:t>
            </w:r>
            <w:r>
              <w:rPr>
                <w:rFonts w:ascii="Times New Roman" w:cs="Times New Roman" w:eastAsia="Times New Roman" w:hAnsi="Times New Roman"/>
                <w:sz w:val="27"/>
                <w:szCs w:val="27"/>
                <w:color w:val="auto"/>
                <w:vertAlign w:val="super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160" w:firstLine="255"/>
        <w:spacing w:after="0" w:line="260" w:lineRule="auto"/>
        <w:rPr>
          <w:sz w:val="20"/>
          <w:szCs w:val="20"/>
          <w:color w:val="auto"/>
        </w:rPr>
      </w:pPr>
      <w:r>
        <w:rPr>
          <w:rFonts w:ascii="Times New Roman" w:cs="Times New Roman" w:eastAsia="Times New Roman" w:hAnsi="Times New Roman"/>
          <w:sz w:val="18"/>
          <w:szCs w:val="18"/>
          <w:color w:val="auto"/>
        </w:rPr>
        <w:t>Revenue derived from sales outside of the Americas region was $83.5 million and $86.8 million during the three months ended December 31, 2023 and 2022, respectively. Revenue derived from sales outside the Americas region decreased primarily due to a lower volume of shipments of system units in our Japan and Asia Pacific regions, partially offset by a higher volume of shipments of system units and an increase in revenues from services in our EIMEA region. Revenue from the Americas region decreased primarily due to a lower volume of shipments of system units.</w:t>
      </w:r>
    </w:p>
    <w:p>
      <w:pPr>
        <w:spacing w:after="0" w:line="182"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8"/>
          <w:szCs w:val="18"/>
          <w:color w:val="auto"/>
        </w:rPr>
        <w:t>Revenue derived from sales outside of the Americas region was $166.8 million and $156.0 million during the six months ended December 31, 2023 and 2022, respectively. Revenue derived from sales outside the Americas region increased primarily due to a higher volume of shipments of system units in our China and EIMEA regions, partially offset by a lower volume of shipments of system units in our Asia Pacific and Japan regions. Revenue from the Americas region decreased primarily due to a lower volume of shipments of system units.</w:t>
      </w: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98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31"/>
        </w:trPr>
        <w:tc>
          <w:tcPr>
            <w:tcW w:w="4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42,967</w:t>
            </w:r>
          </w:p>
        </w:tc>
        <w:tc>
          <w:tcPr>
            <w:tcW w:w="24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77,564</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 as a percentage of net revenue</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33.5 %</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37.4 %</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35.7 %</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36.7 %</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640" w:firstLine="255"/>
        <w:spacing w:after="0" w:line="265" w:lineRule="auto"/>
        <w:rPr>
          <w:sz w:val="20"/>
          <w:szCs w:val="20"/>
          <w:color w:val="auto"/>
        </w:rPr>
      </w:pPr>
      <w:r>
        <w:rPr>
          <w:rFonts w:ascii="Times New Roman" w:cs="Times New Roman" w:eastAsia="Times New Roman" w:hAnsi="Times New Roman"/>
          <w:sz w:val="18"/>
          <w:szCs w:val="18"/>
          <w:color w:val="auto"/>
        </w:rPr>
        <w:t>Gross profit decreased by $7.1 million during the three months ended December 31, 2023, as compared to the same period in the prior fiscal year primarily due to a decrease in revenue from the sale of systems and higher service parts consumption, partially offset by an increase in net revenue recognized from intra-entity profit margin from sales related to shipments for the JV.</w:t>
      </w:r>
    </w:p>
    <w:p>
      <w:pPr>
        <w:spacing w:after="0" w:line="177" w:lineRule="exact"/>
        <w:rPr>
          <w:sz w:val="20"/>
          <w:szCs w:val="20"/>
          <w:color w:val="auto"/>
        </w:rPr>
      </w:pPr>
    </w:p>
    <w:p>
      <w:pPr>
        <w:ind w:right="360" w:firstLine="255"/>
        <w:spacing w:after="0" w:line="265" w:lineRule="auto"/>
        <w:rPr>
          <w:sz w:val="20"/>
          <w:szCs w:val="20"/>
          <w:color w:val="auto"/>
        </w:rPr>
      </w:pPr>
      <w:r>
        <w:rPr>
          <w:rFonts w:ascii="Times New Roman" w:cs="Times New Roman" w:eastAsia="Times New Roman" w:hAnsi="Times New Roman"/>
          <w:sz w:val="18"/>
          <w:szCs w:val="18"/>
          <w:color w:val="auto"/>
        </w:rPr>
        <w:t>Gross profit decreased by $2.2 million during the six months ended December 31, 2023, as compared to the same period in the prior fiscal year primarily due to a lower margin on product shipments, incremental scrap, price inflation for materials, inbound duties, and lower net revenue recognized from intra-entity profit margin from sales related to shipments for the JV.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31"/>
        </w:trPr>
        <w:tc>
          <w:tcPr>
            <w:tcW w:w="4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(16 )%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3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gridSpan w:val="3"/>
          </w:tcPr>
          <w:p>
            <w:pPr>
              <w:jc w:val="right"/>
              <w:ind w:right="100"/>
              <w:spacing w:after="0" w:line="236" w:lineRule="exact"/>
              <w:rPr>
                <w:sz w:val="20"/>
                <w:szCs w:val="20"/>
                <w:color w:val="auto"/>
              </w:rPr>
            </w:pPr>
            <w:r>
              <w:rPr>
                <w:rFonts w:ascii="Times New Roman" w:cs="Times New Roman" w:eastAsia="Times New Roman" w:hAnsi="Times New Roman"/>
                <w:sz w:val="15"/>
                <w:szCs w:val="15"/>
                <w:color w:val="auto"/>
              </w:rPr>
              <w:t xml:space="preserve">(1 )% </w:t>
            </w:r>
            <w:r>
              <w:rPr>
                <w:rFonts w:ascii="Times New Roman" w:cs="Times New Roman" w:eastAsia="Times New Roman" w:hAnsi="Times New Roman"/>
                <w:sz w:val="27"/>
                <w:szCs w:val="27"/>
                <w:color w:val="auto"/>
                <w:vertAlign w:val="superscript"/>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77,041</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as a percentage of net</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14 %</w:t>
            </w:r>
          </w:p>
        </w:tc>
        <w:tc>
          <w:tcPr>
            <w:tcW w:w="1800" w:type="dxa"/>
            <w:vAlign w:val="bottom"/>
          </w:tcPr>
          <w:p>
            <w:pPr>
              <w:jc w:val="right"/>
              <w:ind w:right="950"/>
              <w:spacing w:after="0"/>
              <w:rPr>
                <w:sz w:val="20"/>
                <w:szCs w:val="20"/>
                <w:color w:val="auto"/>
              </w:rPr>
            </w:pPr>
            <w:r>
              <w:rPr>
                <w:rFonts w:ascii="Times New Roman" w:cs="Times New Roman" w:eastAsia="Times New Roman" w:hAnsi="Times New Roman"/>
                <w:sz w:val="18"/>
                <w:szCs w:val="18"/>
                <w:i w:val="1"/>
                <w:iCs w:val="1"/>
                <w:color w:val="auto"/>
              </w:rPr>
              <w:t>13 %</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14 %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and marketing as a percentage of net revenue</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11 %</w:t>
            </w:r>
          </w:p>
        </w:tc>
        <w:tc>
          <w:tcPr>
            <w:tcW w:w="1800" w:type="dxa"/>
            <w:vAlign w:val="bottom"/>
          </w:tcPr>
          <w:p>
            <w:pPr>
              <w:jc w:val="right"/>
              <w:ind w:right="950"/>
              <w:spacing w:after="0"/>
              <w:rPr>
                <w:sz w:val="20"/>
                <w:szCs w:val="20"/>
                <w:color w:val="auto"/>
              </w:rPr>
            </w:pPr>
            <w:r>
              <w:rPr>
                <w:rFonts w:ascii="Times New Roman" w:cs="Times New Roman" w:eastAsia="Times New Roman" w:hAnsi="Times New Roman"/>
                <w:sz w:val="18"/>
                <w:szCs w:val="18"/>
                <w:i w:val="1"/>
                <w:iCs w:val="1"/>
                <w:color w:val="auto"/>
              </w:rPr>
              <w:t>12 %</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10 %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as a percentage of net</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12 %</w:t>
            </w:r>
          </w:p>
        </w:tc>
        <w:tc>
          <w:tcPr>
            <w:tcW w:w="1800" w:type="dxa"/>
            <w:vAlign w:val="bottom"/>
          </w:tcPr>
          <w:p>
            <w:pPr>
              <w:jc w:val="right"/>
              <w:ind w:right="950"/>
              <w:spacing w:after="0"/>
              <w:rPr>
                <w:sz w:val="20"/>
                <w:szCs w:val="20"/>
                <w:color w:val="auto"/>
              </w:rPr>
            </w:pPr>
            <w:r>
              <w:rPr>
                <w:rFonts w:ascii="Times New Roman" w:cs="Times New Roman" w:eastAsia="Times New Roman" w:hAnsi="Times New Roman"/>
                <w:sz w:val="18"/>
                <w:szCs w:val="18"/>
                <w:i w:val="1"/>
                <w:iCs w:val="1"/>
                <w:color w:val="auto"/>
              </w:rPr>
              <w:t>10 %</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12 %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operating expenses as a percentage of net revenue</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37 %</w:t>
            </w:r>
          </w:p>
        </w:tc>
        <w:tc>
          <w:tcPr>
            <w:tcW w:w="1800" w:type="dxa"/>
            <w:vAlign w:val="bottom"/>
          </w:tcPr>
          <w:p>
            <w:pPr>
              <w:jc w:val="right"/>
              <w:ind w:right="950"/>
              <w:spacing w:after="0"/>
              <w:rPr>
                <w:sz w:val="20"/>
                <w:szCs w:val="20"/>
                <w:color w:val="auto"/>
              </w:rPr>
            </w:pPr>
            <w:r>
              <w:rPr>
                <w:rFonts w:ascii="Times New Roman" w:cs="Times New Roman" w:eastAsia="Times New Roman" w:hAnsi="Times New Roman"/>
                <w:sz w:val="18"/>
                <w:szCs w:val="18"/>
                <w:i w:val="1"/>
                <w:iCs w:val="1"/>
                <w:color w:val="auto"/>
              </w:rPr>
              <w:t>35 %</w:t>
            </w: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37 %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r>
    </w:tbl>
    <w:p>
      <w:pPr>
        <w:spacing w:after="0" w:line="211" w:lineRule="exact"/>
        <w:rPr>
          <w:sz w:val="20"/>
          <w:szCs w:val="20"/>
          <w:color w:val="auto"/>
        </w:rPr>
      </w:pPr>
    </w:p>
    <w:p>
      <w:pPr>
        <w:ind w:right="100" w:firstLine="255"/>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increased by $0.6 million and $0.6 million during the three and six months ended December 31, 2023, respectively, as compared to the same periods in the prior fiscal year. The increases in both periods were primarily due to severance costs related to the 2024 restructuring initiative, partially offset by lower costs due to a decrease in headcount and project activity as a result of the 2024 restructuring initiative.</w:t>
      </w:r>
    </w:p>
    <w:p>
      <w:pPr>
        <w:spacing w:after="0" w:line="159" w:lineRule="exact"/>
        <w:rPr>
          <w:sz w:val="20"/>
          <w:szCs w:val="20"/>
          <w:color w:val="auto"/>
        </w:rPr>
      </w:pPr>
    </w:p>
    <w:p>
      <w:pPr>
        <w:ind w:right="240" w:firstLine="255"/>
        <w:spacing w:after="0" w:line="260" w:lineRule="auto"/>
        <w:rPr>
          <w:sz w:val="20"/>
          <w:szCs w:val="20"/>
          <w:color w:val="auto"/>
        </w:rPr>
      </w:pPr>
      <w:r>
        <w:rPr>
          <w:rFonts w:ascii="Times New Roman" w:cs="Times New Roman" w:eastAsia="Times New Roman" w:hAnsi="Times New Roman"/>
          <w:sz w:val="18"/>
          <w:szCs w:val="18"/>
          <w:color w:val="auto"/>
        </w:rPr>
        <w:t>Selling and marketing expenses decreased by $2.2 million and $2.8 million during the three and six months ended December 31, 2023, respectively, as compared to the same periods in the prior fiscal year. The decreases in both periods were primarily due to a reduction in compensation and benefits as a result of the restructuring activity in the prior fiscal year, and a decrease in consulting costs due to cost-cutting efforts, partially offset by an increase in trade show expenses.</w:t>
      </w:r>
    </w:p>
    <w:p>
      <w:pPr>
        <w:spacing w:after="0" w:line="182"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increased by $1.2 million and $2.3 million during the three and six months ended December 31, 2023, respectively, as compared to the same periods in the prior fiscal year. The increases in both periods were primarily due to higher external consulting costs and amortization expense related to the implementation of a new enterprise resource planning system, and higher rent expense as a result of an expansion at our Madison offices during the second quarter of fiscal year 2023, partially offset by a decrease in bonus expenses, stock compensation and recruiting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on equity method investment,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20" w:type="dxa"/>
            <w:vAlign w:val="bottom"/>
            <w:gridSpan w:val="8"/>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20" w:type="dxa"/>
            <w:vAlign w:val="bottom"/>
            <w:gridSpan w:val="6"/>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gridSpan w:val="2"/>
          </w:tcPr>
          <w:p>
            <w:pPr>
              <w:spacing w:after="0"/>
              <w:rPr>
                <w:sz w:val="11"/>
                <w:szCs w:val="11"/>
                <w:color w:val="auto"/>
              </w:rPr>
            </w:pPr>
          </w:p>
        </w:tc>
      </w:tr>
      <w:tr>
        <w:trPr>
          <w:trHeight w:val="18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r>
      <w:tr>
        <w:trPr>
          <w:trHeight w:val="228"/>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on equity method investment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(427 )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(699 )</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(1,067 )</w:t>
            </w:r>
          </w:p>
        </w:tc>
        <w:tc>
          <w:tcPr>
            <w:tcW w:w="2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656"/>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4"/>
        </w:trPr>
        <w:tc>
          <w:tcPr>
            <w:tcW w:w="3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7" w:name="page28"/>
    <w:bookmarkEnd w:id="27"/>
    <w:p>
      <w:pPr>
        <w:ind w:right="360" w:firstLine="282"/>
        <w:spacing w:after="0" w:line="260" w:lineRule="auto"/>
        <w:rPr>
          <w:sz w:val="20"/>
          <w:szCs w:val="20"/>
          <w:color w:val="auto"/>
        </w:rPr>
      </w:pPr>
      <w:r>
        <w:rPr>
          <w:rFonts w:ascii="Times New Roman" w:cs="Times New Roman" w:eastAsia="Times New Roman" w:hAnsi="Times New Roman"/>
          <w:sz w:val="18"/>
          <w:szCs w:val="18"/>
          <w:color w:val="auto"/>
        </w:rPr>
        <w:t>Loss on equity method investment, which relates to our JV, decreased by $0.3 million in the three months ended December 31, 2023, as compared to the same period in the prior fiscal year, primarily due to an increase in service revenues and lower operating expenses, partially offset by a decrease in revenue from the sale of system units. Income on equity method investment increased by $1.1 million in the six months ended December 31, 2023, primarily due to an increase in revenues from the sale of system units and services and lower operating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14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31"/>
        </w:trPr>
        <w:tc>
          <w:tcPr>
            <w:tcW w:w="46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(2,644 )</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(4,906 )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(1,278 )</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3773 %</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(2,234 )</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687 %</w:t>
            </w:r>
          </w:p>
        </w:tc>
      </w:tr>
      <w:tr>
        <w:trPr>
          <w:trHeight w:val="25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(152 )</w:t>
            </w:r>
          </w:p>
        </w:tc>
        <w:tc>
          <w:tcPr>
            <w:tcW w:w="18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(4,352 )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(2,831 )</w:t>
            </w:r>
          </w:p>
        </w:tc>
        <w:tc>
          <w:tcPr>
            <w:tcW w:w="1380" w:type="dxa"/>
            <w:vAlign w:val="bottom"/>
            <w:gridSpan w:val="3"/>
          </w:tcPr>
          <w:p>
            <w:pPr>
              <w:jc w:val="right"/>
              <w:ind w:right="100"/>
              <w:spacing w:after="0" w:line="236" w:lineRule="exact"/>
              <w:rPr>
                <w:sz w:val="20"/>
                <w:szCs w:val="20"/>
                <w:color w:val="auto"/>
              </w:rPr>
            </w:pPr>
            <w:r>
              <w:rPr>
                <w:rFonts w:ascii="Times New Roman" w:cs="Times New Roman" w:eastAsia="Times New Roman" w:hAnsi="Times New Roman"/>
                <w:sz w:val="15"/>
                <w:szCs w:val="15"/>
                <w:color w:val="auto"/>
              </w:rPr>
              <w:t xml:space="preserve">54 % </w:t>
            </w:r>
            <w:r>
              <w:rPr>
                <w:rFonts w:ascii="Times New Roman" w:cs="Times New Roman" w:eastAsia="Times New Roman" w:hAnsi="Times New Roman"/>
                <w:sz w:val="27"/>
                <w:szCs w:val="27"/>
                <w:color w:val="auto"/>
                <w:vertAlign w:val="superscript"/>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(5,389 )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20" w:firstLine="255"/>
        <w:spacing w:after="0" w:line="265" w:lineRule="auto"/>
        <w:rPr>
          <w:sz w:val="20"/>
          <w:szCs w:val="20"/>
          <w:color w:val="auto"/>
        </w:rPr>
      </w:pPr>
      <w:r>
        <w:rPr>
          <w:rFonts w:ascii="Times New Roman" w:cs="Times New Roman" w:eastAsia="Times New Roman" w:hAnsi="Times New Roman"/>
          <w:sz w:val="18"/>
          <w:szCs w:val="18"/>
          <w:color w:val="auto"/>
        </w:rPr>
        <w:t>Other expense, net, increased by $1.5 million and $2.6 million during the three and six months ended December 31, 2023, respectively, as compared to the same periods in the prior fiscal year, primarily due to an increase in interest expense as a result of higher interest rates on our Credit Facility and an increase in foreign currency transaction losses due to a stronger U.S. Dollar.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1"/>
        </w:trPr>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r>
      <w:tr>
        <w:trPr>
          <w:trHeight w:val="228"/>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878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8"/>
              </w:rPr>
              <w:t>(16 )%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260" w:firstLine="255"/>
        <w:spacing w:after="0" w:line="291" w:lineRule="auto"/>
        <w:rPr>
          <w:sz w:val="20"/>
          <w:szCs w:val="20"/>
          <w:color w:val="auto"/>
        </w:rPr>
      </w:pPr>
      <w:r>
        <w:rPr>
          <w:rFonts w:ascii="Times New Roman" w:cs="Times New Roman" w:eastAsia="Times New Roman" w:hAnsi="Times New Roman"/>
          <w:sz w:val="17"/>
          <w:szCs w:val="17"/>
          <w:color w:val="auto"/>
        </w:rPr>
        <w:t>On a quarterly basis, we provide for income taxes based upon an estimated annual effective income tax rate. The provision for income taxes decreased by $0.2 million during the three months ended December 31, 2023 primarily due to an additional expense in the prior year period for a tax audit in Japan. The provision for income taxes increased by $1.4 million during six months ended December 31, 2023, as compared to the same period in the prior fiscal year, primarily due to an increase in foreign earnings and deferred tax liability on unremitted foreign earnings as compared to prior fiscal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At December 31, 2023, we had $72.8 million in cash and cash equivalents. Cash from operations could be affected by various risks and uncertainties, including, but not limited to, the ongoing recovery from the COVID-19 pandemic, inflation, actions taken to counter inflation, foreign currency exchange rate fluctuations, instability in the banking sector and the risks included in Part II, Item 1A titled “Risk Factors.” In particular, we expect rising inflation and the ongoing supply chain challenges and logistics costs to impact our cash from operations through at least the remainder of fiscal year 2024, if not longer.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 and ongoing recovery from the COVID-19 pandemic.</w:t>
      </w:r>
    </w:p>
    <w:p>
      <w:pPr>
        <w:spacing w:after="0" w:line="189" w:lineRule="exact"/>
        <w:rPr>
          <w:sz w:val="20"/>
          <w:szCs w:val="20"/>
          <w:color w:val="auto"/>
        </w:rPr>
      </w:pPr>
    </w:p>
    <w:p>
      <w:pPr>
        <w:ind w:right="300" w:firstLine="255"/>
        <w:spacing w:after="0" w:line="281" w:lineRule="auto"/>
        <w:rPr>
          <w:sz w:val="20"/>
          <w:szCs w:val="20"/>
          <w:color w:val="auto"/>
        </w:rPr>
      </w:pPr>
      <w:r>
        <w:rPr>
          <w:rFonts w:ascii="Times New Roman" w:cs="Times New Roman" w:eastAsia="Times New Roman" w:hAnsi="Times New Roman"/>
          <w:sz w:val="18"/>
          <w:szCs w:val="18"/>
          <w:color w:val="auto"/>
        </w:rPr>
        <w:t>On October 25, 2023, we informed affected employees of the 2024 restructuring initiative. We incurred a charge of $2.6 million and paid $1.9 million during the three months ended December 31, 2023. We expect the remaining amounts to be paid over the remainder of fiscal year 2024.</w:t>
      </w:r>
    </w:p>
    <w:p>
      <w:pPr>
        <w:spacing w:after="0" w:line="163"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Our liquidity and cash flows have been and could continue to be materially impacted by current macroeconomic factors, including facility closures, supply chain disruptions, rising inflation, increased volatility in the financial markets, instability in the banking sector, tightening of credit markets which could impact debt availability, and the ongoing recovery from the COVID-19 pandemic.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and, in fiscal 2023, we increased our bad debt reserve to account for potentially uncollectible revenue. For example, in the United States, at least one has declared bankruptcy in fiscal 2023 causing us to increase our bad debt reserve due to the expectation that they will be unable to pay us. Accordingly, there remain uncertainties as to how the ongoing recovery from the COVID-19 pandemic and the current macroeconomic environment will impact our business, results of operations, access to sources of liquidity and financial</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3" w:right="239" w:bottom="1440" w:gutter="0" w:footer="0" w:header="0"/>
        </w:sectPr>
      </w:pPr>
    </w:p>
    <w:bookmarkStart w:id="28" w:name="page29"/>
    <w:bookmarkEnd w:id="28"/>
    <w:p>
      <w:pPr>
        <w:ind w:right="540"/>
        <w:spacing w:after="0" w:line="281" w:lineRule="auto"/>
        <w:rPr>
          <w:sz w:val="20"/>
          <w:szCs w:val="20"/>
          <w:color w:val="auto"/>
        </w:rPr>
      </w:pPr>
      <w:r>
        <w:rPr>
          <w:rFonts w:ascii="Times New Roman" w:cs="Times New Roman" w:eastAsia="Times New Roman" w:hAnsi="Times New Roman"/>
          <w:sz w:val="18"/>
          <w:szCs w:val="18"/>
          <w:color w:val="auto"/>
        </w:rPr>
        <w:t>condition in the future. As a result, we are unable to predict with certainty the impacts of these factors on our ability to maintain compliance with the financial covenants contained in the credit and security agreements related to our credit facilities.</w:t>
      </w:r>
    </w:p>
    <w:p>
      <w:pPr>
        <w:spacing w:after="0" w:line="163"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3.75% Convertible Senior Notes due 2026 under an indenture between us and The Bank of New York Mellon Trust Company, N.A., as trustee. Concurrently, with the issuance of the convertible notes, in May 2021, we entered into a senior secured credit agreement with Silicon Valley Bank, individually as a lender and agent, and the other lenders (the “Credit Agreement”), which provides for a five-year $80 million term loan facility (the “Term Loan Facility”) and a $40 million revolving credit facility (the “Revolving Credit Facility”). As of December 31, 2023, we had an outstanding balance under the Term Loan Facility of $67.0 million and Revolving Credit Facility of $10.0 million. Refer to Note 9. Debt to our unaudited condensed consolidated financial statements included in this Quarterly Report on Form 10-Q for discussion of the Term Loan Facility, the Revolving Credit Facility and our Convertible Notes outstanding as of December 31, 2023.</w:t>
      </w:r>
    </w:p>
    <w:p>
      <w:pPr>
        <w:spacing w:after="0" w:line="187" w:lineRule="exact"/>
        <w:rPr>
          <w:sz w:val="20"/>
          <w:szCs w:val="20"/>
          <w:color w:val="auto"/>
        </w:rPr>
      </w:pPr>
    </w:p>
    <w:p>
      <w:pPr>
        <w:ind w:right="240" w:firstLine="255"/>
        <w:spacing w:after="0" w:line="260" w:lineRule="auto"/>
        <w:rPr>
          <w:sz w:val="20"/>
          <w:szCs w:val="20"/>
          <w:color w:val="auto"/>
        </w:rPr>
      </w:pPr>
      <w:r>
        <w:rPr>
          <w:rFonts w:ascii="Times New Roman" w:cs="Times New Roman" w:eastAsia="Times New Roman" w:hAnsi="Times New Roman"/>
          <w:sz w:val="18"/>
          <w:szCs w:val="18"/>
          <w:color w:val="auto"/>
        </w:rPr>
        <w:t>Additionally, the undistributed earnings of our foreign subsidiaries at December 31, 2023, for all countries except Japan, France, and Switzerland are considered to be indefinitely reinvested and unavailable for distribution in the form of dividends or otherwise. Future repatriation of our foreign earnings could be subject to income taxes. As of December 31, 2023, we had $9.0 million of cash and cash equivalents at our foreign subsidiaries. If such funds were repatriated, there will be additional foreign tax withholdings imposed depending on the country from which the funds were repatriated.</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cash flows for the six months ended December 31, 2023 and 2022, are summarized as follows (in thousands):</w:t>
      </w:r>
    </w:p>
    <w:p>
      <w:pPr>
        <w:spacing w:after="0" w:line="2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(13,684 )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(17,968 )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(2,806 )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(16,710 )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(20,943 )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180" w:firstLine="255"/>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December 31, 2023 was from a net loss of $12.6 million and a decrease from the net changes from assets and liabilities of $11.2 million, partially offset by an increase from non-cash items of $10.1 million.</w:t>
      </w:r>
    </w:p>
    <w:p>
      <w:pPr>
        <w:spacing w:after="0" w:line="203" w:lineRule="exact"/>
        <w:rPr>
          <w:sz w:val="20"/>
          <w:szCs w:val="20"/>
          <w:color w:val="auto"/>
        </w:rPr>
      </w:pPr>
    </w:p>
    <w:p>
      <w:pPr>
        <w:ind w:left="640" w:right="200" w:hanging="377"/>
        <w:spacing w:after="0" w:line="281"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primarily consisted of share-based compensation expense of $4.7 million, depreciation and amortization expense of $2.8 million and the provision for write-down of inventories of $2.7 million.</w:t>
      </w:r>
    </w:p>
    <w:p>
      <w:pPr>
        <w:spacing w:after="0" w:line="189" w:lineRule="exact"/>
        <w:rPr>
          <w:rFonts w:ascii="Times New Roman" w:cs="Times New Roman" w:eastAsia="Times New Roman" w:hAnsi="Times New Roman"/>
          <w:sz w:val="18"/>
          <w:szCs w:val="18"/>
          <w:color w:val="auto"/>
        </w:rPr>
      </w:pPr>
    </w:p>
    <w:p>
      <w:pPr>
        <w:ind w:left="640" w:right="120" w:hanging="377"/>
        <w:spacing w:after="0" w:line="260"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contributors to the decrease from the net changes of assets and liabilities during the six months ended December 31, 2023, were as follows: a $14.6 million increase in inventories primarily due to increased costs for parts; and a $4.8 million decrease in accrued liabilities, primarily due to an decrease in accrued compensation, partially offset by a $5.1 million increase in accounts payable that was primarily due to the timing of payments and a $1.6 million increase in customer advances primarily due to an increase in orders.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620" w:firstLine="255"/>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was $2.3 million during the six months ended December 31, 2023 and was for the purchase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20" w:firstLine="255"/>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December 31, 2023 was due to the scheduled payment of $3.0 million for the principal amount outstanding on our Term Loan Facility, partially offset by $1.4 million in proceeds from issuance of common stock to employees.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future capital requirements depend on numerous factors. These factors include but are not limited to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and service plans;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flows from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sales and marketing initiatives and manufacturing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equipment and IT systems required to support current and future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 of our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 of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timing of acquisitions and other strategic transactions;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maturity of our current future indebtedness, including interest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cost savings initiatives, including the reduction of our workforce;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expenses; and</w:t>
      </w:r>
    </w:p>
    <w:p>
      <w:pPr>
        <w:spacing w:after="0" w:line="116"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impact of the macroeconomic environment and the ongoing recovery from the COVID-19 pandemic, including on collections, supply chain, and logistics.</w:t>
      </w:r>
    </w:p>
    <w:p>
      <w:pPr>
        <w:spacing w:after="0" w:line="16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presented our contractual obligations in our Annual Report on Form 10-K for the fiscal year ended June 30, 2023. Our contractual obligations consist of debt, operating leases, purchase commitments, and other contractual obligations. There have been no material changes to these obligations outside the ordinary course of business during the six months ended December 31, 2023 as compared to the contractual obligations disclosed in the “Management’s Discussion and Analysis of Financial Condition and Results of Operations” section of our Annual Report on Form 10-K for the year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experienced rising costs for certain materials, including increased logistics and duties costs that adversely affected our gross margins and net income (loss), and had a material effect on our business, financial condition and results of operations for fiscal year 2023 and the first six months of fiscal year 2024. We expect that gross margins and net income (loss) will continue to be adversely affected by increased material costs and freight and logistic expenses through at least the remainder of fiscal year 2024, and potentially longer.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caused by the ongoing recovery from the COVID-19 pandemic however, could limit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0" w:name="page31"/>
    <w:bookmarkEnd w:id="30"/>
    <w:p>
      <w:pPr>
        <w:ind w:right="420"/>
        <w:spacing w:after="0" w:line="281" w:lineRule="auto"/>
        <w:rPr>
          <w:sz w:val="20"/>
          <w:szCs w:val="20"/>
          <w:color w:val="auto"/>
        </w:rPr>
      </w:pPr>
      <w:r>
        <w:rPr>
          <w:rFonts w:ascii="Times New Roman" w:cs="Times New Roman" w:eastAsia="Times New Roman" w:hAnsi="Times New Roman"/>
          <w:sz w:val="18"/>
          <w:szCs w:val="18"/>
          <w:color w:val="auto"/>
        </w:rPr>
        <w:t>our ability to accurately make and evaluate our estimates and judgments. Actual results could therefore differ materially from those estimates if actual conditions differ from our assumptions.</w:t>
      </w:r>
    </w:p>
    <w:p>
      <w:pPr>
        <w:spacing w:after="0" w:line="163" w:lineRule="exact"/>
        <w:rPr>
          <w:sz w:val="20"/>
          <w:szCs w:val="20"/>
          <w:color w:val="auto"/>
        </w:rPr>
      </w:pPr>
    </w:p>
    <w:p>
      <w:pPr>
        <w:ind w:right="420" w:firstLine="255"/>
        <w:spacing w:after="0" w:line="281" w:lineRule="auto"/>
        <w:rPr>
          <w:sz w:val="20"/>
          <w:szCs w:val="20"/>
          <w:color w:val="auto"/>
        </w:rPr>
      </w:pPr>
      <w:r>
        <w:rPr>
          <w:rFonts w:ascii="Times New Roman" w:cs="Times New Roman" w:eastAsia="Times New Roman" w:hAnsi="Times New Roman"/>
          <w:sz w:val="18"/>
          <w:szCs w:val="18"/>
          <w:color w:val="auto"/>
        </w:rPr>
        <w:t>During the six months ended December 31, 2023, there have been no material changes to the critical accounting policies and estimates, previously disclosed in Part II, Item 7, of our Annual Report on Form 10-K filed with the SEC on September 7, 2023.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utilize derivative commodity instruments or other market risk sensitive instruments, positions or transactions, but we may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and Other Risks</w:t>
      </w:r>
    </w:p>
    <w:p>
      <w:pPr>
        <w:spacing w:after="0" w:line="229"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8"/>
          <w:szCs w:val="18"/>
          <w:color w:val="auto"/>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spacing w:after="0" w:line="177" w:lineRule="exact"/>
        <w:rPr>
          <w:sz w:val="20"/>
          <w:szCs w:val="20"/>
          <w:color w:val="auto"/>
        </w:rPr>
      </w:pPr>
    </w:p>
    <w:p>
      <w:pPr>
        <w:ind w:right="120" w:firstLine="255"/>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December 31, 2023 and 2022, one customer represented 10% or more of total net revenue. As of December 31, 2023, and June 30, 2023, we had one customer that accounted for 10% or more of our total accounts receivable, net.</w:t>
      </w:r>
    </w:p>
    <w:p>
      <w:pPr>
        <w:spacing w:after="0" w:line="163" w:lineRule="exact"/>
        <w:rPr>
          <w:sz w:val="20"/>
          <w:szCs w:val="20"/>
          <w:color w:val="auto"/>
        </w:rPr>
      </w:pPr>
    </w:p>
    <w:p>
      <w:pPr>
        <w:jc w:val="both"/>
        <w:ind w:right="180" w:firstLine="255"/>
        <w:spacing w:after="0" w:line="265"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w:t>
      </w:r>
    </w:p>
    <w:p>
      <w:pPr>
        <w:spacing w:after="0" w:line="177" w:lineRule="exact"/>
        <w:rPr>
          <w:sz w:val="20"/>
          <w:szCs w:val="20"/>
          <w:color w:val="auto"/>
        </w:rPr>
      </w:pPr>
    </w:p>
    <w:p>
      <w:pPr>
        <w:jc w:val="both"/>
        <w:ind w:right="160" w:firstLine="255"/>
        <w:spacing w:after="0" w:line="281" w:lineRule="auto"/>
        <w:rPr>
          <w:sz w:val="20"/>
          <w:szCs w:val="20"/>
          <w:color w:val="auto"/>
        </w:rPr>
      </w:pPr>
      <w:r>
        <w:rPr>
          <w:rFonts w:ascii="Times New Roman" w:cs="Times New Roman" w:eastAsia="Times New Roman" w:hAnsi="Times New Roman"/>
          <w:sz w:val="18"/>
          <w:szCs w:val="18"/>
          <w:color w:val="auto"/>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7"/>
          <w:szCs w:val="17"/>
          <w:color w:val="auto"/>
        </w:rPr>
        <w:t>A majority of our sales are denominated in foreign currencies, most notably the Euro and the Japanese Yen. Future fluctuations in the value of the U.S. Dollar may affect the price competitiveness of our products outside the United States. For direct sales outside the United States, we sell in both U.S. Dollars and local currencies, which does expose us to additional foreign currency risks, including changes in currency exchange rates. Our operating expenses in countries outside the United States are mostly payable in local currencies and therefore, expose us to currency risk. Foreign exchange continues to be a significant headwind as the U.S. Dollar has strengthened recently, which affect our results of operations and could cause potential delays in orders, and we may see our sales and margins outside of the U.S. decline as we may not be able to raise local prices to fully offset the strengthening of the U.S. Dollar.</w:t>
      </w:r>
    </w:p>
    <w:p>
      <w:pPr>
        <w:spacing w:after="0" w:line="17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expect the changes in the fair value of the net foreign currency assets arising from fluctuations in foreign currency exchange rates to be materially offset by the changes in the fair value of the forward contracts. We have developed a foreign exchange risk management policy to mitigate foreign currency exchange rate fluctuation risk. As of December 31, 2023, we had entered into foreign currency forward contracts to purchase or sell foreign currencies with a stated or notional value of approximately $100.2 million. These foreign currency forward contracts do not qualify for hedge accounting treatment and all changes in fair value are reported in earnings as part of other expense, net. We have not entered into any other types of derivative financial instruments for trading or speculative purpose.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8"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Our debt obligations consist of a variety of financial instruments that expose us to interest rate risk including, but not limited to the Credit Facilities and Notes. The interest rates on the Notes are fixed and the interest rate on the Credit Facilities are at variable rates, which are tied to a “prime rate” and the Secured Overnight Financing Rate (“SOFR”). As of December 31, 2023, our borrowings under the Term Loan Facility totaling $67.0 million and Revolving Credit Facility totaling $10.0 million, are both subject to a 90-day SOFR (subject to a 0.50% floor) plus a margin between 2.50% and 3.25% as determined by the Consolidated Senior Net Leverage Ratio as defined in the credit agreement governing the Credit Facilities. If the amount outstanding under the Credit Facilities remained at this level for the next 12 months and interest rates increased or decreased by a 50 basis point change, our annual interest expense would increase or decrease, respectively, approximately $0.4 million. Refer to Note 9. Debt to our unaudited condensed consolidated financial statements included in this Quarterly Report on Form 10-Q for a discussion regarding our debt obligation.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8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May 13, 2021, we issued approximately $100.0 million aggregate principal amount of 3.75% Convertible Notes due 2026. Upon conversion, we can settle the obligation by issuing our common stock, cash or a combination thereof at an initial conversion rate equal to 170.5611 shares of common stock per $1,000 principal amount of the 3.75% Convertible Notes due 2026, which is equivalent to a conversion price of approximately $5.86 per share of common stock, subject to adjustment. There is no equity price risk if the share price of our common stock is below $5.86 upon conversion of the 3.75% Convertible Notes due 2026. For every $1 that the share price of our common stock exceeds $5.86, we expect to issue an additional $17.1 million in cash or shares of our common stock, or a combination thereof, if all of the 3.75% Convertible Notes due 2026 are converted.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w:t>
      </w:r>
    </w:p>
    <w:p>
      <w:pPr>
        <w:spacing w:after="0" w:line="182" w:lineRule="exact"/>
        <w:rPr>
          <w:sz w:val="20"/>
          <w:szCs w:val="20"/>
          <w:color w:val="auto"/>
        </w:rPr>
      </w:pPr>
    </w:p>
    <w:p>
      <w:pPr>
        <w:ind w:right="60" w:firstLine="255"/>
        <w:spacing w:after="0" w:line="274"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the design and operation of our disclosure controls and procedures as of December 31, 2023. Based on this evaluation, our Chief Executive Officer and Chief Financial Officer concluded that as of December 31, 2023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120" w:firstLine="255"/>
        <w:spacing w:after="0" w:line="260" w:lineRule="auto"/>
        <w:rPr>
          <w:sz w:val="20"/>
          <w:szCs w:val="20"/>
          <w:color w:val="auto"/>
        </w:rPr>
      </w:pPr>
      <w:r>
        <w:rPr>
          <w:rFonts w:ascii="Times New Roman" w:cs="Times New Roman" w:eastAsia="Times New Roman" w:hAnsi="Times New Roman"/>
          <w:sz w:val="18"/>
          <w:szCs w:val="18"/>
          <w:color w:val="auto"/>
        </w:rPr>
        <w:t>We have implemented new enterprise resource planning system, SAP, which went live in August 2023. We expect to experience certain changes to our processes and procedures which, in turn, result in changes to our internal control over financial reporting. While we expect SAP to strengthen our internal financial controls by automating certain manual processes and standardizing business processes and reporting, management will continue to evaluate and monitor our internal controls as processes and procedures in each of the affected areas evolve.</w:t>
      </w:r>
    </w:p>
    <w:p>
      <w:pPr>
        <w:spacing w:after="0" w:line="182" w:lineRule="exact"/>
        <w:rPr>
          <w:sz w:val="20"/>
          <w:szCs w:val="20"/>
          <w:color w:val="auto"/>
        </w:rPr>
      </w:pPr>
    </w:p>
    <w:p>
      <w:pPr>
        <w:jc w:val="both"/>
        <w:ind w:right="360" w:firstLine="255"/>
        <w:spacing w:after="0" w:line="312" w:lineRule="auto"/>
        <w:rPr>
          <w:sz w:val="20"/>
          <w:szCs w:val="20"/>
          <w:color w:val="auto"/>
        </w:rPr>
      </w:pPr>
      <w:r>
        <w:rPr>
          <w:rFonts w:ascii="Times New Roman" w:cs="Times New Roman" w:eastAsia="Times New Roman" w:hAnsi="Times New Roman"/>
          <w:sz w:val="17"/>
          <w:szCs w:val="17"/>
          <w:color w:val="auto"/>
        </w:rPr>
        <w:t>Other than discussed above, there were no significant changes in our internal control over financial reporting that occurred during the three months ended December 31, 2023, that have been materially affected, or are reasonably likely to materially affect, our internal control over financial reporting.</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Inherent Limitations of Internal Control Over Financial Reporting</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These inherent limitations, however, 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2" w:name="page33"/>
    <w:bookmarkEnd w:id="32"/>
    <w:p>
      <w:pPr>
        <w:ind w:right="600" w:firstLine="255"/>
        <w:spacing w:after="0" w:line="283" w:lineRule="auto"/>
        <w:rPr>
          <w:sz w:val="20"/>
          <w:szCs w:val="20"/>
          <w:color w:val="auto"/>
        </w:rPr>
      </w:pPr>
      <w:r>
        <w:rPr>
          <w:rFonts w:ascii="Times New Roman" w:cs="Times New Roman" w:eastAsia="Times New Roman" w:hAnsi="Times New Roman"/>
          <w:sz w:val="18"/>
          <w:szCs w:val="18"/>
          <w:color w:val="auto"/>
        </w:rPr>
        <w:t xml:space="preserve">The information set forth in Note 8. </w:t>
      </w:r>
      <w:r>
        <w:rPr>
          <w:rFonts w:ascii="Times New Roman" w:cs="Times New Roman" w:eastAsia="Times New Roman" w:hAnsi="Times New Roman"/>
          <w:sz w:val="18"/>
          <w:szCs w:val="18"/>
          <w:i w:val="1"/>
          <w:iCs w:val="1"/>
          <w:color w:val="auto"/>
        </w:rPr>
        <w:t>Commitments and Contingencies—Litigation</w:t>
      </w:r>
      <w:r>
        <w:rPr>
          <w:rFonts w:ascii="Times New Roman" w:cs="Times New Roman" w:eastAsia="Times New Roman" w:hAnsi="Times New Roman"/>
          <w:sz w:val="18"/>
          <w:szCs w:val="18"/>
          <w:color w:val="auto"/>
        </w:rPr>
        <w:t>, to our unaudited condensed consolidated financial statements included in this Quarterly Report on Form 10-Q is incorporated herein by reference.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8" w:lineRule="exact"/>
        <w:rPr>
          <w:sz w:val="20"/>
          <w:szCs w:val="20"/>
          <w:color w:val="auto"/>
        </w:rPr>
      </w:pPr>
    </w:p>
    <w:p>
      <w:pPr>
        <w:ind w:right="240" w:firstLine="255"/>
        <w:spacing w:after="0" w:line="28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titled “Risk Factors.” These risks include, but are not limited to, the following:</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results of operations</w:t>
      </w:r>
    </w:p>
    <w:p>
      <w:pPr>
        <w:spacing w:after="0" w:line="229" w:lineRule="exact"/>
        <w:rPr>
          <w:sz w:val="20"/>
          <w:szCs w:val="20"/>
          <w:color w:val="auto"/>
        </w:rPr>
      </w:pPr>
    </w:p>
    <w:p>
      <w:pPr>
        <w:ind w:left="780" w:right="20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current global economic environment, which could adversely affect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widespread market acceptance, we will not be able to generate the revenue necessary to support our business.</w:t>
      </w:r>
    </w:p>
    <w:p>
      <w:pPr>
        <w:spacing w:after="0" w:line="224" w:lineRule="exact"/>
        <w:rPr>
          <w:rFonts w:ascii="Times New Roman" w:cs="Times New Roman" w:eastAsia="Times New Roman" w:hAnsi="Times New Roman"/>
          <w:sz w:val="18"/>
          <w:szCs w:val="18"/>
          <w:color w:val="auto"/>
        </w:rPr>
      </w:pPr>
    </w:p>
    <w:p>
      <w:pPr>
        <w:ind w:left="780" w:right="12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depends in part on maintaining or increasing our gross margins on product sales and services, which we may not be able to achieve.</w:t>
      </w:r>
    </w:p>
    <w:p>
      <w:pPr>
        <w:spacing w:after="0" w:line="162" w:lineRule="exact"/>
        <w:rPr>
          <w:rFonts w:ascii="Times New Roman" w:cs="Times New Roman" w:eastAsia="Times New Roman" w:hAnsi="Times New Roman"/>
          <w:sz w:val="18"/>
          <w:szCs w:val="18"/>
          <w:color w:val="auto"/>
        </w:rPr>
      </w:pPr>
    </w:p>
    <w:p>
      <w:pPr>
        <w:ind w:left="78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indebtedness and may incur other debt in the future, which may adversely affect our financial condition and future financial results.</w:t>
      </w:r>
    </w:p>
    <w:p>
      <w:pPr>
        <w:spacing w:after="0" w:line="162" w:lineRule="exact"/>
        <w:rPr>
          <w:rFonts w:ascii="Times New Roman" w:cs="Times New Roman" w:eastAsia="Times New Roman" w:hAnsi="Times New Roman"/>
          <w:sz w:val="18"/>
          <w:szCs w:val="18"/>
          <w:color w:val="auto"/>
        </w:rPr>
      </w:pPr>
    </w:p>
    <w:p>
      <w:pPr>
        <w:ind w:left="780" w:right="96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including our cash flows, quarterly orders, revenues and margins fluctuate from quarter to quarter and may be unpredictable, which may result in a decline in our stock price.</w:t>
      </w:r>
    </w:p>
    <w:p>
      <w:pPr>
        <w:spacing w:after="0" w:line="162" w:lineRule="exact"/>
        <w:rPr>
          <w:rFonts w:ascii="Times New Roman" w:cs="Times New Roman" w:eastAsia="Times New Roman" w:hAnsi="Times New Roman"/>
          <w:sz w:val="18"/>
          <w:szCs w:val="18"/>
          <w:color w:val="auto"/>
        </w:rPr>
      </w:pPr>
    </w:p>
    <w:p>
      <w:pPr>
        <w:jc w:val="both"/>
        <w:ind w:left="780" w:right="320" w:hanging="383"/>
        <w:spacing w:after="0" w:line="260"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81" w:lineRule="exact"/>
        <w:rPr>
          <w:rFonts w:ascii="Times New Roman" w:cs="Times New Roman" w:eastAsia="Times New Roman" w:hAnsi="Times New Roman"/>
          <w:sz w:val="18"/>
          <w:szCs w:val="18"/>
          <w:color w:val="auto"/>
        </w:rPr>
      </w:pPr>
    </w:p>
    <w:p>
      <w:pPr>
        <w:ind w:left="780" w:right="36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arising from our international operations, which may adversely affect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and may continue to be impacted by changes in foreign currency exchange rates.</w:t>
      </w:r>
    </w:p>
    <w:p>
      <w:pPr>
        <w:spacing w:after="0" w:line="224" w:lineRule="exact"/>
        <w:rPr>
          <w:rFonts w:ascii="Times New Roman" w:cs="Times New Roman" w:eastAsia="Times New Roman" w:hAnsi="Times New Roman"/>
          <w:sz w:val="18"/>
          <w:szCs w:val="18"/>
          <w:color w:val="auto"/>
        </w:rPr>
      </w:pPr>
    </w:p>
    <w:p>
      <w:pPr>
        <w:ind w:left="780" w:hanging="383"/>
        <w:spacing w:after="0" w:line="265"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or the perception of its effects, as well as the responses of governments and private industry on our operations and the operations of our customers and suppliers, have and could continue to have a material adverse effect on our business, financial condition, results of operations, or cash flows.</w:t>
      </w:r>
    </w:p>
    <w:p>
      <w:pPr>
        <w:spacing w:after="0" w:line="177" w:lineRule="exact"/>
        <w:rPr>
          <w:rFonts w:ascii="Times New Roman" w:cs="Times New Roman" w:eastAsia="Times New Roman" w:hAnsi="Times New Roman"/>
          <w:sz w:val="18"/>
          <w:szCs w:val="18"/>
          <w:color w:val="auto"/>
        </w:rPr>
      </w:pPr>
    </w:p>
    <w:p>
      <w:pPr>
        <w:ind w:left="780" w:right="220" w:hanging="383"/>
        <w:spacing w:after="0" w:line="312" w:lineRule="auto"/>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38" w:lineRule="exact"/>
        <w:rPr>
          <w:rFonts w:ascii="Times New Roman" w:cs="Times New Roman" w:eastAsia="Times New Roman" w:hAnsi="Times New Roman"/>
          <w:sz w:val="17"/>
          <w:szCs w:val="17"/>
          <w:color w:val="auto"/>
        </w:rPr>
      </w:pPr>
    </w:p>
    <w:p>
      <w:pPr>
        <w:ind w:left="780" w:right="24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new products or enhance existing products to meet our customers’ needs and compete favorably in the market, we may be unable to attract or retain customers.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our growth, our business may be significantly harmed.</w:t>
      </w:r>
    </w:p>
    <w:p>
      <w:pPr>
        <w:spacing w:after="0" w:line="224" w:lineRule="exact"/>
        <w:rPr>
          <w:rFonts w:ascii="Times New Roman" w:cs="Times New Roman" w:eastAsia="Times New Roman" w:hAnsi="Times New Roman"/>
          <w:sz w:val="18"/>
          <w:szCs w:val="18"/>
          <w:color w:val="auto"/>
        </w:rPr>
      </w:pPr>
    </w:p>
    <w:p>
      <w:pPr>
        <w:ind w:left="780" w:right="42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other field actions and warranty claims that could be expensive, divert management’s attention and harm our business.</w:t>
      </w:r>
    </w:p>
    <w:p>
      <w:pPr>
        <w:spacing w:after="0" w:line="121" w:lineRule="exact"/>
        <w:rPr>
          <w:rFonts w:ascii="Times New Roman" w:cs="Times New Roman" w:eastAsia="Times New Roman" w:hAnsi="Times New Roman"/>
          <w:sz w:val="18"/>
          <w:szCs w:val="18"/>
          <w:color w:val="auto"/>
        </w:rPr>
      </w:pPr>
    </w:p>
    <w:p>
      <w:pPr>
        <w:ind w:left="780" w:right="420" w:hanging="383"/>
        <w:spacing w:after="0" w:line="245" w:lineRule="exact"/>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for critical components of our products could harm our ability to meet demand for our products in a timely and cost effective manner.</w:t>
      </w:r>
    </w:p>
    <w:p>
      <w:pPr>
        <w:spacing w:after="0" w:line="198" w:lineRule="exact"/>
        <w:rPr>
          <w:rFonts w:ascii="Times New Roman" w:cs="Times New Roman" w:eastAsia="Times New Roman" w:hAnsi="Times New Roman"/>
          <w:sz w:val="18"/>
          <w:szCs w:val="18"/>
          <w:color w:val="auto"/>
        </w:rPr>
      </w:pPr>
    </w:p>
    <w:p>
      <w:pPr>
        <w:ind w:left="780" w:right="40" w:hanging="383"/>
        <w:spacing w:after="0" w:line="28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33" w:name="page34"/>
    <w:bookmarkEnd w:id="33"/>
    <w:p>
      <w:pPr>
        <w:ind w:left="780" w:right="60" w:hanging="383"/>
        <w:spacing w:after="0" w:line="281"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critical information technology systems, infrastructure and data or cyberattacks or other security breaches or incidents could harm our business and financial condition.</w:t>
      </w:r>
    </w:p>
    <w:p>
      <w:pPr>
        <w:spacing w:after="0" w:line="162" w:lineRule="exact"/>
        <w:rPr>
          <w:rFonts w:ascii="Times New Roman" w:cs="Times New Roman" w:eastAsia="Times New Roman" w:hAnsi="Times New Roman"/>
          <w:sz w:val="18"/>
          <w:szCs w:val="18"/>
          <w:color w:val="auto"/>
        </w:rPr>
      </w:pPr>
    </w:p>
    <w:p>
      <w:pPr>
        <w:ind w:left="780" w:hanging="383"/>
        <w:spacing w:after="0" w:line="281"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failure by us to comply with legal or regulatory requirements related to privacy, cybersecurity and data protection in one or multiple jurisdictions could result in proceedings, actions or penalties against us.</w:t>
      </w:r>
    </w:p>
    <w:p>
      <w:pPr>
        <w:spacing w:after="0" w:line="162" w:lineRule="exact"/>
        <w:rPr>
          <w:rFonts w:ascii="Times New Roman" w:cs="Times New Roman" w:eastAsia="Times New Roman" w:hAnsi="Times New Roman"/>
          <w:sz w:val="18"/>
          <w:szCs w:val="18"/>
          <w:color w:val="auto"/>
        </w:rPr>
      </w:pPr>
    </w:p>
    <w:p>
      <w:pPr>
        <w:ind w:left="780" w:right="380" w:hanging="383"/>
        <w:spacing w:after="0" w:line="281"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party payors do not provide sufficient coverage and reimbursement to healthcare providers for use of our product platforms or if the number of patients covered by health insurance reduces, demand for our products and our revenue could be adversely affected.</w:t>
      </w:r>
    </w:p>
    <w:p>
      <w:pPr>
        <w:spacing w:after="0" w:line="121" w:lineRule="exact"/>
        <w:rPr>
          <w:rFonts w:ascii="Times New Roman" w:cs="Times New Roman" w:eastAsia="Times New Roman" w:hAnsi="Times New Roman"/>
          <w:sz w:val="18"/>
          <w:szCs w:val="18"/>
          <w:color w:val="auto"/>
        </w:rPr>
      </w:pPr>
    </w:p>
    <w:p>
      <w:pPr>
        <w:ind w:left="780" w:right="100" w:hanging="383"/>
        <w:spacing w:after="0" w:line="245" w:lineRule="exact"/>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 for certain uses is not yet supported by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clinical data, and our products may therefore prove to be less safe and effective than initially thought.</w:t>
      </w:r>
    </w:p>
    <w:p>
      <w:pPr>
        <w:spacing w:after="0" w:line="198" w:lineRule="exact"/>
        <w:rPr>
          <w:rFonts w:ascii="Times New Roman" w:cs="Times New Roman" w:eastAsia="Times New Roman" w:hAnsi="Times New Roman"/>
          <w:sz w:val="18"/>
          <w:szCs w:val="18"/>
          <w:color w:val="auto"/>
        </w:rPr>
      </w:pPr>
    </w:p>
    <w:p>
      <w:pPr>
        <w:ind w:left="780" w:right="540" w:hanging="383"/>
        <w:spacing w:after="0" w:line="281"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perform spare parts shipping and other logistics functions on our behalf. Failures or disruptions at our logistics providers has occurred and could continue to occur, which would adversely impact our business.</w:t>
      </w:r>
    </w:p>
    <w:p>
      <w:pPr>
        <w:spacing w:after="0" w:line="162" w:lineRule="exact"/>
        <w:rPr>
          <w:rFonts w:ascii="Times New Roman" w:cs="Times New Roman" w:eastAsia="Times New Roman" w:hAnsi="Times New Roman"/>
          <w:sz w:val="18"/>
          <w:szCs w:val="18"/>
          <w:color w:val="auto"/>
        </w:rPr>
      </w:pPr>
    </w:p>
    <w:p>
      <w:pPr>
        <w:ind w:left="780" w:right="140" w:hanging="383"/>
        <w:spacing w:after="0" w:line="281"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we are infringing their intellectual property or that we are operating outside the scope of or violating a license or other agreement relating to their intellectual property.</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our employees have wrongfully used or disclosed alleged trade secrets of their former employers.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regulation of our products and business</w:t>
      </w:r>
    </w:p>
    <w:p>
      <w:pPr>
        <w:spacing w:after="0" w:line="229" w:lineRule="exact"/>
        <w:rPr>
          <w:sz w:val="20"/>
          <w:szCs w:val="20"/>
          <w:color w:val="auto"/>
        </w:rPr>
      </w:pPr>
    </w:p>
    <w:p>
      <w:pPr>
        <w:ind w:left="780" w:right="120" w:hanging="383"/>
        <w:spacing w:after="0" w:line="281"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upgrades, new indications and future products related to our products may require new Food and Drug Administration (“FDA”) 510(k) clearances or premarket approvals and similar licensing or approvals in international markets.</w:t>
      </w:r>
    </w:p>
    <w:p>
      <w:pPr>
        <w:spacing w:after="0" w:line="162" w:lineRule="exact"/>
        <w:rPr>
          <w:rFonts w:ascii="Times New Roman" w:cs="Times New Roman" w:eastAsia="Times New Roman" w:hAnsi="Times New Roman"/>
          <w:sz w:val="18"/>
          <w:szCs w:val="18"/>
          <w:color w:val="auto"/>
        </w:rPr>
      </w:pPr>
    </w:p>
    <w:p>
      <w:pPr>
        <w:ind w:left="780" w:right="220" w:hanging="383"/>
        <w:spacing w:after="0" w:line="281"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foreign laws and regulations applicable to our operations, the violation of which could result in substantial penalties and harm our business.</w:t>
      </w:r>
    </w:p>
    <w:p>
      <w:pPr>
        <w:spacing w:after="0" w:line="162" w:lineRule="exact"/>
        <w:rPr>
          <w:rFonts w:ascii="Times New Roman" w:cs="Times New Roman" w:eastAsia="Times New Roman" w:hAnsi="Times New Roman"/>
          <w:sz w:val="18"/>
          <w:szCs w:val="18"/>
          <w:color w:val="auto"/>
        </w:rPr>
      </w:pPr>
    </w:p>
    <w:p>
      <w:pPr>
        <w:ind w:left="780" w:right="200" w:hanging="383"/>
        <w:spacing w:after="0" w:line="281"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do not obtain and maintain the necessary regulatory approvals in a specific country, we will not be able to market and sell our products in that country.</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29" w:lineRule="exact"/>
        <w:rPr>
          <w:sz w:val="20"/>
          <w:szCs w:val="20"/>
          <w:color w:val="auto"/>
        </w:rPr>
      </w:pPr>
    </w:p>
    <w:p>
      <w:pPr>
        <w:ind w:left="780" w:hanging="38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is volatile and may continue to fluctuate significantly, which could lead to losses for stockholders.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could dilute the ownership interests of our stockholders.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features of the Notes, if triggered, may adversely affect our financial condition and operating results.</w:t>
      </w:r>
    </w:p>
    <w:p>
      <w:pPr>
        <w:spacing w:after="0" w:line="224" w:lineRule="exact"/>
        <w:rPr>
          <w:rFonts w:ascii="Times New Roman" w:cs="Times New Roman" w:eastAsia="Times New Roman" w:hAnsi="Times New Roman"/>
          <w:sz w:val="18"/>
          <w:szCs w:val="18"/>
          <w:color w:val="auto"/>
        </w:rPr>
      </w:pPr>
    </w:p>
    <w:p>
      <w:pPr>
        <w:ind w:left="780" w:right="220" w:hanging="383"/>
        <w:spacing w:after="0" w:line="281"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 for the Notes, the credit agreement for our Credit Facilities (as defined below), our certificate of incorporation and our bylaws could discourage or prevent a takeover, even if an acquisition would be beneficial in the opinion of our stockholders.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9" w:lineRule="exact"/>
        <w:rPr>
          <w:sz w:val="20"/>
          <w:szCs w:val="20"/>
          <w:color w:val="auto"/>
        </w:rPr>
      </w:pPr>
    </w:p>
    <w:p>
      <w:pPr>
        <w:ind w:left="780" w:hanging="383"/>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could be adversely impacted by adverse conditions in the financial markets.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significant risks, a number of which are beyond our control. In addition to the other</w:t>
      </w:r>
    </w:p>
    <w:p>
      <w:pPr>
        <w:spacing w:after="0" w:line="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information contained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the following discussion highlights some of these risks and the possible impact of these factors on our business,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future results of operations. If any of the following risks actually occur, our business, financial condition or results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be adversely impacted, causing the trading price of our common stock to decline. In addition, these risks and uncertainties may impact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described elsewhere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in the documents incorporated herein by reference. They could affect our actual</w:t>
      </w:r>
    </w:p>
    <w:p>
      <w:pPr>
        <w:spacing w:after="0" w:line="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results of operations, causing them to differ materially from those expressed in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Results of Operations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the current global economic environment, including risks arising in connection with inflation, recession or the ongoing recovery from the COVID-19 pandemic,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spacing w:after="0" w:line="17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markets and the economy generally. Concerns over economic and political stability; inflation levels and related efforts to mitigate inflation; a potential recession; the level of U.S. national debt, the U.S. debt credit rating and U.S. budgetary concerns; currency fluctuations and volatility; the rate of growth of Japan, China and other Asian economies; unemployment; the availability and cost of credit; trade relations, including the imposition of various sanctions and tariffs in other countries; the duration and severity of the ongoing recovery from the COVID-19 pandemic; energy costs; instability in the banking and financial services sector and geopolitical uncertainty and conflict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have been and may continue to be supply chain constraints, logistics challenges, and fluctuations in labor availability. Thus, if general macroeconomic conditions deteriorate, our business and financial results could be materially and adversely affected.</w:t>
      </w:r>
    </w:p>
    <w:p>
      <w:pPr>
        <w:spacing w:after="0" w:line="186" w:lineRule="exact"/>
        <w:rPr>
          <w:sz w:val="20"/>
          <w:szCs w:val="20"/>
          <w:color w:val="auto"/>
        </w:rPr>
      </w:pPr>
    </w:p>
    <w:p>
      <w:pPr>
        <w:ind w:right="40" w:firstLine="255"/>
        <w:spacing w:after="0" w:line="272" w:lineRule="auto"/>
        <w:rPr>
          <w:sz w:val="20"/>
          <w:szCs w:val="20"/>
          <w:color w:val="auto"/>
        </w:rPr>
      </w:pPr>
      <w:r>
        <w:rPr>
          <w:rFonts w:ascii="Times New Roman" w:cs="Times New Roman" w:eastAsia="Times New Roman" w:hAnsi="Times New Roman"/>
          <w:sz w:val="17"/>
          <w:szCs w:val="17"/>
          <w:color w:val="auto"/>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beginning in fiscal year 2023 have resulted in rising costs for certain materials, including increased logistics and duties costs, that have adversely affected our gross margins, which have had a material effect on our business, financial condition or results of operations. Continued pressure from these inflationary factors could further exacerbate these effects.</w:t>
      </w:r>
    </w:p>
    <w:p>
      <w:pPr>
        <w:spacing w:after="0" w:line="175"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certain foreign products, including from China, that have resulted in and may result in future retaliatory tariffs on U.S. goods and products. We cannot predict whether these policies will continue, or if new policies will be enacted, or the impact, if any, that any policy changes could have on our business. In addition, failure of the U.S. Government to pass a budget in a timely manner or any reductions in healthcare spending in the budget may adversely impact us or our customers. Any failure of the U.S. Government to pass a budget in a timely manner or any reductions in healthcare spending in 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spacing w:after="0" w:line="186"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Additionally, rising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at least the remainder of fiscal year 2024, and potentially longer. The uncertain macroeconomic environment, including volatile credit markets and concerns regarding the availability and cost of credit, increased interest rates, inflation, reduced economic growth or a recession, instability in the banking and financial services sector or concerns related to the ongoing recovery from the COVID-19 pandemic,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5" w:name="page36"/>
    <w:bookmarkEnd w:id="35"/>
    <w:p>
      <w:pPr>
        <w:ind w:right="40"/>
        <w:spacing w:after="0" w:line="254" w:lineRule="auto"/>
        <w:rPr>
          <w:sz w:val="20"/>
          <w:szCs w:val="20"/>
          <w:color w:val="auto"/>
        </w:rPr>
      </w:pPr>
      <w:r>
        <w:rPr>
          <w:rFonts w:ascii="Times New Roman" w:cs="Times New Roman" w:eastAsia="Times New Roman" w:hAnsi="Times New Roman"/>
          <w:sz w:val="18"/>
          <w:szCs w:val="18"/>
          <w:color w:val="auto"/>
        </w:rPr>
        <w:t>to meet their obligations to us. For example, in the United States, at least one customer has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w:t>
      </w:r>
    </w:p>
    <w:p>
      <w:pPr>
        <w:spacing w:after="0" w:line="1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CyberKnife or TomoTherapy platforms do not achieve widespread market acceptance, we will not be able to generate the revenue necessary to support our business.</w:t>
      </w:r>
    </w:p>
    <w:p>
      <w:pPr>
        <w:spacing w:after="0" w:line="117" w:lineRule="exact"/>
        <w:rPr>
          <w:sz w:val="20"/>
          <w:szCs w:val="20"/>
          <w:color w:val="auto"/>
        </w:rPr>
      </w:pPr>
    </w:p>
    <w:p>
      <w:pPr>
        <w:ind w:right="40" w:firstLine="255"/>
        <w:spacing w:after="0" w:line="223" w:lineRule="exact"/>
        <w:rPr>
          <w:sz w:val="20"/>
          <w:szCs w:val="20"/>
          <w:color w:val="auto"/>
        </w:rPr>
      </w:pPr>
      <w:r>
        <w:rPr>
          <w:rFonts w:ascii="Times New Roman" w:cs="Times New Roman" w:eastAsia="Times New Roman" w:hAnsi="Times New Roman"/>
          <w:sz w:val="18"/>
          <w:szCs w:val="18"/>
          <w:color w:val="auto"/>
        </w:rPr>
        <w:t>Achieving physician, patient, hospital administrator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spacing w:after="0" w:line="20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spacing w:after="0" w:line="186"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In addition, hospitals and other health professionals may reduce staffing and reduce or postpone meetings with potential suppliers in response to the spread of an infectious disease, such as COVID-19, effectively delaying the decision on potential purchases of new products such as ours. These and other factors, including the following, may affect the rate and level of market acceptance of the CyberKnife and TomoTherapy platforms:</w:t>
      </w:r>
    </w:p>
    <w:p>
      <w:pPr>
        <w:spacing w:after="0" w:line="186" w:lineRule="exact"/>
        <w:rPr>
          <w:sz w:val="20"/>
          <w:szCs w:val="20"/>
          <w:color w:val="auto"/>
        </w:rPr>
      </w:pPr>
    </w:p>
    <w:p>
      <w:pPr>
        <w:ind w:left="780" w:hanging="38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CyberKnife and TomoTherapy platforms’ price relative to other products or competing treatments;</w:t>
      </w:r>
    </w:p>
    <w:p>
      <w:pPr>
        <w:spacing w:after="0" w:line="224" w:lineRule="exact"/>
        <w:rPr>
          <w:rFonts w:ascii="Times New Roman" w:cs="Times New Roman" w:eastAsia="Times New Roman" w:hAnsi="Times New Roman"/>
          <w:sz w:val="18"/>
          <w:szCs w:val="18"/>
          <w:color w:val="auto"/>
        </w:rPr>
      </w:pPr>
    </w:p>
    <w:p>
      <w:pPr>
        <w:ind w:left="780" w:right="180" w:hanging="383"/>
        <w:spacing w:after="0" w:line="28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enhancements and receive regulatory clearances and approval, if required, to such products in a timely manner;</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by state boards when evaluating certificates of need requested by purchasing institutions;</w:t>
      </w:r>
    </w:p>
    <w:p>
      <w:pPr>
        <w:spacing w:after="0" w:line="224" w:lineRule="exact"/>
        <w:rPr>
          <w:rFonts w:ascii="Times New Roman" w:cs="Times New Roman" w:eastAsia="Times New Roman" w:hAnsi="Times New Roman"/>
          <w:sz w:val="18"/>
          <w:szCs w:val="18"/>
          <w:color w:val="auto"/>
        </w:rPr>
      </w:pPr>
    </w:p>
    <w:p>
      <w:pPr>
        <w:ind w:left="780" w:right="460" w:hanging="383"/>
        <w:spacing w:after="0" w:line="28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patients, physicians and other members of the healthcare community of the CyberKnife and TomoTherapy platforms’ safety, efficacy, efficiency and benefits compared to competing technologies or treatments;</w:t>
      </w:r>
    </w:p>
    <w:p>
      <w:pPr>
        <w:spacing w:after="0" w:line="162" w:lineRule="exact"/>
        <w:rPr>
          <w:rFonts w:ascii="Times New Roman" w:cs="Times New Roman" w:eastAsia="Times New Roman" w:hAnsi="Times New Roman"/>
          <w:sz w:val="18"/>
          <w:szCs w:val="18"/>
          <w:color w:val="auto"/>
        </w:rPr>
      </w:pPr>
    </w:p>
    <w:p>
      <w:pPr>
        <w:ind w:left="780" w:right="360" w:hanging="383"/>
        <w:spacing w:after="0" w:line="28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adopt new techniques and the ability of physicians to acquire the skills necessary to operate the CyberKnife and TomoTherapy platforms;</w:t>
      </w:r>
    </w:p>
    <w:p>
      <w:pPr>
        <w:spacing w:after="0" w:line="121" w:lineRule="exact"/>
        <w:rPr>
          <w:rFonts w:ascii="Times New Roman" w:cs="Times New Roman" w:eastAsia="Times New Roman" w:hAnsi="Times New Roman"/>
          <w:sz w:val="18"/>
          <w:szCs w:val="18"/>
          <w:color w:val="auto"/>
        </w:rPr>
      </w:pPr>
    </w:p>
    <w:p>
      <w:pPr>
        <w:ind w:left="780" w:right="360" w:hanging="383"/>
        <w:spacing w:after="0" w:line="245" w:lineRule="exact"/>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rates, particularly from Medicare, for procedures using the CyberKnife and TomoTherapy platforms; and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780" w:hanging="383"/>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technologies by our competitors or new treatment alternatives.</w:t>
      </w:r>
    </w:p>
    <w:p>
      <w:pPr>
        <w:spacing w:after="0" w:line="184" w:lineRule="exact"/>
        <w:rPr>
          <w:sz w:val="20"/>
          <w:szCs w:val="20"/>
          <w:color w:val="auto"/>
        </w:rPr>
      </w:pPr>
    </w:p>
    <w:p>
      <w:pPr>
        <w:ind w:right="480" w:firstLine="255"/>
        <w:spacing w:after="0" w:line="281" w:lineRule="auto"/>
        <w:rPr>
          <w:sz w:val="20"/>
          <w:szCs w:val="20"/>
          <w:color w:val="auto"/>
        </w:rPr>
      </w:pPr>
      <w:r>
        <w:rPr>
          <w:rFonts w:ascii="Times New Roman" w:cs="Times New Roman" w:eastAsia="Times New Roman" w:hAnsi="Times New Roman"/>
          <w:sz w:val="18"/>
          <w:szCs w:val="18"/>
          <w:color w:val="auto"/>
        </w:rPr>
        <w:t>If the CyberKnife or TomoTherapy platforms are unable to achieve or maintain market acceptance, new orders and sales of our systems would be adversely affected, our revenue levels would decrease and our business would be harmed.</w:t>
      </w:r>
    </w:p>
    <w:p>
      <w:pPr>
        <w:spacing w:after="0" w:line="13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depends in part on maintaining or increasing our gross margins on product sales and services, which we may not be able to achieve.</w:t>
      </w:r>
    </w:p>
    <w:p>
      <w:pPr>
        <w:spacing w:after="0" w:line="158"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color w:val="auto"/>
        </w:rPr>
        <w:t>As of December 31, 2023, we had an accumulated deficit of $514.7 million. We have incurred net losses, and expect to incur net losses in the future, particularly as selling and marketing activities increase ahead of any expected revenue. Our ability to achieve and sustain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spacing w:after="0" w:line="199" w:lineRule="exact"/>
        <w:rPr>
          <w:sz w:val="20"/>
          <w:szCs w:val="20"/>
          <w:color w:val="auto"/>
        </w:rPr>
      </w:pPr>
    </w:p>
    <w:p>
      <w:pPr>
        <w:ind w:right="320" w:firstLine="255"/>
        <w:spacing w:after="0" w:line="281" w:lineRule="auto"/>
        <w:rPr>
          <w:sz w:val="20"/>
          <w:szCs w:val="20"/>
          <w:color w:val="auto"/>
        </w:rPr>
      </w:pPr>
      <w:r>
        <w:rPr>
          <w:rFonts w:ascii="Times New Roman" w:cs="Times New Roman" w:eastAsia="Times New Roman" w:hAnsi="Times New Roman"/>
          <w:sz w:val="18"/>
          <w:szCs w:val="18"/>
          <w:color w:val="auto"/>
        </w:rPr>
        <w:t>Our ability to achieve profitability also depends on our ability to maintain or increase our gross margins on product sales and services. A number of factors have adversely impacted or could impact gross margins, including:</w:t>
      </w:r>
    </w:p>
    <w:p>
      <w:pPr>
        <w:spacing w:after="0" w:line="163" w:lineRule="exact"/>
        <w:rPr>
          <w:sz w:val="20"/>
          <w:szCs w:val="20"/>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manufacturing yields of high cost components leading to increased manufacturing costs;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production volume, which will result in high levels of overhead cost per unit of production;</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selling pricing;</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products and services, recognize revenue from our sales and the timing of revenue recognition and revenue deferrals;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other costs as a result of increased inflation and supply chain constraints;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 of or increased costs related to critical components parts, including as a result of supply chain disruptions;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inventory costs and liabilities for excess inventory resulting from inventory held in excess of forecasted demand;</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or warranty costs or the failure to reduce service or warranty costs;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the margins across products installed in a particular period;</w:t>
      </w:r>
    </w:p>
    <w:p>
      <w:pPr>
        <w:spacing w:after="0" w:line="224" w:lineRule="exact"/>
        <w:rPr>
          <w:rFonts w:ascii="Times New Roman" w:cs="Times New Roman" w:eastAsia="Times New Roman" w:hAnsi="Times New Roman"/>
          <w:sz w:val="18"/>
          <w:szCs w:val="18"/>
          <w:color w:val="auto"/>
        </w:rPr>
      </w:pPr>
    </w:p>
    <w:p>
      <w:pPr>
        <w:ind w:left="780" w:right="40" w:hanging="383"/>
        <w:spacing w:after="0" w:line="281"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foreign trade policies, including enactments of tariffs on goods imported into the U.S. and any retaliatory tariffs imposed by other countries on U.S. goods, including our products; and</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we execute on our strategic and operating plans.</w:t>
      </w:r>
    </w:p>
    <w:p>
      <w:pPr>
        <w:spacing w:after="0" w:line="225"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8"/>
          <w:szCs w:val="18"/>
          <w:color w:val="auto"/>
        </w:rPr>
        <w:t>If we are unable to maintain or increase our gross margins on product sales and service, our results of operations could be adversely impacted, we may not achieve profitability and our stock price could decline.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7" w:name="page38"/>
    <w:bookmarkEnd w:id="37"/>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indebtedness in the form of Convertible Senior Notes and a credit facility and may incur other debt in the future, which may adversely affect our financial condition and future financial results.</w:t>
      </w:r>
    </w:p>
    <w:p>
      <w:pPr>
        <w:spacing w:after="0" w:line="13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our 3.75% Convertible Senior Notes due 2026 (the “Notes”). As our debt matures, we anticipate having to expend significant resources to either repay or refinance the Notes. For example, in May 2021, in connection with the issuance of the Notes, we (i) exchanged approximately $82.1 million aggregate principal amount of our previously issued 3.75% Convertible Senior Notes due 2022 for approximately $97.1 million aggregate principal amount of the Notes and (ii) sold approximately $2.9 million aggregate principal amount of the Notes for cash. If we decide to, or are required to, refinance the Notes in the future, we may be required to do so on different or less favorable terms or we may be unable to refinance the Notes at all, both of which may adversely affect our financial condition.</w:t>
      </w:r>
    </w:p>
    <w:p>
      <w:pPr>
        <w:spacing w:after="0" w:line="145" w:lineRule="exact"/>
        <w:rPr>
          <w:sz w:val="20"/>
          <w:szCs w:val="20"/>
          <w:color w:val="auto"/>
        </w:rPr>
      </w:pPr>
    </w:p>
    <w:p>
      <w:pPr>
        <w:ind w:right="20" w:firstLine="255"/>
        <w:spacing w:after="0" w:line="281" w:lineRule="auto"/>
        <w:rPr>
          <w:sz w:val="20"/>
          <w:szCs w:val="20"/>
          <w:color w:val="auto"/>
        </w:rPr>
      </w:pPr>
      <w:r>
        <w:rPr>
          <w:rFonts w:ascii="Times New Roman" w:cs="Times New Roman" w:eastAsia="Times New Roman" w:hAnsi="Times New Roman"/>
          <w:sz w:val="18"/>
          <w:szCs w:val="18"/>
          <w:color w:val="auto"/>
        </w:rPr>
        <w:t>In May 2021, we entered into a credit agreement that provided us with a five-year $80.0 million term loan (the “Term Loan Facility”) and $40.0 million revolving credit facility (the “Revolving Credit Facility” and together with the “Term Loan Facility”, the “Credit Facilities”).</w:t>
      </w:r>
    </w:p>
    <w:p>
      <w:pPr>
        <w:spacing w:after="0" w:line="122" w:lineRule="exact"/>
        <w:rPr>
          <w:sz w:val="20"/>
          <w:szCs w:val="20"/>
          <w:color w:val="auto"/>
        </w:rPr>
      </w:pPr>
    </w:p>
    <w:p>
      <w:pPr>
        <w:jc w:val="both"/>
        <w:ind w:right="120" w:firstLine="255"/>
        <w:spacing w:after="0" w:line="260" w:lineRule="auto"/>
        <w:rPr>
          <w:sz w:val="20"/>
          <w:szCs w:val="20"/>
          <w:color w:val="auto"/>
        </w:rPr>
      </w:pPr>
      <w:r>
        <w:rPr>
          <w:rFonts w:ascii="Times New Roman" w:cs="Times New Roman" w:eastAsia="Times New Roman" w:hAnsi="Times New Roman"/>
          <w:sz w:val="18"/>
          <w:szCs w:val="18"/>
          <w:color w:val="auto"/>
        </w:rPr>
        <w:t>As of December 31, 2023, we had total consolidated liabilities of approximately $428.7 million; including long-term liabilities of the Notes of $100.0 million, the Revolving Credit Facility of $10.0 million and the Term Loan Facility of $67.0 million, of which $6.7 million is classified as short-term loan. Our existing and future levels of indebtedness could have important consequences to stockholders and note holders and may adversely affect our financial conditions and future financial results by, among other things:</w:t>
      </w:r>
    </w:p>
    <w:p>
      <w:pPr>
        <w:spacing w:after="0" w:line="182" w:lineRule="exact"/>
        <w:rPr>
          <w:sz w:val="20"/>
          <w:szCs w:val="20"/>
          <w:color w:val="auto"/>
        </w:rPr>
      </w:pPr>
    </w:p>
    <w:p>
      <w:pPr>
        <w:ind w:left="780" w:hanging="38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our ability to satisfy our obligations under the Notes and Credit Facilities;</w:t>
      </w:r>
    </w:p>
    <w:p>
      <w:pPr>
        <w:spacing w:after="0" w:line="224" w:lineRule="exact"/>
        <w:rPr>
          <w:rFonts w:ascii="Times New Roman" w:cs="Times New Roman" w:eastAsia="Times New Roman" w:hAnsi="Times New Roman"/>
          <w:sz w:val="18"/>
          <w:szCs w:val="18"/>
          <w:color w:val="auto"/>
        </w:rPr>
      </w:pPr>
    </w:p>
    <w:p>
      <w:pPr>
        <w:ind w:left="780" w:right="120" w:hanging="383"/>
        <w:spacing w:after="0" w:line="281"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industry; and</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our industry or the economy in general.</w:t>
      </w:r>
    </w:p>
    <w:p>
      <w:pPr>
        <w:spacing w:after="0" w:line="225"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credit agreement governing the Credit Facilities (the “Existing Credit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consolidated fixed charge coverage ratio and consolidated senior net leverage ratio, as defined in the Existing Credit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may not be in compliance with such covenants or other terms governing the Credit Facilities and we may be required to obtain waivers or amendments to the Existing Credit Agreement from our lenders in order to maintain compliance and there can be no certainty that any such waiver or amendment will be available, or what the cost of such waiver or amendment, if obtained, would be. If we are unable to obtain necessary waivers and the debt under such credit facility is accelerated, we would be required to obtain replacement financing at prevailing market rates, which may not be favorable to us. Additionally, a default on indebtedness could result in a default under the terms of the indenture governing the Notes. There is no guarantee that we would be able to satisfy our obligations if any of our indebtedness is accelerated.</w:t>
      </w:r>
    </w:p>
    <w:p>
      <w:pPr>
        <w:spacing w:after="0" w:line="189" w:lineRule="exact"/>
        <w:rPr>
          <w:sz w:val="20"/>
          <w:szCs w:val="20"/>
          <w:color w:val="auto"/>
        </w:rPr>
      </w:pPr>
    </w:p>
    <w:p>
      <w:pPr>
        <w:ind w:right="160" w:firstLine="255"/>
        <w:spacing w:after="0" w:line="265" w:lineRule="auto"/>
        <w:rPr>
          <w:sz w:val="20"/>
          <w:szCs w:val="20"/>
          <w:color w:val="auto"/>
        </w:rPr>
      </w:pPr>
      <w:r>
        <w:rPr>
          <w:rFonts w:ascii="Times New Roman" w:cs="Times New Roman" w:eastAsia="Times New Roman" w:hAnsi="Times New Roman"/>
          <w:sz w:val="18"/>
          <w:szCs w:val="18"/>
          <w:color w:val="auto"/>
        </w:rPr>
        <w:t>In addition, our debt obligations consist of a variety of financial instruments that expose us to interest rate risk, including, but not limited to the Credit Facilities and Notes. If the amount outstanding under the Credit Facilities remained at this level for the next 12 months and interest rates increased or decreased by 50 basis point change, our annual interest expense would increase or decrease, respectively, approximately $0.4 million.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38" w:name="page39"/>
    <w:bookmarkEnd w:id="3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including our cash flows, quarterly orders, revenues and margins fluctuate from quarter to quarter and may be unpredictable, which may result in a decline in our stock price.</w:t>
      </w:r>
    </w:p>
    <w:p>
      <w:pPr>
        <w:spacing w:after="0" w:line="117"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8"/>
          <w:szCs w:val="18"/>
          <w:color w:val="auto"/>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the COVID-19 pandemic at our customer sites. The COVID-19 pandemic has impacted and may continue to impact our business operations, including our employees, customers and partners, and there is substantial uncertainty in the nature and degree of its continued effects over time.</w:t>
      </w:r>
    </w:p>
    <w:p>
      <w:pPr>
        <w:spacing w:after="0" w:line="178" w:lineRule="exact"/>
        <w:rPr>
          <w:sz w:val="20"/>
          <w:szCs w:val="20"/>
          <w:color w:val="auto"/>
        </w:rPr>
      </w:pPr>
    </w:p>
    <w:p>
      <w:pPr>
        <w:ind w:firstLine="255"/>
        <w:spacing w:after="0" w:line="222" w:lineRule="exact"/>
        <w:rPr>
          <w:sz w:val="20"/>
          <w:szCs w:val="20"/>
          <w:color w:val="auto"/>
        </w:rPr>
      </w:pPr>
      <w:r>
        <w:rPr>
          <w:rFonts w:ascii="Times New Roman" w:cs="Times New Roman" w:eastAsia="Times New Roman" w:hAnsi="Times New Roman"/>
          <w:sz w:val="18"/>
          <w:szCs w:val="18"/>
          <w:color w:val="auto"/>
        </w:rPr>
        <w:t>Once orders are received and booked into backlog, there is a risk that we may not recognize revenue in the near term or at all. The COVID-19 pandemic and the ongoing recovery from the COVID-19 pandemic has adversely impacted the pace at which the backlog converts to revenue. This is primarily the result of delays in the timing of deliveries and installations in fiscal 2020 through 2022 caused by the COVID-19 pandemic, which resulted in decreased revenue for these periods. These delays in deliveries and installations as a result of the COVID-19 pandemic and the ongoing recovery from the COVID-19 pandemic as well as its effects on the global economic environment have occurred and may continue, to some degree, through the remainder of calendar year 2024, which could have a negative impact on our revenue during such period. Factors that may affect whether these orders become revenue (or are cancelled or deemed aged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and reflected as a reduction in net orders) and the timing of revenue include:</w:t>
      </w:r>
    </w:p>
    <w:p>
      <w:pPr>
        <w:spacing w:after="0" w:line="174" w:lineRule="exact"/>
        <w:rPr>
          <w:sz w:val="20"/>
          <w:szCs w:val="20"/>
          <w:color w:val="auto"/>
        </w:rPr>
      </w:pPr>
    </w:p>
    <w:p>
      <w:pPr>
        <w:ind w:left="780" w:right="440" w:hanging="383"/>
        <w:spacing w:after="0" w:line="281"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including volatility related to the current global economic environment and the ongoing recovery from the COVID-19 pandemic;</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a customer to obtain funding or financing;</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construction at the customer site and delays in installation;</w:t>
      </w:r>
    </w:p>
    <w:p>
      <w:pPr>
        <w:spacing w:after="0" w:line="224" w:lineRule="exact"/>
        <w:rPr>
          <w:rFonts w:ascii="Times New Roman" w:cs="Times New Roman" w:eastAsia="Times New Roman" w:hAnsi="Times New Roman"/>
          <w:sz w:val="18"/>
          <w:szCs w:val="18"/>
          <w:color w:val="auto"/>
        </w:rPr>
      </w:pPr>
    </w:p>
    <w:p>
      <w:pPr>
        <w:ind w:left="780" w:right="480" w:hanging="383"/>
        <w:spacing w:after="0" w:line="281"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such customer to obtain local or foreign regulatory approvals such as certificates of need in certain states or Class A or Class B user licenses in China;</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applicable sales and service contracts of the CyberKnife and TomoTherapy platforms; and</w:t>
      </w:r>
    </w:p>
    <w:p>
      <w:pPr>
        <w:spacing w:after="0" w:line="224" w:lineRule="exact"/>
        <w:rPr>
          <w:rFonts w:ascii="Times New Roman" w:cs="Times New Roman" w:eastAsia="Times New Roman" w:hAnsi="Times New Roman"/>
          <w:sz w:val="18"/>
          <w:szCs w:val="18"/>
          <w:color w:val="auto"/>
        </w:rPr>
      </w:pPr>
    </w:p>
    <w:p>
      <w:pPr>
        <w:ind w:left="780" w:right="380" w:hanging="383"/>
        <w:spacing w:after="0" w:line="281"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revenue attributable to orders placed by our distributors, which may be more difficult to forecast due to factors outside our control.</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operating results may also be affected by a number of other factors, some of which are outside of our control, including:</w:t>
      </w:r>
    </w:p>
    <w:p>
      <w:pPr>
        <w:spacing w:after="0" w:line="225" w:lineRule="exact"/>
        <w:rPr>
          <w:sz w:val="20"/>
          <w:szCs w:val="20"/>
          <w:color w:val="auto"/>
        </w:rPr>
      </w:pPr>
    </w:p>
    <w:p>
      <w:pPr>
        <w:ind w:left="780" w:right="100" w:hanging="383"/>
        <w:spacing w:after="0" w:line="281"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business operations of our customers or vendors, construction at customer sites and installation, including delays caused by the impact of the ongoing recovery from the COVID-19 pandemic or supply chain delays;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new product development activities;</w:t>
      </w:r>
    </w:p>
    <w:p>
      <w:pPr>
        <w:spacing w:after="0" w:line="224" w:lineRule="exact"/>
        <w:rPr>
          <w:rFonts w:ascii="Times New Roman" w:cs="Times New Roman" w:eastAsia="Times New Roman" w:hAnsi="Times New Roman"/>
          <w:sz w:val="18"/>
          <w:szCs w:val="18"/>
          <w:color w:val="auto"/>
        </w:rPr>
      </w:pPr>
    </w:p>
    <w:p>
      <w:pPr>
        <w:ind w:left="780" w:right="40" w:hanging="383"/>
        <w:spacing w:after="0" w:line="281"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some states for a certificate of need prior to the installation of a radiation device or foreign regulatory approvals, such as Class A or Class B user licenses in China;</w:t>
      </w:r>
    </w:p>
    <w:p>
      <w:pPr>
        <w:spacing w:after="0" w:line="162" w:lineRule="exact"/>
        <w:rPr>
          <w:rFonts w:ascii="Times New Roman" w:cs="Times New Roman" w:eastAsia="Times New Roman" w:hAnsi="Times New Roman"/>
          <w:sz w:val="18"/>
          <w:szCs w:val="18"/>
          <w:color w:val="auto"/>
        </w:rPr>
      </w:pPr>
    </w:p>
    <w:p>
      <w:pPr>
        <w:ind w:left="780" w:right="280" w:hanging="383"/>
        <w:spacing w:after="0" w:line="281"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39" w:name="page40"/>
    <w:bookmarkEnd w:id="39"/>
    <w:p>
      <w:pPr>
        <w:ind w:left="780" w:hanging="38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manufacturing processes or unexpected manufacturing difficulties, including due to supply chain and logistics challenges;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announcement, introduction and delivery of new products or product upgrades by us and by our competitors;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expansion of sales and marketing activities such as trade shows and our overall operations;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expenditures associated with our financing activities;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adjustments;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such as those related to revenue recognition, or in the interpretation or the application thereof; and</w:t>
      </w:r>
    </w:p>
    <w:p>
      <w:pPr>
        <w:spacing w:after="0" w:line="224" w:lineRule="exact"/>
        <w:rPr>
          <w:rFonts w:ascii="Times New Roman" w:cs="Times New Roman" w:eastAsia="Times New Roman" w:hAnsi="Times New Roman"/>
          <w:sz w:val="18"/>
          <w:szCs w:val="18"/>
          <w:color w:val="auto"/>
        </w:rPr>
      </w:pPr>
    </w:p>
    <w:p>
      <w:pPr>
        <w:ind w:left="780" w:right="40" w:hanging="383"/>
        <w:spacing w:after="0" w:line="265"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spacing w:after="0" w:line="177"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8"/>
          <w:szCs w:val="18"/>
          <w:color w:val="auto"/>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spacing w:after="0" w:line="177" w:lineRule="exact"/>
        <w:rPr>
          <w:sz w:val="20"/>
          <w:szCs w:val="20"/>
          <w:color w:val="auto"/>
        </w:rPr>
      </w:pPr>
    </w:p>
    <w:p>
      <w:pPr>
        <w:ind w:firstLine="255"/>
        <w:spacing w:after="0" w:line="272" w:lineRule="auto"/>
        <w:rPr>
          <w:sz w:val="20"/>
          <w:szCs w:val="20"/>
          <w:color w:val="auto"/>
        </w:rPr>
      </w:pPr>
      <w:r>
        <w:rPr>
          <w:rFonts w:ascii="Times New Roman" w:cs="Times New Roman" w:eastAsia="Times New Roman" w:hAnsi="Times New Roman"/>
          <w:sz w:val="17"/>
          <w:szCs w:val="17"/>
          <w:color w:val="auto"/>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33" w:lineRule="exact"/>
        <w:rPr>
          <w:sz w:val="20"/>
          <w:szCs w:val="20"/>
          <w:color w:val="auto"/>
        </w:rPr>
      </w:pPr>
    </w:p>
    <w:p>
      <w:pPr>
        <w:ind w:right="180" w:firstLine="255"/>
        <w:spacing w:after="0" w:line="226" w:lineRule="exact"/>
        <w:rPr>
          <w:sz w:val="20"/>
          <w:szCs w:val="20"/>
          <w:color w:val="auto"/>
        </w:rPr>
      </w:pPr>
      <w:r>
        <w:rPr>
          <w:rFonts w:ascii="Times New Roman" w:cs="Times New Roman" w:eastAsia="Times New Roman" w:hAnsi="Times New Roman"/>
          <w:sz w:val="18"/>
          <w:szCs w:val="18"/>
          <w:color w:val="auto"/>
        </w:rPr>
        <w:t>The medical device industry in general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spacing w:after="0" w:line="160" w:lineRule="exact"/>
        <w:rPr>
          <w:sz w:val="20"/>
          <w:szCs w:val="20"/>
          <w:color w:val="auto"/>
        </w:rPr>
      </w:pPr>
    </w:p>
    <w:p>
      <w:pPr>
        <w:ind w:right="60" w:firstLine="255"/>
        <w:spacing w:after="0" w:line="223" w:lineRule="exact"/>
        <w:rPr>
          <w:sz w:val="20"/>
          <w:szCs w:val="20"/>
          <w:color w:val="auto"/>
        </w:rPr>
      </w:pPr>
      <w:r>
        <w:rPr>
          <w:rFonts w:ascii="Times New Roman" w:cs="Times New Roman" w:eastAsia="Times New Roman" w:hAnsi="Times New Roman"/>
          <w:sz w:val="18"/>
          <w:szCs w:val="18"/>
          <w:color w:val="auto"/>
        </w:rPr>
        <w:t>We consider the competition for the CyberKnife and TomoTherapy platforms to be existing radiation therapy systems, primarily using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linacs, which are sold by large,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0" w:name="page41"/>
    <w:bookmarkEnd w:id="40"/>
    <w:p>
      <w:pPr>
        <w:ind w:right="120"/>
        <w:spacing w:after="0" w:line="265" w:lineRule="auto"/>
        <w:rPr>
          <w:sz w:val="20"/>
          <w:szCs w:val="20"/>
          <w:color w:val="auto"/>
        </w:rPr>
      </w:pPr>
      <w:r>
        <w:rPr>
          <w:rFonts w:ascii="Times New Roman" w:cs="Times New Roman" w:eastAsia="Times New Roman" w:hAnsi="Times New Roman"/>
          <w:sz w:val="18"/>
          <w:szCs w:val="18"/>
          <w:color w:val="auto"/>
        </w:rPr>
        <w:t>body and/or head frames and image guidance systems to perform both radiosurgical and radiotherapy procedures. Varian was acquired by Siemens Healthineers in 2021, which may result in Varian having greater resources and increase their ability to develop new products and technologies and provide better pricing to customers.</w:t>
      </w:r>
    </w:p>
    <w:p>
      <w:pPr>
        <w:spacing w:after="0" w:line="177" w:lineRule="exact"/>
        <w:rPr>
          <w:sz w:val="20"/>
          <w:szCs w:val="20"/>
          <w:color w:val="auto"/>
        </w:rPr>
      </w:pPr>
    </w:p>
    <w:p>
      <w:pPr>
        <w:ind w:right="140" w:firstLine="255"/>
        <w:spacing w:after="0" w:line="220" w:lineRule="exact"/>
        <w:rPr>
          <w:sz w:val="20"/>
          <w:szCs w:val="20"/>
          <w:color w:val="auto"/>
        </w:rPr>
      </w:pPr>
      <w:r>
        <w:rPr>
          <w:rFonts w:ascii="Times New Roman" w:cs="Times New Roman" w:eastAsia="Times New Roman" w:hAnsi="Times New Roman"/>
          <w:sz w:val="17"/>
          <w:szCs w:val="17"/>
          <w:color w:val="auto"/>
        </w:rPr>
        <w:t>Furthermore, many government, academic and business entities are investing substantial resources in research and development of cancer treatments, including surgical approaches, radiation treatment, MRI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spacing w:after="0" w:line="19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spacing w:after="0" w:line="189" w:lineRule="exact"/>
        <w:rPr>
          <w:sz w:val="20"/>
          <w:szCs w:val="20"/>
          <w:color w:val="auto"/>
        </w:rPr>
      </w:pPr>
    </w:p>
    <w:p>
      <w:pPr>
        <w:ind w:right="200" w:firstLine="255"/>
        <w:spacing w:after="0" w:line="225" w:lineRule="exact"/>
        <w:rPr>
          <w:sz w:val="20"/>
          <w:szCs w:val="20"/>
          <w:color w:val="auto"/>
        </w:rPr>
      </w:pPr>
      <w:r>
        <w:rPr>
          <w:rFonts w:ascii="Times New Roman" w:cs="Times New Roman" w:eastAsia="Times New Roman" w:hAnsi="Times New Roman"/>
          <w:sz w:val="18"/>
          <w:szCs w:val="18"/>
          <w:color w:val="auto"/>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systems due to their higher level of functionality and performance.</w:t>
      </w:r>
    </w:p>
    <w:p>
      <w:pPr>
        <w:spacing w:after="0" w:line="16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our international operations, which may adversely affect our business, financial condition, and 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derive most of our revenue from our international operations, and we plan to continue expanding our business in international markets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employees engaged in R&amp;D, manufacturing, administration, manufacturing, support and sales and marketing activities.</w:t>
      </w:r>
    </w:p>
    <w:p>
      <w:pPr>
        <w:spacing w:after="0" w:line="206" w:lineRule="exact"/>
        <w:rPr>
          <w:sz w:val="20"/>
          <w:szCs w:val="20"/>
          <w:color w:val="auto"/>
        </w:rPr>
      </w:pPr>
    </w:p>
    <w:p>
      <w:pPr>
        <w:ind w:right="60" w:firstLine="255"/>
        <w:spacing w:after="0" w:line="281" w:lineRule="auto"/>
        <w:rPr>
          <w:sz w:val="20"/>
          <w:szCs w:val="20"/>
          <w:color w:val="auto"/>
        </w:rPr>
      </w:pPr>
      <w:r>
        <w:rPr>
          <w:rFonts w:ascii="Times New Roman" w:cs="Times New Roman" w:eastAsia="Times New Roman" w:hAnsi="Times New Roman"/>
          <w:sz w:val="18"/>
          <w:szCs w:val="18"/>
          <w:color w:val="auto"/>
        </w:rPr>
        <w:t>As a result of our international operations, in addition to similar risks we face in our U.S. operations, we are affected by economic, business, regulatory, social, and political conditions in foreign countries, including the following:</w:t>
      </w:r>
    </w:p>
    <w:p>
      <w:pPr>
        <w:spacing w:after="0" w:line="55" w:lineRule="exact"/>
        <w:rPr>
          <w:sz w:val="20"/>
          <w:szCs w:val="20"/>
          <w:color w:val="auto"/>
        </w:rPr>
      </w:pPr>
    </w:p>
    <w:p>
      <w:pPr>
        <w:jc w:val="both"/>
        <w:ind w:left="780" w:right="560" w:hanging="518"/>
        <w:spacing w:after="0" w:line="26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the world or in particular regions or countries in which we do business, including the market volatility resulting from the ongoing recovery from the COVID-19 pandemic and related restrictions as well as conflicts or war, such as the Russia-Ukraine and Israel-Hamas conflicts;</w:t>
      </w:r>
    </w:p>
    <w:p>
      <w:pPr>
        <w:spacing w:after="0" w:line="177"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delays;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laws and regulations governing, among other matters, the clearance, approval and sales of medical devices;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foreign regulatory requirements to sell and market our products;</w:t>
      </w:r>
    </w:p>
    <w:p>
      <w:pPr>
        <w:spacing w:after="0" w:line="224" w:lineRule="exact"/>
        <w:rPr>
          <w:rFonts w:ascii="Times New Roman" w:cs="Times New Roman" w:eastAsia="Times New Roman" w:hAnsi="Times New Roman"/>
          <w:sz w:val="18"/>
          <w:szCs w:val="18"/>
          <w:color w:val="auto"/>
        </w:rPr>
      </w:pPr>
    </w:p>
    <w:p>
      <w:pPr>
        <w:ind w:left="780" w:right="460" w:hanging="383"/>
        <w:spacing w:after="0" w:line="281" w:lineRule="auto"/>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foreign countries in which we operate, which may, among other things, affect our access to such markets, including China, where our JV is located;</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associated with many customers outside the United States;</w:t>
      </w:r>
    </w:p>
    <w:p>
      <w:pPr>
        <w:spacing w:after="0" w:line="224" w:lineRule="exact"/>
        <w:rPr>
          <w:rFonts w:ascii="Times New Roman" w:cs="Times New Roman" w:eastAsia="Times New Roman" w:hAnsi="Times New Roman"/>
          <w:sz w:val="18"/>
          <w:szCs w:val="18"/>
          <w:color w:val="auto"/>
        </w:rPr>
      </w:pPr>
    </w:p>
    <w:p>
      <w:pPr>
        <w:ind w:left="780" w:right="120" w:hanging="383"/>
        <w:spacing w:after="0" w:line="281" w:lineRule="auto"/>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customers to obtain requisite government approvals, such as customers in China, including customers of the JV, obtaining one of the limited number of Class A or Class B user licenses available in order to purchase our products;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ind w:left="780" w:right="220" w:hanging="383"/>
        <w:spacing w:after="0" w:line="281"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compliance with privacy, data protection and information security laws, such as the European Union (“EU”) General Data Protection Regulation (the “GDPR”) and new regulations in China;</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for the CyberKnife and TomoTherapy platform treatment procedures outside the United States;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local laws to provide the same degree of protection against infringement of our intellectual property;</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competitors;</w:t>
      </w:r>
    </w:p>
    <w:p>
      <w:pPr>
        <w:spacing w:after="0" w:line="224" w:lineRule="exact"/>
        <w:rPr>
          <w:rFonts w:ascii="Times New Roman" w:cs="Times New Roman" w:eastAsia="Times New Roman" w:hAnsi="Times New Roman"/>
          <w:sz w:val="18"/>
          <w:szCs w:val="18"/>
          <w:color w:val="auto"/>
        </w:rPr>
      </w:pPr>
    </w:p>
    <w:p>
      <w:pPr>
        <w:ind w:left="780" w:right="220" w:hanging="383"/>
        <w:spacing w:after="0" w:line="281"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trade and economic sanctions policies that are in effect from time to time and the possibility that foreign countries may impose additional taxes, tariffs or other restrictions on foreign trade;</w:t>
      </w:r>
    </w:p>
    <w:p>
      <w:pPr>
        <w:spacing w:after="0" w:line="162" w:lineRule="exact"/>
        <w:rPr>
          <w:rFonts w:ascii="Times New Roman" w:cs="Times New Roman" w:eastAsia="Times New Roman" w:hAnsi="Times New Roman"/>
          <w:sz w:val="18"/>
          <w:szCs w:val="18"/>
          <w:color w:val="auto"/>
        </w:rPr>
      </w:pPr>
    </w:p>
    <w:p>
      <w:pPr>
        <w:ind w:left="780" w:right="80" w:hanging="383"/>
        <w:spacing w:after="0" w:line="281"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that are in effect from time to time, including U.S. prohibitions and restrictions on exports of certain products and technologies to certain nations and customers;</w:t>
      </w:r>
    </w:p>
    <w:p>
      <w:pPr>
        <w:spacing w:after="0" w:line="162" w:lineRule="exact"/>
        <w:rPr>
          <w:rFonts w:ascii="Times New Roman" w:cs="Times New Roman" w:eastAsia="Times New Roman" w:hAnsi="Times New Roman"/>
          <w:sz w:val="18"/>
          <w:szCs w:val="18"/>
          <w:color w:val="auto"/>
        </w:rPr>
      </w:pPr>
    </w:p>
    <w:p>
      <w:pPr>
        <w:ind w:left="780" w:right="320" w:hanging="383"/>
        <w:spacing w:after="0" w:line="281"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export or import licenses or approvals;</w:t>
      </w:r>
    </w:p>
    <w:p>
      <w:pPr>
        <w:spacing w:after="0" w:line="224" w:lineRule="exact"/>
        <w:rPr>
          <w:rFonts w:ascii="Times New Roman" w:cs="Times New Roman" w:eastAsia="Times New Roman" w:hAnsi="Times New Roman"/>
          <w:sz w:val="18"/>
          <w:szCs w:val="18"/>
          <w:color w:val="auto"/>
        </w:rPr>
      </w:pPr>
    </w:p>
    <w:p>
      <w:pPr>
        <w:ind w:left="780" w:right="60" w:hanging="383"/>
        <w:spacing w:after="0" w:line="281"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currency, including fluctuations in foreign currency exchange rates possibly causing fewer sales due to the strengthening of the U.S. Dollar;</w:t>
      </w:r>
    </w:p>
    <w:p>
      <w:pPr>
        <w:spacing w:after="0" w:line="162" w:lineRule="exact"/>
        <w:rPr>
          <w:rFonts w:ascii="Times New Roman" w:cs="Times New Roman" w:eastAsia="Times New Roman" w:hAnsi="Times New Roman"/>
          <w:sz w:val="18"/>
          <w:szCs w:val="18"/>
          <w:color w:val="auto"/>
        </w:rPr>
      </w:pPr>
    </w:p>
    <w:p>
      <w:pPr>
        <w:ind w:left="820" w:hanging="423"/>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and uncertainties caused by the United Kingdom’s withdrawal from the European Union;</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governed by foreign laws; and</w:t>
      </w:r>
    </w:p>
    <w:p>
      <w:pPr>
        <w:spacing w:after="0" w:line="224" w:lineRule="exact"/>
        <w:rPr>
          <w:rFonts w:ascii="Times New Roman" w:cs="Times New Roman" w:eastAsia="Times New Roman" w:hAnsi="Times New Roman"/>
          <w:sz w:val="18"/>
          <w:szCs w:val="18"/>
          <w:color w:val="auto"/>
        </w:rPr>
      </w:pPr>
    </w:p>
    <w:p>
      <w:pPr>
        <w:ind w:left="780" w:right="380" w:hanging="383"/>
        <w:spacing w:after="0" w:line="26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spacing w:after="0" w:line="177" w:lineRule="exact"/>
        <w:rPr>
          <w:sz w:val="20"/>
          <w:szCs w:val="20"/>
          <w:color w:val="auto"/>
        </w:rPr>
      </w:pPr>
    </w:p>
    <w:p>
      <w:pPr>
        <w:ind w:right="340" w:firstLine="255"/>
        <w:spacing w:after="0" w:line="281" w:lineRule="auto"/>
        <w:rPr>
          <w:sz w:val="20"/>
          <w:szCs w:val="20"/>
          <w:color w:val="auto"/>
        </w:rPr>
      </w:pPr>
      <w:r>
        <w:rPr>
          <w:rFonts w:ascii="Times New Roman" w:cs="Times New Roman" w:eastAsia="Times New Roman" w:hAnsi="Times New Roman"/>
          <w:sz w:val="18"/>
          <w:szCs w:val="18"/>
          <w:color w:val="auto"/>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spacing w:after="0" w:line="163"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In addition, our partners internationally are subject to these same risks. If we or our partners are impacted by any of these factors, our business, financial condition and operating results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and may continue to be impacted by changes in foreign currency exchange rates.</w:t>
      </w:r>
    </w:p>
    <w:p>
      <w:pPr>
        <w:spacing w:after="0" w:line="229"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continues to be a significant headwind as the U.S. Dollar has continued to strengthen, which affect our results of operations and could cause potential delays in orders and we may see our sales and margins outside of the U.S. decline as we may not be able to raise local prices to fully offset the strengthening of the U.S. Dollar. Also, if our international sales continue to increase, we may enter into a greater number of transactions denominated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spacing w:after="0" w:line="135"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Our global business could be negatively affected by trade barriers and other governmental protectionist measures, any of which can be imposed suddenly and unpredictably.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spacing w:after="0" w:line="18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There is also currently significant uncertainty about the future relationship between the U.S. and various other countries, most significantly China, with respect to trade policies, treaties, government regulations and tariffs. Since the beginning of 2018, there has been legislative or executive action, from U.S. and foreign leaders regarding instituting tariffs against foreign imports of certain materials. During the last half of calendar year 2018, the federal government imposed a series of tariffs ranging from 10% to 25% on a variety of imports from China. These tariffs affect certain components, including the linear accelerator for our CyberKnife platforms, which we manufacture in China and import into the U.S., as well as other components that we import into the U.S. from our suppliers. China responded to these tariffs with retaliatory tariffs ranging from 5% to 25% on a wide range of products from the U.S., which include certain of our products. Although the U.S. and China signed an initial trade deal in January 2020 and we have thus far been able to obtain tariff exemptions for medical linear accelerators imported into the U.S. from China, there is no assurance that the exemption on medical linear accelerators will continue or that we will continue to qualify for such exemption. If these tariffs continue, if additional tariffs are placed on certain of our components or products, or if any related counter-measures are taken by China, the U.S. or other countries, our business, financial condition and results of operations may be materially harmed. The imposition of tariffs could also increase our costs and require us to raise prices on our products, which may negatively impact the demand for our products in the affected market. If we are not successful in offsetting the impact of any such tariffs, our revenue, gross margins and operating results may be adversely affected.</w:t>
      </w:r>
    </w:p>
    <w:p>
      <w:pPr>
        <w:spacing w:after="0" w:line="195"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w:t>
      </w:r>
    </w:p>
    <w:p>
      <w:pPr>
        <w:spacing w:after="0" w:line="18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 of the COVID-19 pandemic, or the perception of its effects, as well as the responses of governments and private industry on our operations and the operations of our customers and suppliers, have and could continue to have a material adverse effect on our business, financial condition, results of operations, or cash flows.</w:t>
      </w:r>
    </w:p>
    <w:p>
      <w:pPr>
        <w:spacing w:after="0" w:line="174"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Governments, public institutions, and other organizations have taken and are taking certain preventative or protective measures to combat the spread of COVID-19 and aid in the ongoing recovery from the COVID-19 pandemic. While we are unable to predict the full impact of the COVID-19 pandemic, and how long any recovery will take, we are closely monitoring the trends in the COVID-19 pandemic and are continually assessing its current and potential effects on our business. For example, as a result of the COVID-19</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related restrictions in China, sales in China previously decreased and we have experienced delays in the JV obtaining certain necessary regulatory approvals for a Class B device. Sales in China may continue to experience declines if additional COVID-19 related restrictions are initiated in the future. In addition, as a result of timing delays caused by the COVID-19 pandemic, we have experienced disruptions in our sales and revenue cycle as well as declines in deliveries and installations of our products, which has adversely impacted the pace at which our backlog converts to revenue. Delays in deliveries and installations as a result of the COVID-19 pandemic and its effects on the global economic environment may continue, to some degree, through the remainder of calendar year 2024, which could have a negative impact on our revenue during such period. These timing delays have been a result of various factors driven by the COVID-19 pandemic, including disruptions in the operations of our customers that have redirected customer resources to the COVID-19 response and away from purchases of capital equipment such as our products, disruptions and restrictions on our ability to travel to customer sites, disruptions in our supply chain, and manufacturing interruptions.</w:t>
      </w:r>
    </w:p>
    <w:p>
      <w:pPr>
        <w:spacing w:after="0" w:line="18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 addition, the COVID-19 pandemic and other factors impacted the global supply chain, causing disruptions to service providers, logistics and the flow and availability of supplies and products. In particular, we have experienced disruptions in parts of our supply chain that have resulted in delays in the receipt of certain components for our products that have also delayed shipments of our products as well as increased pricing pressure for such parts. These ongoing supply chain challenges and logistics costs have affected our gross margins and net income (loss), and our current expectations are that gross margins and net income (loss) will continue to be adversely affected by increased material costs and freight and logistic expenses through at least the remainder of fiscal year 2024, if not longer. Furthermore, certain parts required for the manufacturing and servicing of our products are scarce and becoming increasingly difficult to source, even at increased prices. If such parts become unavailable to us, we would not be able to manufacture or service our products, which would adversely impact revenue, gross margins, and net income (loss). Additionally, to protect the health and well-being of our employees, suppliers, and customers, we have implemented remote work arrangements. Other impacts of the COVID-19 pandemic have included and could include significant and unpredictable reductions in the demand for our products; a deepening of the changes to the operations and workflows of our customers that could result in increased customer defaults or delays in payment; additional delays, cancellations and redirection of planned capital expenditures and installations of our system by our customers to focus resources on COVID-19; a reduction or interruption in any of our manufacturing processes resulting in our inability to meet demand for our products or services; or closures of our key facilities or the facilities of our customers or suppliers. For example, cancellations of orders have increased due to the COVID-19 pandemic. Further, a lack of coordinated response on or compliance with risk mitigation with respect to the COVID-19 pandemic could result in significant increases to the duration and severity of the pandemic and could have a corresponding negative impact on our business.</w:t>
      </w:r>
    </w:p>
    <w:p>
      <w:pPr>
        <w:spacing w:after="0" w:line="190" w:lineRule="exact"/>
        <w:rPr>
          <w:sz w:val="20"/>
          <w:szCs w:val="20"/>
          <w:color w:val="auto"/>
        </w:rPr>
      </w:pPr>
    </w:p>
    <w:p>
      <w:pPr>
        <w:ind w:firstLine="300"/>
        <w:spacing w:after="0" w:line="260" w:lineRule="auto"/>
        <w:rPr>
          <w:sz w:val="20"/>
          <w:szCs w:val="20"/>
          <w:color w:val="auto"/>
        </w:rPr>
      </w:pPr>
      <w:r>
        <w:rPr>
          <w:rFonts w:ascii="Times New Roman" w:cs="Times New Roman" w:eastAsia="Times New Roman" w:hAnsi="Times New Roman"/>
          <w:sz w:val="18"/>
          <w:szCs w:val="18"/>
          <w:color w:val="auto"/>
        </w:rPr>
        <w:t>Additional impacts may arise that we are not aware of currently; however, the COVID-19 pandemic or the perception of its effects could have a material adverse effect on our business, financial condition, results of operations, or cash flows. In addition, the COVID-19 pandemic, the ongoing recovery from the COVID-19 pandemic and the various responses to it, may also have the effect of heightening many of the other risks discussed in this “Risk Factors” section.</w:t>
      </w:r>
    </w:p>
    <w:p>
      <w:pPr>
        <w:spacing w:after="0" w:line="17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5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and the ongoing recovery from the COVID-19 pandemic has and may continue to impact the supply of key components such that we may not receive them in a timely manner, in sufficient quantities, or at a reasonable cost. In addition, as a result of COVID-related restrictions in China, we may also experience limitations in the availability of qualified personnel.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spacing w:after="0" w:line="146" w:lineRule="exact"/>
        <w:rPr>
          <w:sz w:val="20"/>
          <w:szCs w:val="20"/>
          <w:color w:val="auto"/>
        </w:rPr>
      </w:pPr>
    </w:p>
    <w:p>
      <w:pPr>
        <w:ind w:right="220" w:firstLine="255"/>
        <w:spacing w:after="0" w:line="231" w:lineRule="exact"/>
        <w:rPr>
          <w:sz w:val="20"/>
          <w:szCs w:val="20"/>
          <w:color w:val="auto"/>
        </w:rPr>
      </w:pPr>
      <w:r>
        <w:rPr>
          <w:rFonts w:ascii="Times New Roman" w:cs="Times New Roman" w:eastAsia="Times New Roman" w:hAnsi="Times New Roman"/>
          <w:sz w:val="18"/>
          <w:szCs w:val="18"/>
          <w:color w:val="auto"/>
        </w:rPr>
        <w:t>Our manufacturing processes and the manufacturing processes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right="60"/>
        <w:spacing w:after="0" w:line="218" w:lineRule="exact"/>
        <w:rPr>
          <w:sz w:val="20"/>
          <w:szCs w:val="20"/>
          <w:color w:val="auto"/>
        </w:rPr>
      </w:pPr>
      <w:r>
        <w:rPr>
          <w:rFonts w:ascii="Times New Roman" w:cs="Times New Roman" w:eastAsia="Times New Roman" w:hAnsi="Times New Roman"/>
          <w:sz w:val="18"/>
          <w:szCs w:val="18"/>
          <w:color w:val="auto"/>
        </w:rPr>
        <w:t>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spacing w:after="0" w:line="201" w:lineRule="exact"/>
        <w:rPr>
          <w:sz w:val="20"/>
          <w:szCs w:val="20"/>
          <w:color w:val="auto"/>
        </w:rPr>
      </w:pPr>
    </w:p>
    <w:p>
      <w:pPr>
        <w:ind w:right="60" w:firstLine="255"/>
        <w:spacing w:after="0" w:line="218" w:lineRule="exact"/>
        <w:rPr>
          <w:sz w:val="20"/>
          <w:szCs w:val="20"/>
          <w:color w:val="auto"/>
        </w:rPr>
      </w:pPr>
      <w:r>
        <w:rPr>
          <w:rFonts w:ascii="Times New Roman" w:cs="Times New Roman" w:eastAsia="Times New Roman" w:hAnsi="Times New Roman"/>
          <w:sz w:val="18"/>
          <w:szCs w:val="18"/>
          <w:color w:val="auto"/>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spacing w:after="0" w:line="198"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spacing w:after="0" w:line="15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products or enhance existing products to meet our customers’ needs and compete favorably in the market, we may be unable to attract or retain customers.</w:t>
      </w:r>
    </w:p>
    <w:p>
      <w:pPr>
        <w:spacing w:after="0" w:line="158" w:lineRule="exact"/>
        <w:rPr>
          <w:sz w:val="20"/>
          <w:szCs w:val="20"/>
          <w:color w:val="auto"/>
        </w:rPr>
      </w:pPr>
    </w:p>
    <w:p>
      <w:pPr>
        <w:ind w:right="60" w:firstLine="255"/>
        <w:spacing w:after="0" w:line="218" w:lineRule="exact"/>
        <w:rPr>
          <w:sz w:val="20"/>
          <w:szCs w:val="20"/>
          <w:color w:val="auto"/>
        </w:rPr>
      </w:pPr>
      <w:r>
        <w:rPr>
          <w:rFonts w:ascii="Times New Roman" w:cs="Times New Roman" w:eastAsia="Times New Roman" w:hAnsi="Times New Roman"/>
          <w:sz w:val="18"/>
          <w:szCs w:val="18"/>
          <w:color w:val="auto"/>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spacing w:after="0" w:line="171"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8"/>
          <w:szCs w:val="18"/>
          <w:color w:val="auto"/>
        </w:rPr>
        <w:t>In addition, we depend on one of our customers for a substantial portion of our revenue, and the loss of, or a significant reduction in orders from our major customer could have a material adverse effect on our revenue and operating results. We had one customer that represented 10% or more of total net revenue for the years ended June 30, 2023, 2022, and 2021, respectively. In the future, our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right="100"/>
        <w:spacing w:after="0" w:line="281" w:lineRule="auto"/>
        <w:rPr>
          <w:sz w:val="20"/>
          <w:szCs w:val="20"/>
          <w:color w:val="auto"/>
        </w:rPr>
      </w:pPr>
      <w:r>
        <w:rPr>
          <w:rFonts w:ascii="Times New Roman" w:cs="Times New Roman" w:eastAsia="Times New Roman" w:hAnsi="Times New Roman"/>
          <w:sz w:val="18"/>
          <w:szCs w:val="18"/>
          <w:color w:val="auto"/>
        </w:rPr>
        <w:t>major customer may decide not to purchase our products at all, may purchase fewer products than they did in the past, or may defer or cancel purchases or otherwise alter their purchasing patterns.</w:t>
      </w:r>
    </w:p>
    <w:p>
      <w:pPr>
        <w:spacing w:after="0" w:line="136" w:lineRule="exact"/>
        <w:rPr>
          <w:sz w:val="20"/>
          <w:szCs w:val="20"/>
          <w:color w:val="auto"/>
        </w:rPr>
      </w:pPr>
    </w:p>
    <w:p>
      <w:pPr>
        <w:ind w:right="60" w:firstLine="255"/>
        <w:spacing w:after="0" w:line="281" w:lineRule="auto"/>
        <w:rPr>
          <w:sz w:val="20"/>
          <w:szCs w:val="20"/>
          <w:color w:val="auto"/>
        </w:rPr>
      </w:pPr>
      <w:r>
        <w:rPr>
          <w:rFonts w:ascii="Times New Roman" w:cs="Times New Roman" w:eastAsia="Times New Roman" w:hAnsi="Times New Roman"/>
          <w:sz w:val="18"/>
          <w:szCs w:val="18"/>
          <w:color w:val="auto"/>
        </w:rPr>
        <w:t>Our ability to successfully develop and introduce new products, treatment systems and product enhancements and simplifications, and the revenues and costs associated with these efforts, will be affected by our ability to:</w:t>
      </w:r>
    </w:p>
    <w:p>
      <w:pPr>
        <w:spacing w:after="0" w:line="163" w:lineRule="exact"/>
        <w:rPr>
          <w:sz w:val="20"/>
          <w:szCs w:val="20"/>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address customer needs;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 feasibility of new products in a timely manner;</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educate physicians about the use of new products and procedures;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internal quality assurance systems and processes timely and efficiently;</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timing and cost of obtaining regulatory approvals or clearances;</w:t>
      </w:r>
    </w:p>
    <w:p>
      <w:pPr>
        <w:spacing w:after="0" w:line="183" w:lineRule="exact"/>
        <w:rPr>
          <w:rFonts w:ascii="Times New Roman" w:cs="Times New Roman" w:eastAsia="Times New Roman" w:hAnsi="Times New Roman"/>
          <w:sz w:val="18"/>
          <w:szCs w:val="18"/>
          <w:color w:val="auto"/>
        </w:rPr>
      </w:pPr>
    </w:p>
    <w:p>
      <w:pPr>
        <w:ind w:left="780" w:hanging="383"/>
        <w:spacing w:after="0" w:line="207" w:lineRule="exact"/>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predict and control costs associated with inventory overruns caused by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of new products and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old products;</w:t>
      </w:r>
    </w:p>
    <w:p>
      <w:pPr>
        <w:spacing w:after="0" w:line="265"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new products competitively;</w:t>
      </w:r>
    </w:p>
    <w:p>
      <w:pPr>
        <w:spacing w:after="0" w:line="224" w:lineRule="exact"/>
        <w:rPr>
          <w:rFonts w:ascii="Times New Roman" w:cs="Times New Roman" w:eastAsia="Times New Roman" w:hAnsi="Times New Roman"/>
          <w:sz w:val="18"/>
          <w:szCs w:val="18"/>
          <w:color w:val="auto"/>
        </w:rPr>
      </w:pPr>
    </w:p>
    <w:p>
      <w:pPr>
        <w:ind w:left="780" w:right="420" w:hanging="383"/>
        <w:spacing w:after="0" w:line="281"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deliver our products in sufficient volumes on time and accurately predict and control costs associated with manufacturing, installation, warranty and maintenance of the products;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product development plan and launch timelines;</w:t>
      </w:r>
    </w:p>
    <w:p>
      <w:pPr>
        <w:spacing w:after="0" w:line="224" w:lineRule="exact"/>
        <w:rPr>
          <w:rFonts w:ascii="Times New Roman" w:cs="Times New Roman" w:eastAsia="Times New Roman" w:hAnsi="Times New Roman"/>
          <w:sz w:val="18"/>
          <w:szCs w:val="18"/>
          <w:color w:val="auto"/>
        </w:rPr>
      </w:pPr>
    </w:p>
    <w:p>
      <w:pPr>
        <w:ind w:left="780" w:right="260" w:hanging="383"/>
        <w:spacing w:after="0" w:line="281"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manufacturing yields of components; and</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customer demands for retrofits of both old and new products.</w:t>
      </w:r>
    </w:p>
    <w:p>
      <w:pPr>
        <w:spacing w:after="0" w:line="225"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Even if customers accept new products or product enhancements, the revenues from these products may not be sufficient to offset the significant costs associated with making them available to customers.</w:t>
      </w:r>
    </w:p>
    <w:p>
      <w:pPr>
        <w:spacing w:after="0" w:line="163"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7"/>
          <w:szCs w:val="17"/>
          <w:color w:val="auto"/>
        </w:rPr>
        <w:t>We cannot be sure that we will be able to successfully develop, obtain regulatory approval or clearance for, manufacture or introduce new products, treatment systems or enhancements, the roll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growth, our business may be significantly harmed.</w:t>
      </w:r>
    </w:p>
    <w:p>
      <w:pPr>
        <w:spacing w:after="0" w:line="229" w:lineRule="exact"/>
        <w:rPr>
          <w:sz w:val="20"/>
          <w:szCs w:val="20"/>
          <w:color w:val="auto"/>
        </w:rPr>
      </w:pPr>
    </w:p>
    <w:p>
      <w:pPr>
        <w:ind w:firstLine="255"/>
        <w:spacing w:after="0" w:line="218" w:lineRule="exact"/>
        <w:rPr>
          <w:sz w:val="20"/>
          <w:szCs w:val="20"/>
          <w:color w:val="auto"/>
        </w:rPr>
      </w:pPr>
      <w:r>
        <w:rPr>
          <w:rFonts w:ascii="Times New Roman" w:cs="Times New Roman" w:eastAsia="Times New Roman" w:hAnsi="Times New Roman"/>
          <w:sz w:val="18"/>
          <w:szCs w:val="18"/>
          <w:color w:val="auto"/>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our manufacturing capacity and expand our marketing and distribution capabilities, all of which will be more difficult to accomplish the more employees we have that work remotely from home.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6" w:name="page47"/>
    <w:bookmarkEnd w:id="46"/>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other field actions and warranty claims that could be expensive, divert management’s attention and harm our business.</w:t>
      </w:r>
    </w:p>
    <w:p>
      <w:pPr>
        <w:spacing w:after="0" w:line="131" w:lineRule="exact"/>
        <w:rPr>
          <w:sz w:val="20"/>
          <w:szCs w:val="20"/>
          <w:color w:val="auto"/>
        </w:rPr>
      </w:pPr>
    </w:p>
    <w:p>
      <w:pPr>
        <w:ind w:firstLine="255"/>
        <w:spacing w:after="0" w:line="251"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spacing w:after="0" w:line="161"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For example, in fiscal year 2021, we voluntarily initiated one recall related to the TomoTherapy platform and one recall on the CyberKnife platform; and in fiscal year 2024, we voluntarily initiated one recall related to the Radixact platform, all of which were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spacing w:after="0" w:line="105"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reliance on single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source suppliers for critical components of the CyberKnife and TomoTherapy platforms could harm our ability to meet demand for our products in a timely and cost effective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-223520</wp:posOffset>
            </wp:positionV>
            <wp:extent cx="63500"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51"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7"/>
          <w:szCs w:val="17"/>
          <w:color w:val="auto"/>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In addition, as a result of global supply chain disruptions, we have experienced and continue to experience disruptions in parts of our supply chain, which has caused delays in the receipt of certain component parts for our products and increased pricing pressure for such parts, including with respect to parts purchased from our single-source suppliers, adversely affecting our gross margins in the near term, and increasing the risk that these supply chain disruptions could materially affect our ability to meet customer demand. Furthermore, as a result of the effects of the macroeconomic conditions, including rising inflation, the ongoing recovery from the COVID-19 pandemic and associated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source supplier was to cease delivering components to us or fail to provide the components to our specifications and on a timely basis, we might be required to find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47" w:name="page48"/>
    <w:bookmarkEnd w:id="47"/>
    <w:p>
      <w:pPr>
        <w:ind w:right="20"/>
        <w:spacing w:after="0" w:line="218" w:lineRule="exact"/>
        <w:rPr>
          <w:sz w:val="20"/>
          <w:szCs w:val="20"/>
          <w:color w:val="auto"/>
        </w:rPr>
      </w:pPr>
      <w:r>
        <w:rPr>
          <w:rFonts w:ascii="Times New Roman" w:cs="Times New Roman" w:eastAsia="Times New Roman" w:hAnsi="Times New Roman"/>
          <w:sz w:val="18"/>
          <w:szCs w:val="18"/>
          <w:color w:val="auto"/>
        </w:rPr>
        <w:t>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continue to increase as well as the costs associated with such components, and we expect such difficulties to persist through at least the remainder of fiscal year 2024, if not longer.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will be able or willing to meet our future demands.</w:t>
      </w:r>
    </w:p>
    <w:p>
      <w:pPr>
        <w:spacing w:after="0" w:line="17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generally do not maintain large volumes of inventory, which makes us even more susceptible to harm if a single source supplier fails to deliver components on a timely basis, and maintaining our historical levels of inventory has been adversely impacted by the ongoing recovery from the COVID-19 pandemic and macroeconomic environment.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spacing w:after="0" w:line="145"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spacing w:after="0" w:line="15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1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As a result, we may not be able to retain our existing employees or hire new employees quickly enough to meet our needs. Moreover, we have in the past conducted reductions in force in order to optimize our organizational structure and reduce costs, and certain senior personnel have also departed for various reasons. For example, in December 2022, we reduced the global workforce by four and half percent and, in October 2023, we informed affected employees of a cost savings initiative to reduce operating expenses resulting in the elimination of approximately 5.9 percent of our global workforce.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spacing w:after="0" w:line="15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critical information technology systems, infrastructure and data or cyberattacks or other security breaches or incidents could harm our business and financial condition.</w:t>
      </w:r>
    </w:p>
    <w:p>
      <w:pPr>
        <w:spacing w:after="0" w:line="158" w:lineRule="exact"/>
        <w:rPr>
          <w:sz w:val="20"/>
          <w:szCs w:val="20"/>
          <w:color w:val="auto"/>
        </w:rPr>
      </w:pPr>
    </w:p>
    <w:p>
      <w:pPr>
        <w:ind w:right="180" w:firstLine="255"/>
        <w:spacing w:after="0" w:line="281" w:lineRule="auto"/>
        <w:rPr>
          <w:sz w:val="20"/>
          <w:szCs w:val="20"/>
          <w:color w:val="auto"/>
        </w:rPr>
      </w:pPr>
      <w:r>
        <w:rPr>
          <w:rFonts w:ascii="Times New Roman" w:cs="Times New Roman" w:eastAsia="Times New Roman" w:hAnsi="Times New Roman"/>
          <w:sz w:val="18"/>
          <w:szCs w:val="18"/>
          <w:color w:val="auto"/>
        </w:rPr>
        <w:t>Information technology helps us operate more efficiently, interface with customers, maintain financial accuracy and efficiency and accurately produce our financial statements. If we do not allocate and effectively manage the resources necessary to build, sustain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t>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 or incident. While management is committed to identifying and improving data security risks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Additionally, cyberattack activity may be heightened in connection with geopolitical events and conflicts such as the Russia-Ukraine and Israel-Hamas conflicts. In addition to potential exposure to cyberattacks, security incidents, or other actions that may compromise the security of or interfere with the function of our products, defects or vulnerabilities in the software or systems of our third party vendors may expose failures in our internal controls and risk management processes, which may adversely impact our business, financial condition, results of operations, or cash flows and may also harm our reputation, brand, and customer relationships.</w:t>
      </w:r>
    </w:p>
    <w:p>
      <w:pPr>
        <w:spacing w:after="0" w:line="186"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spacing w:after="0" w:line="186" w:lineRule="exact"/>
        <w:rPr>
          <w:sz w:val="20"/>
          <w:szCs w:val="20"/>
          <w:color w:val="auto"/>
        </w:rPr>
      </w:pPr>
    </w:p>
    <w:p>
      <w:pPr>
        <w:ind w:right="60" w:firstLine="255"/>
        <w:spacing w:after="0" w:line="251" w:lineRule="auto"/>
        <w:rPr>
          <w:sz w:val="20"/>
          <w:szCs w:val="20"/>
          <w:color w:val="auto"/>
        </w:rPr>
      </w:pPr>
      <w:r>
        <w:rPr>
          <w:rFonts w:ascii="Times New Roman" w:cs="Times New Roman" w:eastAsia="Times New Roman" w:hAnsi="Times New Roman"/>
          <w:sz w:val="18"/>
          <w:szCs w:val="18"/>
          <w:color w:val="auto"/>
        </w:rPr>
        <w:t>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unauthorized persons may attempt to hack into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artificial intelligence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9" w:name="page50"/>
    <w:bookmarkEnd w:id="49"/>
    <w:p>
      <w:pPr>
        <w:ind w:right="40"/>
        <w:spacing w:after="0" w:line="255" w:lineRule="auto"/>
        <w:rPr>
          <w:sz w:val="20"/>
          <w:szCs w:val="20"/>
          <w:color w:val="auto"/>
        </w:rPr>
      </w:pPr>
      <w:r>
        <w:rPr>
          <w:rFonts w:ascii="Times New Roman" w:cs="Times New Roman" w:eastAsia="Times New Roman" w:hAnsi="Times New Roman"/>
          <w:sz w:val="18"/>
          <w:szCs w:val="18"/>
          <w:color w:val="auto"/>
        </w:rPr>
        <w:t>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spacing w:after="0" w:line="187" w:lineRule="exact"/>
        <w:rPr>
          <w:sz w:val="20"/>
          <w:szCs w:val="20"/>
          <w:color w:val="auto"/>
        </w:rPr>
      </w:pPr>
    </w:p>
    <w:p>
      <w:pPr>
        <w:ind w:right="260" w:firstLine="255"/>
        <w:spacing w:after="0" w:line="280" w:lineRule="auto"/>
        <w:rPr>
          <w:sz w:val="20"/>
          <w:szCs w:val="20"/>
          <w:color w:val="auto"/>
        </w:rPr>
      </w:pPr>
      <w:r>
        <w:rPr>
          <w:rFonts w:ascii="Times New Roman" w:cs="Times New Roman" w:eastAsia="Times New Roman" w:hAnsi="Times New Roman"/>
          <w:sz w:val="17"/>
          <w:szCs w:val="17"/>
          <w:color w:val="auto"/>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This impact could result in reputational, competitive, operational, or other business harm as well as financial costs and claims, demands, litigation and regulatory action.</w:t>
      </w:r>
    </w:p>
    <w:p>
      <w:pPr>
        <w:spacing w:after="0" w:line="166"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8"/>
          <w:szCs w:val="18"/>
          <w:color w:val="auto"/>
        </w:rPr>
        <w:t>While we do maintain insurance coverage that is intended to address certain aspects of data security risks, such insurance coverage may be insufficient to cover all losses or all types of claims that may arise.</w:t>
      </w:r>
    </w:p>
    <w:p>
      <w:pPr>
        <w:spacing w:after="0" w:line="11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legal or regulatory requirements related to privacy, cybersecurity and data protection in one or multiple jurisdictions could result in proceedings, actions or penalties against us.</w:t>
      </w:r>
    </w:p>
    <w:p>
      <w:pPr>
        <w:spacing w:after="0" w:line="15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regarding privacy and cybersecurity. In Europe, the GDPR imposes several stringent requirements for controllers and processors of personal data that will increase our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spacing w:after="0" w:line="191"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this framework, on which basis the European Commission adopted an adequacy decision with respect to the DPF in July 2023, allowing for the DPF to be implemented and available for companies to use to legitimize transfers of personal data from the E.U. to the U.S. It remains unclear, however, whether this new framework will be appropriate for us to rely upon, and it may be subject to legal challenge. Additionally, the European Commission’s adequacy decision regarding the DPF provides that the DPF will be subject to future reviews and may be subject to suspension, amendment, repeal, or limitations to its scope by the European Commission. The CJEU Decision, the revised EU SCCs and UK SCCs, regulatory guidance and opinions, and other developments relating to cross-border data transfer may require us to implement additional contractual and technical safeguards for any personal data transferred out of the EEA, Switzerland, and the United Kingdom, which may increase compliance costs, lead to increased regulatory scrutiny or liability, may require additional contractual negotiations, and may adversely impact our business, financial condition and operating results.</w:t>
      </w:r>
    </w:p>
    <w:p>
      <w:pPr>
        <w:spacing w:after="0" w:line="187"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right="20"/>
        <w:spacing w:after="0" w:line="258" w:lineRule="auto"/>
        <w:rPr>
          <w:sz w:val="20"/>
          <w:szCs w:val="20"/>
          <w:color w:val="auto"/>
        </w:rPr>
      </w:pPr>
      <w:r>
        <w:rPr>
          <w:rFonts w:ascii="Times New Roman" w:cs="Times New Roman" w:eastAsia="Times New Roman" w:hAnsi="Times New Roman"/>
          <w:sz w:val="18"/>
          <w:szCs w:val="18"/>
          <w:color w:val="auto"/>
        </w:rPr>
        <w:t>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spacing w:after="0" w:line="182"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Further, the current U.S. administration is engaged in a comprehensive evaluation of national security concerns and other risks relating to the transfer of personally identifiable information from the United States to China, and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In 2019, an executive order citing national security risks in 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Any ban or other restriction on our transfer of data to the JV in China may increase costs as we seek operational and data processing alternatives.</w:t>
      </w:r>
    </w:p>
    <w:p>
      <w:pPr>
        <w:spacing w:after="0" w:line="18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spacing w:after="0" w:line="182"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have become, or will become, effective in 2023; Texas, Montana, Oregon, and Florida have adopted laws that will become effective in 2024, Delaware, Iowa, New Jersey and Tennessee have adopted laws that will become effective in 2025; and Indiana has adopted a law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w:t>
      </w:r>
    </w:p>
    <w:p>
      <w:pPr>
        <w:spacing w:after="0" w:line="192"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ind w:right="380"/>
        <w:spacing w:after="0" w:line="246" w:lineRule="exact"/>
        <w:rPr>
          <w:sz w:val="20"/>
          <w:szCs w:val="20"/>
          <w:color w:val="auto"/>
        </w:rPr>
      </w:pPr>
      <w:r>
        <w:rPr>
          <w:rFonts w:ascii="Times New Roman" w:cs="Times New Roman" w:eastAsia="Times New Roman" w:hAnsi="Times New Roman"/>
          <w:sz w:val="17"/>
          <w:szCs w:val="17"/>
          <w:b w:val="1"/>
          <w:bCs w:val="1"/>
          <w:i w:val="1"/>
          <w:iCs w:val="1"/>
          <w:color w:val="auto"/>
        </w:rPr>
        <w:t>If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payors do not provide sufficient coverage and reimbursement to healthcare providers for use of the CyberKnife and TomoTherapy platforms or if the number of patients covered by health insurance reduces, demand for our products and our revenue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-223520</wp:posOffset>
            </wp:positionV>
            <wp:extent cx="63500"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51"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spacing w:after="0" w:line="145"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w:t>
      </w:r>
    </w:p>
    <w:p>
      <w:pPr>
        <w:spacing w:after="0" w:line="101" w:lineRule="exact"/>
        <w:rPr>
          <w:sz w:val="20"/>
          <w:szCs w:val="20"/>
          <w:color w:val="auto"/>
        </w:rPr>
      </w:pPr>
    </w:p>
    <w:p>
      <w:pPr>
        <w:ind w:right="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for certain uses is not yet supported by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term clinical data, and our products may therefore prove to be less safe and effective than initially thought.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-223520</wp:posOffset>
            </wp:positionV>
            <wp:extent cx="63500"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51"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Although we believe that the CyberKnife and TomoTherapy platforms have advantages over competing products and technologies, we do not have sufficient clinical data demonstrating these advantages for all tumor indications. In addition, we have only limited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patient survival rate data, which is a common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spacing w:after="0" w:line="159"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8"/>
          <w:szCs w:val="18"/>
          <w:color w:val="auto"/>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spacing w:after="0" w:line="101" w:lineRule="exact"/>
        <w:rPr>
          <w:sz w:val="20"/>
          <w:szCs w:val="20"/>
          <w:color w:val="auto"/>
        </w:rPr>
      </w:pPr>
    </w:p>
    <w:p>
      <w:pPr>
        <w:jc w:val="both"/>
        <w:ind w:right="80" w:firstLine="255"/>
        <w:spacing w:after="0" w:line="231" w:lineRule="exact"/>
        <w:rPr>
          <w:sz w:val="20"/>
          <w:szCs w:val="20"/>
          <w:color w:val="auto"/>
        </w:rPr>
      </w:pPr>
      <w:r>
        <w:rPr>
          <w:rFonts w:ascii="Times New Roman" w:cs="Times New Roman" w:eastAsia="Times New Roman" w:hAnsi="Times New Roman"/>
          <w:sz w:val="18"/>
          <w:szCs w:val="18"/>
          <w:color w:val="auto"/>
        </w:rPr>
        <w:t>Such results could reduce the rate of reimbursement by both public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spacing w:after="0" w:line="16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shipping and logistics functions on our behalf. Failures or disruptions at our logistics providers has occurred and could continue to occur, which would adversely impact our business.</w:t>
      </w:r>
    </w:p>
    <w:p>
      <w:pPr>
        <w:spacing w:after="0" w:line="15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or COVID-19,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which were the result of macroeconomic factors. In the current environment, this could intensify if such factors continue to disrupt the global supply chain. These delays and increased costs have adversely affected our gross margins and net income (loss) and we currently expect such delays and increased costs may continue through the remainder of fiscal year 2024, if not longer.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52" w:name="page53"/>
    <w:bookmarkEnd w:id="52"/>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spacing w:after="0" w:line="179" w:lineRule="exact"/>
        <w:rPr>
          <w:sz w:val="20"/>
          <w:szCs w:val="20"/>
          <w:color w:val="auto"/>
        </w:rPr>
      </w:pPr>
    </w:p>
    <w:p>
      <w:pPr>
        <w:ind w:right="180" w:firstLine="255"/>
        <w:spacing w:after="0" w:line="260" w:lineRule="auto"/>
        <w:rPr>
          <w:sz w:val="20"/>
          <w:szCs w:val="20"/>
          <w:color w:val="auto"/>
        </w:rPr>
      </w:pPr>
      <w:r>
        <w:rPr>
          <w:rFonts w:ascii="Times New Roman" w:cs="Times New Roman" w:eastAsia="Times New Roman" w:hAnsi="Times New Roman"/>
          <w:sz w:val="18"/>
          <w:szCs w:val="18"/>
          <w:color w:val="auto"/>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spacing w:after="0" w:line="182"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spacing w:after="0" w:line="199" w:lineRule="exact"/>
        <w:rPr>
          <w:sz w:val="20"/>
          <w:szCs w:val="20"/>
          <w:color w:val="auto"/>
        </w:rPr>
      </w:pPr>
    </w:p>
    <w:p>
      <w:pPr>
        <w:ind w:right="100" w:firstLine="255"/>
        <w:spacing w:after="0" w:line="218" w:lineRule="exact"/>
        <w:rPr>
          <w:sz w:val="20"/>
          <w:szCs w:val="20"/>
          <w:color w:val="auto"/>
        </w:rPr>
      </w:pPr>
      <w:r>
        <w:rPr>
          <w:rFonts w:ascii="Times New Roman" w:cs="Times New Roman" w:eastAsia="Times New Roman" w:hAnsi="Times New Roman"/>
          <w:sz w:val="17"/>
          <w:szCs w:val="17"/>
          <w:color w:val="auto"/>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 Regardless of the merit of infringement claims, they can be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spacing w:after="0" w:line="200"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w:t>
      </w:r>
    </w:p>
    <w:p>
      <w:pPr>
        <w:spacing w:after="0" w:line="19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8"/>
          <w:szCs w:val="18"/>
          <w:color w:val="auto"/>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53" w:name="page54"/>
    <w:bookmarkEnd w:id="53"/>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jc w:val="both"/>
        <w:ind w:right="80" w:firstLine="255"/>
        <w:spacing w:after="0" w:line="220" w:lineRule="exact"/>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spacing w:after="0" w:line="199" w:lineRule="exact"/>
        <w:rPr>
          <w:sz w:val="20"/>
          <w:szCs w:val="20"/>
          <w:color w:val="auto"/>
        </w:rPr>
      </w:pPr>
    </w:p>
    <w:p>
      <w:pPr>
        <w:ind w:right="80" w:firstLine="255"/>
        <w:spacing w:after="0" w:line="252" w:lineRule="auto"/>
        <w:rPr>
          <w:sz w:val="20"/>
          <w:szCs w:val="20"/>
          <w:color w:val="auto"/>
        </w:rPr>
      </w:pPr>
      <w:r>
        <w:rPr>
          <w:rFonts w:ascii="Times New Roman" w:cs="Times New Roman" w:eastAsia="Times New Roman" w:hAnsi="Times New Roman"/>
          <w:sz w:val="18"/>
          <w:szCs w:val="18"/>
          <w:color w:val="auto"/>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spacing w:after="0" w:line="195"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spacing w:after="0" w:line="186" w:lineRule="exact"/>
        <w:rPr>
          <w:sz w:val="20"/>
          <w:szCs w:val="20"/>
          <w:color w:val="auto"/>
        </w:rPr>
      </w:pPr>
    </w:p>
    <w:p>
      <w:pPr>
        <w:jc w:val="both"/>
        <w:ind w:right="60" w:firstLine="255"/>
        <w:spacing w:after="0" w:line="265" w:lineRule="auto"/>
        <w:rPr>
          <w:sz w:val="20"/>
          <w:szCs w:val="20"/>
          <w:color w:val="auto"/>
        </w:rPr>
      </w:pPr>
      <w:r>
        <w:rPr>
          <w:rFonts w:ascii="Times New Roman" w:cs="Times New Roman" w:eastAsia="Times New Roman" w:hAnsi="Times New Roman"/>
          <w:sz w:val="18"/>
          <w:szCs w:val="18"/>
          <w:color w:val="auto"/>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spacing w:after="0" w:line="17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ind w:right="300"/>
        <w:spacing w:after="0" w:line="260" w:lineRule="auto"/>
        <w:rPr>
          <w:sz w:val="20"/>
          <w:szCs w:val="20"/>
          <w:color w:val="auto"/>
        </w:rPr>
      </w:pPr>
      <w:r>
        <w:rPr>
          <w:rFonts w:ascii="Times New Roman" w:cs="Times New Roman" w:eastAsia="Times New Roman" w:hAnsi="Times New Roman"/>
          <w:sz w:val="18"/>
          <w:szCs w:val="18"/>
          <w:color w:val="auto"/>
        </w:rPr>
        <w:t>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spacing w:after="0" w:line="182" w:lineRule="exact"/>
        <w:rPr>
          <w:sz w:val="20"/>
          <w:szCs w:val="20"/>
          <w:color w:val="auto"/>
        </w:rPr>
      </w:pPr>
    </w:p>
    <w:p>
      <w:pPr>
        <w:ind w:right="60" w:firstLine="255"/>
        <w:spacing w:after="0" w:line="219" w:lineRule="exact"/>
        <w:rPr>
          <w:sz w:val="20"/>
          <w:szCs w:val="20"/>
          <w:color w:val="auto"/>
        </w:rPr>
      </w:pPr>
      <w:r>
        <w:rPr>
          <w:rFonts w:ascii="Times New Roman" w:cs="Times New Roman" w:eastAsia="Times New Roman" w:hAnsi="Times New Roman"/>
          <w:sz w:val="18"/>
          <w:szCs w:val="18"/>
          <w:color w:val="auto"/>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If we are unable to protect our intellectual property rights, we may be unable to prevent competitors from using our own inventions and intellectual property to compete against us and our business may be harmed.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materially and adversely affect our financial condition.</w:t>
      </w:r>
    </w:p>
    <w:p>
      <w:pPr>
        <w:spacing w:after="0" w:line="229"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majority of our product revenue is derived from sales of the CyberKnife and TomoTherapy platforms, which have a long and variable sales and installation cycle, our revenues and cash flows may be volatile and difficult to predict.</w:t>
      </w:r>
    </w:p>
    <w:p>
      <w:pPr>
        <w:spacing w:after="0" w:line="158"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8"/>
          <w:szCs w:val="18"/>
          <w:color w:val="auto"/>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two years and involves personnel with multiple skills. The sales process in the U.S. typically begins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may require additional time and approvals. Typically, following the execution of the contract, the customer begins the building or renovation of a radiation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spacing w:after="0" w:line="204"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the COVID-19 pandemic or other macroeconomic factors have resulted in delays in construction, shipment or installation and some have failed to timely pay their obligations when due.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firstLine="255"/>
        <w:spacing w:after="0" w:line="254" w:lineRule="auto"/>
        <w:rPr>
          <w:sz w:val="20"/>
          <w:szCs w:val="20"/>
          <w:color w:val="auto"/>
        </w:rPr>
      </w:pPr>
      <w:r>
        <w:rPr>
          <w:rFonts w:ascii="Times New Roman" w:cs="Times New Roman" w:eastAsia="Times New Roman" w:hAnsi="Times New Roman"/>
          <w:sz w:val="18"/>
          <w:szCs w:val="18"/>
          <w:color w:val="auto"/>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05"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depend on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distributors to market and distribute our products in international markets. If our distributors fail to successfully market and distribute our products,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-223520</wp:posOffset>
            </wp:positionV>
            <wp:extent cx="63500"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78"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We have strategic relationships with a number of key distributors for sales and service of our products in certain foreign countries, including the JV in China and other third-party distributors in other regions. We cannot control the efforts and resources our third party distributors will devote to marketing the CyberKnife or TomoTherapy platforms. Our distributors may not be able to successfully market and sell the CyberKnife or TomoTherapy platforms, including as a result of concerns regarding the COVID-19 pandemic,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high unit price of the CyberKnife and TomoTherapy platforms, as well as other factors, may contribute to substantial fluctuations in our operating results, which could adversely affect our stock price.</w:t>
      </w:r>
    </w:p>
    <w:p>
      <w:pPr>
        <w:spacing w:after="0" w:line="158" w:lineRule="exact"/>
        <w:rPr>
          <w:sz w:val="20"/>
          <w:szCs w:val="20"/>
          <w:color w:val="auto"/>
        </w:rPr>
      </w:pPr>
    </w:p>
    <w:p>
      <w:pPr>
        <w:ind w:right="20" w:firstLine="255"/>
        <w:spacing w:after="0" w:line="219" w:lineRule="exact"/>
        <w:rPr>
          <w:sz w:val="20"/>
          <w:szCs w:val="20"/>
          <w:color w:val="auto"/>
        </w:rPr>
      </w:pPr>
      <w:r>
        <w:rPr>
          <w:rFonts w:ascii="Times New Roman" w:cs="Times New Roman" w:eastAsia="Times New Roman" w:hAnsi="Times New Roman"/>
          <w:sz w:val="18"/>
          <w:szCs w:val="18"/>
          <w:color w:val="auto"/>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These fluctuations and other potential fluctuations mean that you should not rely upon our operating results in any particular period as an indication of future performance.</w:t>
      </w:r>
    </w:p>
    <w:p>
      <w:pPr>
        <w:spacing w:after="0" w:line="15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strategy to assist our sales efforts, we may offer extended payment terms, which may potentially result in higher days sales outstanding, reduced cash flows in a particular period and greater payment defaults.</w:t>
      </w:r>
    </w:p>
    <w:p>
      <w:pPr>
        <w:spacing w:after="0" w:line="11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We offer longer or extended payment terms for qualified customers in some circumstances. As of December 31, 2023, customer contracts with extended payment terms of more than one year amounted to approximately 6%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spacing w:after="0" w:line="131"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8"/>
          <w:szCs w:val="18"/>
          <w:color w:val="auto"/>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spacing w:after="0" w:line="163" w:lineRule="exact"/>
        <w:rPr>
          <w:sz w:val="20"/>
          <w:szCs w:val="20"/>
          <w:color w:val="auto"/>
        </w:rPr>
      </w:pPr>
    </w:p>
    <w:p>
      <w:pPr>
        <w:ind w:left="780" w:hanging="383"/>
        <w:spacing w:after="0" w:line="260"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spacing w:after="0" w:line="181" w:lineRule="exact"/>
        <w:rPr>
          <w:rFonts w:ascii="Times New Roman" w:cs="Times New Roman" w:eastAsia="Times New Roman" w:hAnsi="Times New Roman"/>
          <w:sz w:val="18"/>
          <w:szCs w:val="18"/>
          <w:color w:val="auto"/>
        </w:rPr>
      </w:pPr>
    </w:p>
    <w:p>
      <w:pPr>
        <w:ind w:left="780" w:right="100" w:hanging="383"/>
        <w:spacing w:after="0" w:line="26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spacing w:after="0" w:line="177" w:lineRule="exact"/>
        <w:rPr>
          <w:rFonts w:ascii="Times New Roman" w:cs="Times New Roman" w:eastAsia="Times New Roman" w:hAnsi="Times New Roman"/>
          <w:sz w:val="18"/>
          <w:szCs w:val="18"/>
          <w:color w:val="auto"/>
        </w:rPr>
      </w:pPr>
    </w:p>
    <w:p>
      <w:pPr>
        <w:ind w:left="780" w:right="120" w:hanging="383"/>
        <w:spacing w:after="0" w:line="258"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a Class B device, in customers in China obtaining Class A or Class B user licenses or in the subsequent tender process to complete the sale could affect the JV’s expected ability to initiate sales, recognize revenue and achieve revenue and orders expectations in China;</w:t>
      </w:r>
    </w:p>
    <w:p>
      <w:pPr>
        <w:spacing w:after="0" w:line="181" w:lineRule="exact"/>
        <w:rPr>
          <w:rFonts w:ascii="Times New Roman" w:cs="Times New Roman" w:eastAsia="Times New Roman" w:hAnsi="Times New Roman"/>
          <w:sz w:val="18"/>
          <w:szCs w:val="18"/>
          <w:color w:val="auto"/>
        </w:rPr>
      </w:pPr>
    </w:p>
    <w:p>
      <w:pPr>
        <w:jc w:val="both"/>
        <w:ind w:left="780" w:right="140" w:hanging="383"/>
        <w:spacing w:after="0" w:line="26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w:t>
      </w:r>
    </w:p>
    <w:p>
      <w:pPr>
        <w:spacing w:after="0" w:line="177" w:lineRule="exact"/>
        <w:rPr>
          <w:rFonts w:ascii="Times New Roman" w:cs="Times New Roman" w:eastAsia="Times New Roman" w:hAnsi="Times New Roman"/>
          <w:sz w:val="18"/>
          <w:szCs w:val="18"/>
          <w:color w:val="auto"/>
        </w:rPr>
      </w:pPr>
    </w:p>
    <w:p>
      <w:pPr>
        <w:ind w:left="780" w:right="80" w:hanging="383"/>
        <w:spacing w:after="0" w:line="281"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partnerships, alliances and joint ventures can be difficult to manage and may involve significant expense and divert the focus and attention of our management and other key personnel away from our existing businesses;</w:t>
      </w:r>
    </w:p>
    <w:p>
      <w:pPr>
        <w:spacing w:after="0" w:line="162" w:lineRule="exact"/>
        <w:rPr>
          <w:rFonts w:ascii="Times New Roman" w:cs="Times New Roman" w:eastAsia="Times New Roman" w:hAnsi="Times New Roman"/>
          <w:sz w:val="18"/>
          <w:szCs w:val="18"/>
          <w:color w:val="auto"/>
        </w:rPr>
      </w:pPr>
    </w:p>
    <w:p>
      <w:pPr>
        <w:ind w:left="780" w:right="300" w:hanging="383"/>
        <w:spacing w:after="0" w:line="281"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joint ventures, we may not be able to attract qualified employees, acquire customers or develop reliable supply, distribution or other partnerships;</w:t>
      </w:r>
    </w:p>
    <w:p>
      <w:pPr>
        <w:spacing w:after="0" w:line="162" w:lineRule="exact"/>
        <w:rPr>
          <w:rFonts w:ascii="Times New Roman" w:cs="Times New Roman" w:eastAsia="Times New Roman" w:hAnsi="Times New Roman"/>
          <w:sz w:val="18"/>
          <w:szCs w:val="18"/>
          <w:color w:val="auto"/>
        </w:rPr>
      </w:pPr>
    </w:p>
    <w:p>
      <w:pPr>
        <w:ind w:left="780" w:right="60" w:hanging="383"/>
        <w:spacing w:after="0" w:line="281"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damage to existing customer relationships or lack of customer acceptance or inability to attract new customers as a result of certain collaborations, partnerships, alliances and joint ventures;</w:t>
      </w:r>
    </w:p>
    <w:p>
      <w:pPr>
        <w:spacing w:after="0" w:line="162" w:lineRule="exact"/>
        <w:rPr>
          <w:rFonts w:ascii="Times New Roman" w:cs="Times New Roman" w:eastAsia="Times New Roman" w:hAnsi="Times New Roman"/>
          <w:sz w:val="18"/>
          <w:szCs w:val="18"/>
          <w:color w:val="auto"/>
        </w:rPr>
      </w:pPr>
    </w:p>
    <w:p>
      <w:pPr>
        <w:ind w:left="780" w:right="120" w:hanging="383"/>
        <w:spacing w:after="0" w:line="26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spacing w:after="0" w:line="177" w:lineRule="exact"/>
        <w:rPr>
          <w:rFonts w:ascii="Times New Roman" w:cs="Times New Roman" w:eastAsia="Times New Roman" w:hAnsi="Times New Roman"/>
          <w:sz w:val="18"/>
          <w:szCs w:val="18"/>
          <w:color w:val="auto"/>
        </w:rPr>
      </w:pPr>
    </w:p>
    <w:p>
      <w:pPr>
        <w:ind w:left="780" w:right="260" w:hanging="383"/>
        <w:spacing w:after="0" w:line="26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spacing w:after="0" w:line="137" w:lineRule="exact"/>
        <w:rPr>
          <w:sz w:val="20"/>
          <w:szCs w:val="20"/>
          <w:color w:val="auto"/>
        </w:rPr>
      </w:pPr>
    </w:p>
    <w:p>
      <w:pPr>
        <w:ind w:right="300" w:firstLine="255"/>
        <w:spacing w:after="0" w:line="281" w:lineRule="auto"/>
        <w:rPr>
          <w:sz w:val="20"/>
          <w:szCs w:val="20"/>
          <w:color w:val="auto"/>
        </w:rPr>
      </w:pPr>
      <w:r>
        <w:rPr>
          <w:rFonts w:ascii="Times New Roman" w:cs="Times New Roman" w:eastAsia="Times New Roman" w:hAnsi="Times New Roman"/>
          <w:sz w:val="18"/>
          <w:szCs w:val="18"/>
          <w:color w:val="auto"/>
        </w:rPr>
        <w:t>As a result of these and other factors, we may not realize the expected benefits of any collaboration, partnership, strategic alliance or joint venture or such benefits may not be realized at expected levels or within the expected time period.</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spacing w:after="0" w:line="174" w:lineRule="exact"/>
        <w:rPr>
          <w:sz w:val="20"/>
          <w:szCs w:val="20"/>
          <w:color w:val="auto"/>
        </w:rPr>
      </w:pPr>
    </w:p>
    <w:p>
      <w:pPr>
        <w:ind w:right="160" w:firstLine="255"/>
        <w:spacing w:after="0" w:line="260"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t>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14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or obtain financing in the future may be limited, and our failure to raise capital when needed could prevent us from executing our growth strategy.</w:t>
      </w:r>
    </w:p>
    <w:p>
      <w:pPr>
        <w:spacing w:after="0" w:line="158"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spacing w:after="0" w:line="177"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such as the failure at Silicon Valley Bank in March 2023,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We cannot assure that additional financing, if required or desired, will be available in amounts or on terms acceptable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 If we need to accept less favorable terms, it could increase our cost of capital, reduce our cash balances or otherwise restrict our ability to grow.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certain tax loss carryforwards.</w:t>
      </w:r>
    </w:p>
    <w:p>
      <w:pPr>
        <w:spacing w:after="0" w:line="18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As of June 30, 2023, we had approximately $294.1 million and $125.1 million in federal and state net operating loss carryforwards, respectively. The federal and state carryforwards expire in varying amounts beginning in 2025 for federal and 2024 for state purposes. In addition, as of June 30, 2023, we had federal and state research and development tax credit carryforwards of approximately $27.9 million and $22.6 million, respectively. The California research credits have no expiration date, but if not utilized, the federal research credits and other non-California state research credits will begin to expire in 2024.</w:t>
      </w:r>
    </w:p>
    <w:p>
      <w:pPr>
        <w:spacing w:after="0" w:line="14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Tax Act legislation, as modified by the Coronavirus Aid, Relief and Economic Security Act (the “CARES Act”), among other things, includes changes to the rules governing net operating losses. Net operating losses arising in tax years beginning after December 31, 2017 are subject to an 80% of taxable income limitation (as calculated before taking the net operating losses into account). It is uncertain if and to what extent various states will conform to the Tax Act or CARES Act. For state income tax purposes, there may be periods during which the use of net operating losses is suspended or otherwise limited. In addition, utilization of our net operating loss and credit carryforwards is subject to annual limitation due to the application of the ownership change limitations provided by Section 382 of the Internal Revenue Code and similar state provisions to us. Future changes in our stock ownership, including future offerings, as well as changes that may be outside of our control, could result in an ownership change under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ind w:right="40"/>
        <w:spacing w:after="0" w:line="260" w:lineRule="auto"/>
        <w:rPr>
          <w:sz w:val="20"/>
          <w:szCs w:val="20"/>
          <w:color w:val="auto"/>
        </w:rPr>
      </w:pPr>
      <w:r>
        <w:rPr>
          <w:rFonts w:ascii="Times New Roman" w:cs="Times New Roman" w:eastAsia="Times New Roman" w:hAnsi="Times New Roman"/>
          <w:sz w:val="18"/>
          <w:szCs w:val="18"/>
          <w:color w:val="auto"/>
        </w:rPr>
        <w:t>382 of the Internal Revenue Code. Additionally, one of the provisions under the Tax Cuts and Jobs Act that became effective in tax years beginning after December 31, 2021 required the capitalization and amortization of research and experimental expenditures and although this change did not have an impact on our current consolidated financial statements, it may have an impact on future periods as our research and experimental expenditures have been a material amount on our financial statements.</w:t>
      </w:r>
    </w:p>
    <w:p>
      <w:pPr>
        <w:spacing w:after="0" w:line="15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tax laws of various foreign jurisdictions, as well as within the United States, which are subject to unanticipated changes and interpretation and could harm our future results.</w:t>
      </w:r>
    </w:p>
    <w:p>
      <w:pPr>
        <w:spacing w:after="0" w:line="158"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and have adopted or intend to adopt laws to implement this initiative. Such countries and organizations are also actively considering changes to existing tax laws or have proposed or enacted new laws that could increase our tax obligations in countries where we do business or cause us to change the way we operate our business, which could materially impact our results of operation.</w:t>
      </w:r>
    </w:p>
    <w:p>
      <w:pPr>
        <w:spacing w:after="0" w:line="14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our ability to produce timely and accurate financial results could be impaired. As a result, current and potential stockholders could lose confidence in our financial reporting, which could have an adverse effect on our business and our stock price.</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to protect from fraudulent, illegal, or unauthorized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cannot maintain effective controls and provide timely and reliable financial reports, our business and operating results could be harmed.</w:t>
      </w:r>
    </w:p>
    <w:p>
      <w:pPr>
        <w:spacing w:after="0" w:line="17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 August 2023, we began using a new enterprise resource planning system (the “ERP system”) for financial reporting. Although we have completed this transition to the ERP system, any disruption or difficulties in connection with our ERP system could adversely impact the effectiveness of our internal control over financial reporting. Further, any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also adversely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It is also possible that any disruption or difficulties in connection with our ERP system could adversely impact the effectiveness of our internal control over financial reporting, which could lead to further material weaknesses or significant deficiencies in our controls, which in turn could adversely affect our business, financial condition or results of operations. A failure to implement and maintain effective internal control over financial reporting could result in a material misstatement of our financial statements or otherwise cause us to fail to meet our financial reporting obligations. This, in turn, could result in a loss of investor confidence in the accuracy and completeness of our financial reports, which could have an adverse effect on our business and operating results and our stock price, and we could be subject to stockholder litigation.</w:t>
      </w:r>
    </w:p>
    <w:p>
      <w:pPr>
        <w:spacing w:after="0" w:line="15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addition, it may be difficult to timely determine the effectiveness of our financial reporting systems and internal controls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 and Business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9" w:name="page60"/>
    <w:bookmarkEnd w:id="59"/>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spacing w:after="0" w:line="17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CyberKnife and TomoTherapy platforms as well as the Precision Treatment Planning with iDMS Data Management System software are medical devices that are subject to extensive regulation in the United States by local, state and the federal government, including the FDA. The FDA cleared the latest imaging feature for the Radixact System, ClearRTTM,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spacing w:after="0" w:line="194"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spacing w:after="0" w:line="19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spacing w:after="0" w:line="186" w:lineRule="exact"/>
        <w:rPr>
          <w:sz w:val="20"/>
          <w:szCs w:val="20"/>
          <w:color w:val="auto"/>
        </w:rPr>
      </w:pPr>
    </w:p>
    <w:p>
      <w:pPr>
        <w:ind w:right="140" w:firstLine="255"/>
        <w:spacing w:after="0" w:line="276" w:lineRule="auto"/>
        <w:rPr>
          <w:sz w:val="20"/>
          <w:szCs w:val="20"/>
          <w:color w:val="auto"/>
        </w:rPr>
      </w:pPr>
      <w:r>
        <w:rPr>
          <w:rFonts w:ascii="Times New Roman" w:cs="Times New Roman" w:eastAsia="Times New Roman" w:hAnsi="Times New Roman"/>
          <w:sz w:val="17"/>
          <w:szCs w:val="17"/>
          <w:color w:val="auto"/>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spacing w:after="0" w:line="17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0" w:name="page61"/>
    <w:bookmarkEnd w:id="60"/>
    <w:p>
      <w:pPr>
        <w:ind w:right="540"/>
        <w:spacing w:after="0" w:line="281" w:lineRule="auto"/>
        <w:rPr>
          <w:sz w:val="20"/>
          <w:szCs w:val="20"/>
          <w:color w:val="auto"/>
        </w:rPr>
      </w:pPr>
      <w:r>
        <w:rPr>
          <w:rFonts w:ascii="Times New Roman" w:cs="Times New Roman" w:eastAsia="Times New Roman" w:hAnsi="Times New Roman"/>
          <w:sz w:val="18"/>
          <w:szCs w:val="18"/>
          <w:color w:val="auto"/>
        </w:rPr>
        <w:t>and marketing the modified device or to recall such modified device until we obtain FDA approval or clearance and we may be subject to significant regulatory fines or penalties.</w:t>
      </w:r>
    </w:p>
    <w:p>
      <w:pPr>
        <w:spacing w:after="0" w:line="16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spacing w:after="0" w:line="18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and regulations applicable to our operations, the violation of which could result in substantial penalties and harm our business.</w:t>
      </w:r>
    </w:p>
    <w:p>
      <w:pPr>
        <w:spacing w:after="0" w:line="158"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spacing w:after="0" w:line="141"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Laws and ethical rules governing interactions with healthcare providers. </w:t>
      </w:r>
      <w:r>
        <w:rPr>
          <w:rFonts w:ascii="Times New Roman" w:cs="Times New Roman" w:eastAsia="Times New Roman" w:hAnsi="Times New Roman"/>
          <w:sz w:val="18"/>
          <w:szCs w:val="18"/>
          <w:color w:val="auto"/>
        </w:rPr>
        <w:t>The Medicare and Medicaid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and similar state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spacing w:after="0" w:line="20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spacing w:after="0" w:line="148" w:lineRule="exact"/>
        <w:rPr>
          <w:sz w:val="20"/>
          <w:szCs w:val="20"/>
          <w:color w:val="auto"/>
        </w:rPr>
      </w:pPr>
    </w:p>
    <w:p>
      <w:pPr>
        <w:ind w:right="120" w:firstLine="255"/>
        <w:spacing w:after="0" w:line="226" w:lineRule="exact"/>
        <w:rPr>
          <w:sz w:val="20"/>
          <w:szCs w:val="20"/>
          <w:color w:val="auto"/>
        </w:rPr>
      </w:pPr>
      <w:r>
        <w:rPr>
          <w:rFonts w:ascii="Times New Roman" w:cs="Times New Roman" w:eastAsia="Times New Roman" w:hAnsi="Times New Roman"/>
          <w:sz w:val="18"/>
          <w:szCs w:val="18"/>
          <w:color w:val="auto"/>
        </w:rPr>
        <w:t>We are also subject to federal and state 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ind w:right="160" w:firstLine="255"/>
        <w:spacing w:after="0" w:line="231" w:lineRule="exact"/>
        <w:rPr>
          <w:sz w:val="20"/>
          <w:szCs w:val="20"/>
          <w:color w:val="auto"/>
        </w:rPr>
      </w:pPr>
      <w:r>
        <w:rPr>
          <w:rFonts w:ascii="Times New Roman" w:cs="Times New Roman" w:eastAsia="Times New Roman" w:hAnsi="Times New Roman"/>
          <w:sz w:val="18"/>
          <w:szCs w:val="18"/>
          <w:color w:val="auto"/>
        </w:rPr>
        <w:t>If our past or present operations are found to be in violation of any of these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“false claims,”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spacing w:after="0" w:line="158" w:lineRule="exact"/>
        <w:rPr>
          <w:sz w:val="20"/>
          <w:szCs w:val="20"/>
          <w:color w:val="auto"/>
        </w:rPr>
      </w:pPr>
    </w:p>
    <w:p>
      <w:pPr>
        <w:ind w:right="60" w:firstLine="255"/>
        <w:spacing w:after="0" w:line="223"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corruption laws. </w:t>
      </w:r>
      <w:r>
        <w:rPr>
          <w:rFonts w:ascii="Times New Roman" w:cs="Times New Roman" w:eastAsia="Times New Roman" w:hAnsi="Times New Roman"/>
          <w:sz w:val="18"/>
          <w:szCs w:val="18"/>
          <w:color w:val="auto"/>
        </w:rPr>
        <w:t>We are also subject to laws regarding the conduct of business overseas, such as the FCPA, the U.K. Bribery Act of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spacing w:after="0" w:line="200"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Laws protecting patient health information. </w:t>
      </w:r>
      <w:r>
        <w:rPr>
          <w:rFonts w:ascii="Times New Roman" w:cs="Times New Roman" w:eastAsia="Times New Roman" w:hAnsi="Times New Roman"/>
          <w:sz w:val="18"/>
          <w:szCs w:val="18"/>
          <w:color w:val="auto"/>
        </w:rPr>
        <w:t>There are a number of federal and state laws protecting the confidentiality of certain patient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spacing w:after="0" w:line="18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Transparency laws. </w:t>
      </w:r>
      <w:r>
        <w:rPr>
          <w:rFonts w:ascii="Times New Roman" w:cs="Times New Roman" w:eastAsia="Times New Roman" w:hAnsi="Times New Roman"/>
          <w:sz w:val="18"/>
          <w:szCs w:val="18"/>
          <w:color w:val="auto"/>
        </w:rPr>
        <w:t>The Sunshine Act, which was enacted by Congress as part of the Patient Protection and Affordable Care Act on December 14,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spacing w:after="0" w:line="195"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The Dodd Frank Wall Street Reform and Consumer Protection Act and the rules promulgated by the SEC under such act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including Accuray, to disclose the existence in their products of certain metals, known as “conflict minerals,” which are metals mined from the Democratic Republic of the Congo and adjoining countries. These rules require investigative efforts, which has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2" w:name="page63"/>
    <w:bookmarkEnd w:id="6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the necessary regulatory approvals in a specific country, we will not be able to market and sell our products in that country.</w:t>
      </w:r>
    </w:p>
    <w:p>
      <w:pPr>
        <w:spacing w:after="0" w:line="131"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8"/>
          <w:szCs w:val="18"/>
          <w:color w:val="auto"/>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disruptive to our business to transfer the required regulatory approvals, particularly if such approvals are maintained by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spacing w:after="0" w:line="165" w:lineRule="exact"/>
        <w:rPr>
          <w:sz w:val="20"/>
          <w:szCs w:val="20"/>
          <w:color w:val="auto"/>
        </w:rPr>
      </w:pPr>
    </w:p>
    <w:p>
      <w:pPr>
        <w:ind w:right="20" w:firstLine="255"/>
        <w:spacing w:after="0" w:line="217" w:lineRule="exact"/>
        <w:rPr>
          <w:sz w:val="20"/>
          <w:szCs w:val="20"/>
          <w:color w:val="auto"/>
        </w:rPr>
      </w:pPr>
      <w:r>
        <w:rPr>
          <w:rFonts w:ascii="Times New Roman" w:cs="Times New Roman" w:eastAsia="Times New Roman" w:hAnsi="Times New Roman"/>
          <w:sz w:val="18"/>
          <w:szCs w:val="18"/>
          <w:color w:val="auto"/>
        </w:rPr>
        <w:t>Within the EU, we are required under the Medical Device Directive to affix the Conformité Européene (“CE”) mark on our products in order to sell the products in member countries of the EU. This conformity to the applicable directives is done through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spacing w:after="0" w:line="125" w:lineRule="exact"/>
        <w:rPr>
          <w:sz w:val="20"/>
          <w:szCs w:val="20"/>
          <w:color w:val="auto"/>
        </w:rPr>
      </w:pPr>
    </w:p>
    <w:p>
      <w:pPr>
        <w:ind w:firstLine="255"/>
        <w:spacing w:after="0" w:line="227" w:lineRule="exact"/>
        <w:rPr>
          <w:sz w:val="20"/>
          <w:szCs w:val="20"/>
          <w:color w:val="auto"/>
        </w:rPr>
      </w:pPr>
      <w:r>
        <w:rPr>
          <w:rFonts w:ascii="Times New Roman" w:cs="Times New Roman" w:eastAsia="Times New Roman" w:hAnsi="Times New Roman"/>
          <w:sz w:val="18"/>
          <w:szCs w:val="18"/>
          <w:color w:val="auto"/>
        </w:rPr>
        <w:t>Under the Pharmaceutical Affairs Law in Japan,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spacing w:after="0" w:line="174" w:lineRule="exact"/>
        <w:rPr>
          <w:sz w:val="20"/>
          <w:szCs w:val="20"/>
          <w:color w:val="auto"/>
        </w:rPr>
      </w:pPr>
    </w:p>
    <w:p>
      <w:pPr>
        <w:ind w:right="60" w:firstLine="255"/>
        <w:spacing w:after="0" w:line="269" w:lineRule="auto"/>
        <w:rPr>
          <w:sz w:val="20"/>
          <w:szCs w:val="20"/>
          <w:color w:val="auto"/>
        </w:rPr>
      </w:pPr>
      <w:r>
        <w:rPr>
          <w:rFonts w:ascii="Times New Roman" w:cs="Times New Roman" w:eastAsia="Times New Roman" w:hAnsi="Times New Roman"/>
          <w:sz w:val="17"/>
          <w:szCs w:val="17"/>
          <w:color w:val="auto"/>
        </w:rPr>
        <w:t>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adversely affect demand for our products, our revenue and our financial condition.</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spacing w:after="0" w:line="186" w:lineRule="exact"/>
        <w:rPr>
          <w:sz w:val="20"/>
          <w:szCs w:val="20"/>
          <w:color w:val="auto"/>
        </w:rPr>
      </w:pPr>
    </w:p>
    <w:p>
      <w:pPr>
        <w:ind w:right="140" w:firstLine="255"/>
        <w:spacing w:after="0" w:line="218" w:lineRule="exact"/>
        <w:rPr>
          <w:sz w:val="20"/>
          <w:szCs w:val="20"/>
          <w:color w:val="auto"/>
        </w:rPr>
      </w:pPr>
      <w:r>
        <w:rPr>
          <w:rFonts w:ascii="Times New Roman" w:cs="Times New Roman" w:eastAsia="Times New Roman" w:hAnsi="Times New Roman"/>
          <w:sz w:val="18"/>
          <w:szCs w:val="18"/>
          <w:color w:val="auto"/>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spacing w:after="0" w:line="201"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In addition, since the adoption of the ACA, other legislation designed to keep federal healthcare costs down has been proposed or passed. For example, under the sequestration required by the Budget Control Act of 2011, as amended by the American Taxpayer Relief Act of 2012, Medicare payments for all items and services under Parts A and B incurred on or after April 1, 2013 have been reduced by up to 2%. In 2020 and 2021, during the COVID-19 pandemic, Congress passed several laws including the Coronavirus Aid, Relief, and Economic Security (“CARES”) Act and Consolidated Appropriations Act of 2021, that temporarily suspended the 2% sequestration. At the end of 2021, Congress passed the Protecting Medicare and American Farmers from Sequester Cuts Act, which extended the suspension on the 2% sequestration through March 31, 2022, and adjusted the sequester to 1% for the period between April 1, 2022 and June 30, 2022. Future federal legislation may impose further limitations on the coverage or amounts of reimbursement available for our products from governmental agencies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These limitations could have a negative impact on the demand for our products and services, and therefore on our financial position and results of operations.</w:t>
      </w:r>
    </w:p>
    <w:p>
      <w:pPr>
        <w:spacing w:after="0" w:line="20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Since the enactment of the ACA, CMS continues its efforts to move away from fee for service payments for furnishing items and services in Medicare. As a result of actions taken in 2020 and 2021, CMS has finalized, but not implemented a radiation oncology alternative payment model (“RO-APM”). This model was designed to determine if a site neutral, modality agnostic, episode based payment model would reduce Medicare expenditures and preserve beneficiary quality of care. However, due to the COVID-19 pandemic, implementation of the RO-APM has been delayed several times. On August 29, 2022, CMS published a final rule in the Federal Register, CMS-5527-F2, that delayed the start date of the RO-APM to a date to be determined through future rulemaking. As such, it remains unclear as to if or when CMS will introduce the RO-APM. If implemented, it is unclear what impact, if any, the RO-APM and other government payer initiatives will have on our business and operating results, but uncertainties surrounding the new payment model or other initiatives could pause or otherwise delay the purchase of our products by our customers and any resulting decrease in reimbursement to our customers may result in reduced demand for our services.</w:t>
      </w:r>
    </w:p>
    <w:p>
      <w:pPr>
        <w:spacing w:after="0" w:line="186"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Future legislative or policy initiatives directed at reducing costs could be introduced at either the federal or state level.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continue to fluctuate significantly, which could lead to losses for stockholders.</w:t>
      </w:r>
    </w:p>
    <w:p>
      <w:pPr>
        <w:spacing w:after="0" w:line="188" w:lineRule="exact"/>
        <w:rPr>
          <w:sz w:val="20"/>
          <w:szCs w:val="20"/>
          <w:color w:val="auto"/>
        </w:rPr>
      </w:pPr>
    </w:p>
    <w:p>
      <w:pPr>
        <w:ind w:right="100" w:firstLine="255"/>
        <w:spacing w:after="0" w:line="274"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other risk factors described above and below, factors affecting the trading price of our common stock include:</w:t>
      </w:r>
    </w:p>
    <w:p>
      <w:pPr>
        <w:spacing w:after="0" w:line="225" w:lineRule="exact"/>
        <w:rPr>
          <w:sz w:val="20"/>
          <w:szCs w:val="20"/>
          <w:color w:val="auto"/>
        </w:rPr>
      </w:pPr>
    </w:p>
    <w:p>
      <w:pPr>
        <w:ind w:left="780" w:right="140" w:hanging="383"/>
        <w:spacing w:after="0" w:line="281"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operations or financial condition caused by concerns in connection with the global economic environment, the ongoing recovery from the COVID-19 pandemic or supply chain disruptions;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manufacturing, marketing or sale of the CyberKnife or TomoTherapy platform;</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uncertainties, including as a result of the Russia-Ukraine and Israel-Hamas conflicts;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as well as costs and expenditures;</w:t>
      </w:r>
    </w:p>
    <w:p>
      <w:pPr>
        <w:spacing w:after="0" w:line="224" w:lineRule="exact"/>
        <w:rPr>
          <w:rFonts w:ascii="Times New Roman" w:cs="Times New Roman" w:eastAsia="Times New Roman" w:hAnsi="Times New Roman"/>
          <w:sz w:val="18"/>
          <w:szCs w:val="18"/>
          <w:color w:val="auto"/>
        </w:rPr>
      </w:pPr>
    </w:p>
    <w:p>
      <w:pPr>
        <w:ind w:left="780" w:right="60" w:hanging="383"/>
        <w:spacing w:after="0" w:line="281"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services or service enhancements, strategic alliances or significant agreements by us or by our competitors;</w:t>
      </w:r>
    </w:p>
    <w:p>
      <w:pPr>
        <w:spacing w:after="0" w:line="162" w:lineRule="exact"/>
        <w:rPr>
          <w:rFonts w:ascii="Times New Roman" w:cs="Times New Roman" w:eastAsia="Times New Roman" w:hAnsi="Times New Roman"/>
          <w:sz w:val="18"/>
          <w:szCs w:val="18"/>
          <w:color w:val="auto"/>
        </w:rPr>
      </w:pPr>
    </w:p>
    <w:p>
      <w:pPr>
        <w:ind w:left="780" w:right="300" w:hanging="383"/>
        <w:spacing w:after="0" w:line="281"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and our own estimates;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competitors and investor perception of the markets and industries in which we compete;</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strategic transactions or capital raising activities; and</w:t>
      </w:r>
    </w:p>
    <w:p>
      <w:pPr>
        <w:spacing w:after="0" w:line="224" w:lineRule="exact"/>
        <w:rPr>
          <w:rFonts w:ascii="Times New Roman" w:cs="Times New Roman" w:eastAsia="Times New Roman" w:hAnsi="Times New Roman"/>
          <w:sz w:val="18"/>
          <w:szCs w:val="18"/>
          <w:color w:val="auto"/>
        </w:rPr>
      </w:pPr>
    </w:p>
    <w:p>
      <w:pPr>
        <w:ind w:left="780" w:right="400" w:hanging="383"/>
        <w:spacing w:after="0" w:line="281"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 including the impact of increased inflation, a recession or instability in the banking and financial services sector.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could dilute the ownership interests of our stockholders.</w:t>
      </w:r>
    </w:p>
    <w:p>
      <w:pPr>
        <w:spacing w:after="0" w:line="22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spacing w:after="0" w:line="182"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the Notes. We exchanged approximately $82.1 million aggregate principal amount of then-outstanding 3.75% Convertible Senior Notes due 2022 for approximately $97.1 million aggregate principal amount of the Notes and issued approximately $2.9 million aggregate principal amount of the Notes to certain other qualified new investors for cash. To the extent we issue common stock upon conversion of any outstanding convertible notes, that conversion would dilute the ownership interests of our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features of the Notes, if triggered, may adversely affect our financial condition and operating results.</w:t>
      </w:r>
    </w:p>
    <w:p>
      <w:pPr>
        <w:spacing w:after="0" w:line="229" w:lineRule="exact"/>
        <w:rPr>
          <w:sz w:val="20"/>
          <w:szCs w:val="20"/>
          <w:color w:val="auto"/>
        </w:rPr>
      </w:pPr>
    </w:p>
    <w:p>
      <w:pPr>
        <w:jc w:val="both"/>
        <w:ind w:right="140" w:firstLine="255"/>
        <w:spacing w:after="0" w:line="265" w:lineRule="auto"/>
        <w:rPr>
          <w:sz w:val="20"/>
          <w:szCs w:val="20"/>
          <w:color w:val="auto"/>
        </w:rPr>
      </w:pPr>
      <w:r>
        <w:rPr>
          <w:rFonts w:ascii="Times New Roman" w:cs="Times New Roman" w:eastAsia="Times New Roman" w:hAnsi="Times New Roman"/>
          <w:sz w:val="18"/>
          <w:szCs w:val="18"/>
          <w:color w:val="auto"/>
        </w:rPr>
        <w:t>In the event the conditional conversion features of the Notes are triggered, holders of the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5" w:name="page66"/>
    <w:bookmarkEnd w:id="65"/>
    <w:p>
      <w:pPr>
        <w:ind w:right="40"/>
        <w:spacing w:after="0" w:line="220" w:lineRule="exact"/>
        <w:rPr>
          <w:sz w:val="20"/>
          <w:szCs w:val="20"/>
          <w:color w:val="auto"/>
        </w:rPr>
      </w:pPr>
      <w:r>
        <w:rPr>
          <w:rFonts w:ascii="Times New Roman" w:cs="Times New Roman" w:eastAsia="Times New Roman" w:hAnsi="Times New Roman"/>
          <w:sz w:val="18"/>
          <w:szCs w:val="18"/>
          <w:color w:val="auto"/>
        </w:rPr>
        <w:t>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 In addition, even if holders do not elect to convert such notes, if we have irrevocably elected net share settlement upon conversion we could be required under applicable accounting rules to reclassify all or a portion of the outstanding principal of such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which could result in a material reduction of our net working capital.</w:t>
      </w:r>
    </w:p>
    <w:p>
      <w:pPr>
        <w:spacing w:after="0" w:line="15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Notes, the credit agreement for our Credit Facilities, our certificate of incorporation and our bylaws could discourage or prevent a takeover, even if an acquisition would be beneficial in the opinion of our stockholders.</w:t>
      </w:r>
    </w:p>
    <w:p>
      <w:pPr>
        <w:spacing w:after="0" w:line="90" w:lineRule="exact"/>
        <w:rPr>
          <w:sz w:val="20"/>
          <w:szCs w:val="20"/>
          <w:color w:val="auto"/>
        </w:rPr>
      </w:pPr>
    </w:p>
    <w:p>
      <w:pPr>
        <w:ind w:right="720" w:firstLine="255"/>
        <w:spacing w:after="0" w:line="245" w:lineRule="exact"/>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to acquire us, even if doing so would be beneficial in the opinion of our stockholders. These provisions include:</w:t>
      </w:r>
    </w:p>
    <w:p>
      <w:pPr>
        <w:spacing w:after="0" w:line="198" w:lineRule="exact"/>
        <w:rPr>
          <w:sz w:val="20"/>
          <w:szCs w:val="20"/>
          <w:color w:val="auto"/>
        </w:rPr>
      </w:pPr>
    </w:p>
    <w:p>
      <w:pPr>
        <w:ind w:left="780" w:right="260" w:hanging="383"/>
        <w:spacing w:after="0" w:line="281"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could discourage a takeover attempt;</w:t>
      </w:r>
    </w:p>
    <w:p>
      <w:pPr>
        <w:spacing w:after="0" w:line="224" w:lineRule="exact"/>
        <w:rPr>
          <w:rFonts w:ascii="Times New Roman" w:cs="Times New Roman" w:eastAsia="Times New Roman" w:hAnsi="Times New Roman"/>
          <w:sz w:val="18"/>
          <w:szCs w:val="18"/>
          <w:color w:val="auto"/>
        </w:rPr>
      </w:pPr>
    </w:p>
    <w:p>
      <w:pPr>
        <w:ind w:left="780" w:right="240" w:hanging="383"/>
        <w:spacing w:after="0" w:line="281"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limit the ability of less than a majority of stockholders to elect director candidates;</w:t>
      </w:r>
    </w:p>
    <w:p>
      <w:pPr>
        <w:spacing w:after="0" w:line="162"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of stockholders;</w:t>
      </w:r>
    </w:p>
    <w:p>
      <w:pPr>
        <w:spacing w:after="0" w:line="224"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requiring that all stockholder actions be taken at a meeting of our stockholders; and</w:t>
      </w:r>
    </w:p>
    <w:p>
      <w:pPr>
        <w:spacing w:after="0" w:line="224" w:lineRule="exact"/>
        <w:rPr>
          <w:rFonts w:ascii="Times New Roman" w:cs="Times New Roman" w:eastAsia="Times New Roman" w:hAnsi="Times New Roman"/>
          <w:sz w:val="18"/>
          <w:szCs w:val="18"/>
          <w:color w:val="auto"/>
        </w:rPr>
      </w:pPr>
    </w:p>
    <w:p>
      <w:pPr>
        <w:ind w:left="780" w:hanging="383"/>
        <w:spacing w:after="0" w:line="281"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by stockholders at stockholder meetings.</w:t>
      </w:r>
    </w:p>
    <w:p>
      <w:pPr>
        <w:spacing w:after="0" w:line="122"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of the independent stockholders. The existence of these provisions could adversely affect the voting power of holders of common stock and limit the price that investors might be willing to pay in the future for shares of our common stock.</w:t>
      </w:r>
    </w:p>
    <w:p>
      <w:pPr>
        <w:spacing w:after="0" w:line="154" w:lineRule="exact"/>
        <w:rPr>
          <w:sz w:val="20"/>
          <w:szCs w:val="20"/>
          <w:color w:val="auto"/>
        </w:rPr>
      </w:pPr>
    </w:p>
    <w:p>
      <w:pPr>
        <w:jc w:val="both"/>
        <w:ind w:right="380" w:firstLine="255"/>
        <w:spacing w:after="0" w:line="231" w:lineRule="exact"/>
        <w:rPr>
          <w:sz w:val="20"/>
          <w:szCs w:val="20"/>
          <w:color w:val="auto"/>
        </w:rPr>
      </w:pPr>
      <w:r>
        <w:rPr>
          <w:rFonts w:ascii="Times New Roman" w:cs="Times New Roman" w:eastAsia="Times New Roman" w:hAnsi="Times New Roman"/>
          <w:sz w:val="17"/>
          <w:szCs w:val="17"/>
          <w:color w:val="auto"/>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outstanding under the Credit Facilities, including all accrued but unpaid interest thereon, to be accelerated and immediately due and payable.</w:t>
      </w:r>
    </w:p>
    <w:p>
      <w:pPr>
        <w:spacing w:after="0" w:line="144"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Furthermore, if a “fundamental change” (as such term is defined in the applicable indenture of the Notes) occurs, holders of the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such term is defined in the applicable indenture of the Notes), we may also be required to increase the conversion rate applicable to the Notes surrendered for conversion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could be adversely impacted by adverse conditions in the financial markets.</w:t>
      </w:r>
    </w:p>
    <w:p>
      <w:pPr>
        <w:spacing w:after="0" w:line="202" w:lineRule="exact"/>
        <w:rPr>
          <w:sz w:val="20"/>
          <w:szCs w:val="20"/>
          <w:color w:val="auto"/>
        </w:rPr>
      </w:pPr>
    </w:p>
    <w:p>
      <w:pPr>
        <w:jc w:val="both"/>
        <w:ind w:right="200" w:firstLine="255"/>
        <w:spacing w:after="0" w:line="260" w:lineRule="auto"/>
        <w:rPr>
          <w:sz w:val="20"/>
          <w:szCs w:val="20"/>
          <w:color w:val="auto"/>
        </w:rPr>
      </w:pPr>
      <w:r>
        <w:rPr>
          <w:rFonts w:ascii="Times New Roman" w:cs="Times New Roman" w:eastAsia="Times New Roman" w:hAnsi="Times New Roman"/>
          <w:sz w:val="18"/>
          <w:szCs w:val="18"/>
          <w:color w:val="auto"/>
        </w:rPr>
        <w:t>At December 31, 2023, we had $72.8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6" w:name="page67"/>
    <w:bookmarkEnd w:id="66"/>
    <w:p>
      <w:pPr>
        <w:ind w:firstLine="255"/>
        <w:spacing w:after="0" w:line="260"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w:t>
      </w:r>
    </w:p>
    <w:p>
      <w:pPr>
        <w:spacing w:after="0" w:line="155"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spacing w:after="0" w:line="1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spacing w:after="0" w:line="15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Unexpected events beyond our control, including as a result of responses to epidemics or pandemics; fires or explosions; natural disasters, such as hurricanes, floods, tornadoes and earthquakes; war or terrorist activities (including the conflicts between Russia and Ukraine and Israel and Hamas);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spacing w:after="0" w:line="18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For example, China has suffered health epidemics including more recently, COVID-19, which could adversely affect our operations in China, including our manufacturing operations in Chengdu, as well as the operations of the JV and those of our customers.</w:t>
      </w:r>
    </w:p>
    <w:p>
      <w:pPr>
        <w:spacing w:after="0" w:line="195" w:lineRule="exact"/>
        <w:rPr>
          <w:sz w:val="20"/>
          <w:szCs w:val="20"/>
          <w:color w:val="auto"/>
        </w:rPr>
      </w:pPr>
    </w:p>
    <w:p>
      <w:pPr>
        <w:ind w:right="60" w:firstLine="255"/>
        <w:spacing w:after="0" w:line="252" w:lineRule="auto"/>
        <w:rPr>
          <w:sz w:val="20"/>
          <w:szCs w:val="20"/>
          <w:color w:val="auto"/>
        </w:rPr>
      </w:pPr>
      <w:r>
        <w:rPr>
          <w:rFonts w:ascii="Times New Roman" w:cs="Times New Roman" w:eastAsia="Times New Roman" w:hAnsi="Times New Roman"/>
          <w:sz w:val="18"/>
          <w:szCs w:val="18"/>
          <w:color w:val="auto"/>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There have also been substantial legislative and regulatory developments on climate-related issues, including proposed, issued and implemented legislation and rulemakings that would require companies to 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also may be increasing scrutiny and changing expectations from the market and other stakeholders with respect to Environmental, Social, and Governance practices.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generally accepted accounting principles may adversely affect our operating results.</w:t>
      </w:r>
    </w:p>
    <w:p>
      <w:pPr>
        <w:spacing w:after="0" w:line="20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foreseeable future.</w:t>
      </w:r>
    </w:p>
    <w:p>
      <w:pPr>
        <w:spacing w:after="0" w:line="18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During the second quarter of fiscal 2024, no director or officer, as defined in Rule 16a-1(f), adopted or terminated a “Rule 10b5-1 trading arrangement” or a “non-Rule 10b5-1 trading arrangement,” each as defined in Regulation S-K Item 408.</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8" w:right="419" w:bottom="1440" w:gutter="0" w:footer="0" w:header="0"/>
        </w:sectPr>
      </w:pPr>
    </w:p>
    <w:bookmarkStart w:id="68" w:name="page69"/>
    <w:bookmarkEnd w:id="6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333" w:right="339" w:bottom="1440" w:gutter="0" w:footer="0" w:header="0"/>
        </w:sect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11"/>
          </w:tcPr>
          <w:p>
            <w:pPr>
              <w:ind w:left="2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331"/>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Accuray Incorporated Amended and Restated 2016 Equity Incentive Plan</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3"/>
            <w:vMerge w:val="restart"/>
          </w:tcPr>
          <w:p>
            <w:pPr>
              <w:spacing w:after="0" w:line="195"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and forms of award agreements thereunder</w:t>
              </w:r>
            </w:hyperlink>
          </w:p>
        </w:tc>
        <w:tc>
          <w:tcPr>
            <w:tcW w:w="242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3080" w:type="dxa"/>
            <w:vAlign w:val="bottom"/>
            <w:tcBorders>
              <w:bottom w:val="single" w:sz="8" w:color="0000FF"/>
            </w:tcBorders>
            <w:gridSpan w:val="3"/>
            <w:vMerge w:val="continue"/>
          </w:tcPr>
          <w:p>
            <w:pPr>
              <w:spacing w:after="0"/>
              <w:rPr>
                <w:sz w:val="5"/>
                <w:szCs w:val="5"/>
                <w:color w:val="auto"/>
              </w:rPr>
            </w:pPr>
          </w:p>
        </w:tc>
        <w:tc>
          <w:tcPr>
            <w:tcW w:w="24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of the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334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Securities Exchange Act of 1934, as amended.</w:t>
            </w:r>
          </w:p>
        </w:tc>
        <w:tc>
          <w:tcPr>
            <w:tcW w:w="20" w:type="dxa"/>
            <w:vAlign w:val="bottom"/>
            <w:tcBorders>
              <w:bottom w:val="single" w:sz="8" w:color="0000EE"/>
            </w:tcBorders>
          </w:tcPr>
          <w:p>
            <w:pPr>
              <w:spacing w:after="0"/>
              <w:rPr>
                <w:sz w:val="17"/>
                <w:szCs w:val="17"/>
                <w:color w:val="auto"/>
              </w:rPr>
            </w:pPr>
          </w:p>
        </w:tc>
        <w:tc>
          <w:tcPr>
            <w:tcW w:w="2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w:t>
            </w:r>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334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Securities Exchange Act of 1934, as amended.</w:t>
            </w:r>
          </w:p>
        </w:tc>
        <w:tc>
          <w:tcPr>
            <w:tcW w:w="20" w:type="dxa"/>
            <w:vAlign w:val="bottom"/>
            <w:tcBorders>
              <w:bottom w:val="single" w:sz="8" w:color="0000EE"/>
            </w:tcBorders>
          </w:tcPr>
          <w:p>
            <w:pPr>
              <w:spacing w:after="0"/>
              <w:rPr>
                <w:sz w:val="17"/>
                <w:szCs w:val="17"/>
                <w:color w:val="auto"/>
              </w:rPr>
            </w:pPr>
          </w:p>
        </w:tc>
        <w:tc>
          <w:tcPr>
            <w:tcW w:w="2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4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5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Pursuant to Rule 13a-14(b) of the Securities Exchange Act of 1934, as</w:t>
            </w:r>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22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8"/>
              </w:rPr>
              <w:t>amended, and 18 U.S.C. 1350.</w:t>
            </w:r>
          </w:p>
        </w:tc>
        <w:tc>
          <w:tcPr>
            <w:tcW w:w="20" w:type="dxa"/>
            <w:vAlign w:val="bottom"/>
            <w:tcBorders>
              <w:bottom w:val="single" w:sz="8" w:color="0000EE"/>
            </w:tcBorders>
          </w:tcPr>
          <w:p>
            <w:pPr>
              <w:spacing w:after="0"/>
              <w:rPr>
                <w:sz w:val="17"/>
                <w:szCs w:val="17"/>
                <w:color w:val="auto"/>
              </w:rPr>
            </w:pPr>
          </w:p>
        </w:tc>
        <w:tc>
          <w:tcPr>
            <w:tcW w:w="3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69"/>
        </w:trPr>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4"/>
                <w:szCs w:val="1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479"/>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001-33301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11/15/2023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8"/>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607"/>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607"/>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588" w:lineRule="exact"/>
        <w:rPr>
          <w:sz w:val="20"/>
          <w:szCs w:val="20"/>
          <w:color w:val="auto"/>
        </w:rPr>
      </w:pPr>
    </w:p>
    <w:p>
      <w:pPr>
        <w:sectPr>
          <w:pgSz w:w="11900" w:h="16838" w:orient="portrait"/>
          <w:cols w:equalWidth="0" w:num="2">
            <w:col w:w="6540" w:space="120"/>
            <w:col w:w="4580"/>
          </w:cols>
          <w:pgMar w:left="320" w:top="333"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232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 the</w:t>
            </w:r>
          </w:p>
        </w:tc>
        <w:tc>
          <w:tcPr>
            <w:tcW w:w="232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document.</w:t>
            </w:r>
          </w:p>
        </w:tc>
        <w:tc>
          <w:tcPr>
            <w:tcW w:w="2320" w:type="dxa"/>
            <w:vAlign w:val="bottom"/>
          </w:tcPr>
          <w:p>
            <w:pPr>
              <w:spacing w:after="0"/>
              <w:rPr>
                <w:sz w:val="20"/>
                <w:szCs w:val="20"/>
                <w:color w:val="auto"/>
              </w:rPr>
            </w:pP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w:t>
            </w:r>
          </w:p>
        </w:tc>
        <w:tc>
          <w:tcPr>
            <w:tcW w:w="232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57" w:lineRule="exact"/>
        <w:rPr>
          <w:sz w:val="20"/>
          <w:szCs w:val="20"/>
          <w:color w:val="auto"/>
        </w:rPr>
      </w:pPr>
    </w:p>
    <w:p>
      <w:pPr>
        <w:ind w:left="1040" w:right="4820" w:hanging="1019"/>
        <w:spacing w:after="0" w:line="281" w:lineRule="auto"/>
        <w:tabs>
          <w:tab w:leader="none" w:pos="1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84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9" w:lineRule="exact"/>
        <w:rPr>
          <w:sz w:val="20"/>
          <w:szCs w:val="20"/>
          <w:color w:val="auto"/>
        </w:rPr>
      </w:pPr>
    </w:p>
    <w:p>
      <w:pPr>
        <w:ind w:right="180" w:firstLine="8"/>
        <w:spacing w:after="0" w:line="260" w:lineRule="auto"/>
        <w:tabs>
          <w:tab w:leader="none" w:pos="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36" w:lineRule="exact"/>
        <w:rPr>
          <w:sz w:val="20"/>
          <w:szCs w:val="20"/>
          <w:color w:val="auto"/>
        </w:rPr>
      </w:pPr>
    </w:p>
    <w:p>
      <w:pPr>
        <w:ind w:left="574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Suzanne Winter</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4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Ali Pervaiz</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Suzanne Winter, certify that:</w:t>
      </w:r>
    </w:p>
    <w:p>
      <w:pPr>
        <w:spacing w:after="0" w:line="225"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140" w:right="120" w:hanging="384"/>
        <w:spacing w:after="0" w:line="265" w:lineRule="auto"/>
        <w:tabs>
          <w:tab w:leader="none" w:pos="9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140" w:right="220" w:hanging="384"/>
        <w:spacing w:after="0" w:line="265" w:lineRule="auto"/>
        <w:tabs>
          <w:tab w:leader="none" w:pos="9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140" w:right="400" w:hanging="384"/>
        <w:spacing w:after="0" w:line="312" w:lineRule="auto"/>
        <w:tabs>
          <w:tab w:leader="none" w:pos="98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40" w:right="100" w:hanging="384"/>
        <w:spacing w:after="0" w:line="265" w:lineRule="auto"/>
        <w:tabs>
          <w:tab w:leader="none" w:pos="9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40" w:right="20" w:hanging="384"/>
        <w:spacing w:after="0" w:line="281" w:lineRule="auto"/>
        <w:tabs>
          <w:tab w:leader="none" w:pos="9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140" w:right="540" w:hanging="384"/>
        <w:spacing w:after="0" w:line="281" w:lineRule="auto"/>
        <w:tabs>
          <w:tab w:leader="none" w:pos="9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26035</wp:posOffset>
            </wp:positionV>
            <wp:extent cx="35445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Suzanne Winter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 Pervaiz, certify that:</w:t>
      </w:r>
    </w:p>
    <w:p>
      <w:pPr>
        <w:spacing w:after="0" w:line="225"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140" w:right="120" w:hanging="384"/>
        <w:spacing w:after="0" w:line="265" w:lineRule="auto"/>
        <w:tabs>
          <w:tab w:leader="none" w:pos="9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140" w:right="220" w:hanging="384"/>
        <w:spacing w:after="0" w:line="265" w:lineRule="auto"/>
        <w:tabs>
          <w:tab w:leader="none" w:pos="9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140" w:right="400" w:hanging="384"/>
        <w:spacing w:after="0" w:line="312" w:lineRule="auto"/>
        <w:tabs>
          <w:tab w:leader="none" w:pos="9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40" w:right="100" w:hanging="384"/>
        <w:spacing w:after="0" w:line="265" w:lineRule="auto"/>
        <w:tabs>
          <w:tab w:leader="none" w:pos="9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40" w:right="20" w:hanging="384"/>
        <w:spacing w:after="0" w:line="281" w:lineRule="auto"/>
        <w:tabs>
          <w:tab w:leader="none" w:pos="9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140" w:right="540" w:hanging="384"/>
        <w:spacing w:after="0" w:line="281" w:lineRule="auto"/>
        <w:tabs>
          <w:tab w:leader="none" w:pos="9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26035</wp:posOffset>
            </wp:positionV>
            <wp:extent cx="35445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Ali Pervaiz</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officers of Accuray Incorporated,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such officers’ knowledge, that:</w:t>
      </w:r>
    </w:p>
    <w:p>
      <w:pPr>
        <w:spacing w:after="0" w:line="204" w:lineRule="exact"/>
        <w:rPr>
          <w:sz w:val="20"/>
          <w:szCs w:val="20"/>
          <w:color w:val="auto"/>
        </w:rPr>
      </w:pPr>
    </w:p>
    <w:p>
      <w:pPr>
        <w:ind w:left="420" w:right="20" w:firstLine="420"/>
        <w:spacing w:after="0" w:line="283" w:lineRule="auto"/>
        <w:tabs>
          <w:tab w:leader="none" w:pos="11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December 31, 2023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00" w:hanging="360"/>
        <w:spacing w:after="0"/>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Suzanne Winter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Ali Pervaiz</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lvl w:ilvl="1">
      <w:lvlJc w:val="left"/>
      <w:lvlText w:val="%2"/>
      <w:numFmt w:val="decimal"/>
      <w:start w:val="104"/>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68" Type="http://schemas.openxmlformats.org/officeDocument/2006/relationships/hyperlink" Target="https://www.sec.gov/Archives/edgar/data/1138723/000095017023064162/aray-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2024-02-07T15:41:48Z</dcterms:created>
  <dcterms:modified xsi:type="dcterms:W3CDTF">2024-02-07T15:41:48Z</dcterms:modified>
</cp:coreProperties>
</file>