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53232_424b3.htm"/>
      <w:bookmarkStart w:id="1" w:name="ksdp253232_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333-297855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Accuray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6,834,308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(the “Selling Stockholders”) identified herein, from time to time in one or more offerings, of up to 6,834,308 shares of our common stock, par value $0.001 per share, which consists of (i) an aggregate of 2,990,010 shares of our common stock issuable upon exercise of warrants (the “Super Premium Warrants”) that we issued to the Selling Stockholders pursuant to the Financing Agreement (as defined below), (ii) an aggregate of 2,135,721 shares of our common stock issuable upon exercise of warrants (the “Premium Warrants”) that we issued to the Selling Stockholders pursuant to the Financing Agreement and (iii) an aggregate of 1,708,577 shares of our common stock issuable upon exercise of warrants (the “Penny Warrants” and, together with the Super Premium Warrants and the Premium Warrants, the “Warrants”) that we issued to the Selling Stockholders pursuant to the Financing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entered into a senior secured financing agreement (as amended by Amendment No. 1 to the Financing Agreement, dated as of December 12, 2025 (“Amendment No. 1”), as further amended by Amendment No. 2 to the Financing Agreement, dated as of December 15, 2025 (“Amendment No. 2”), as further amended by Amendment No. 3 to the Financing Agreement, dated as of July 29, 2026 (“Amendment No. 3”), and as further amended, restated, amended and restated, modified or otherwise supplemented, the “Financing Agreement”) by and among Accuray Incorporated, as borrower, certain lenders from time to time party thereto, TCW Asset Management Company LLC, as collateral agent and administrative agent for the lenders, Wingspire Capital LLC, as servicing agent and certain other parties thereto, pursuant to which, among other facilities provided thereunder, the lenders provided a $18.25 million delayed draw term loan facility (the “the DDTL Facility”).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drew $18.25 million from the DDTL Facility (the “DDTL Funding”). In connection with the DDTL Funding, we issued to the Selling Stockholders (i) the Super Premium Warrants at an exercise price of $1.50 per share, (ii) the Premium Warrants at an exercise price of $1.25 per share and (iii) the Penny Warrants at an exercise price of $0.01 per share. The exercise period for the Super Premium Warrants and the Premium Warrants begins on November 19, 2027 and ends on May 18, 2033, and the exercise period for the Penny Warrants began on May 18, 2026 and ends on May 18, 2033. Pursuant to the terms of the Warrants, we agreed to provide customary shelf registration rights to the Selling Stockholders covering the resale of the shares of our common stock issuable upon exercise of the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shares of our common stock under this prospectus and will not receive any proceeds from the sale of shares of common stock by the Selling Stockholders. However, we will receive proceeds from any cash exercise of the Warrants. We have agreed to pay certain expenses related to the registration of the offer and sale of the shares of common stock pursuant to the registration statement of which this prospectus forms a part. The Selling Stockholders will bear all commissions and discounts, if any, attributable to the sale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previously listed on The Nasdaq Global Select Market under the symbol “ARAY.” Effective August 6, 2026, we transferred the listing of our common stock from The Nasdaq Global Select Market to Nasdaq Capital Markets, where we continue to trade under the same symbol “ARAY.” On September 10, 2026, the last reported sale price of our common stock on Nasdaq Capital Markets was $0.24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(including the documents incorporated by reference herein) and any amendments or supplements carefully before you make your investment decision.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common stock involves a high degree of risk. You should review carefully the risks and uncertainties described under the heading “Risk Factors” beginning on page 4 of this prospectus, and under similar headings in the documents that are incorporated by reference into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5495"/>
        <w:gridCol w:w="275"/>
      </w:tblGrid>
      <w:tr>
        <w:trPr/>
        <w:tc>
          <w:tcPr>
            <w:tcW w:w="5495" w:type="dxa"/>
            <w:tcBorders/>
            <w:vAlign w:val="center"/>
          </w:tcPr>
          <w:p>
            <w:pPr>
              <w:pStyle w:val="TableContents"/>
              <w:bidi w:val="0"/>
              <w:spacing w:before="0" w:after="283"/>
              <w:jc w:val="left"/>
              <w:rPr/>
            </w:pPr>
            <w:hyperlink w:anchor="a_001">
              <w:r>
                <w:rPr>
                  <w:rStyle w:val="InternetLink"/>
                </w:rPr>
                <w:t>About this Prospectus</w:t>
              </w:r>
            </w:hyperlink>
          </w:p>
        </w:tc>
        <w:tc>
          <w:tcPr>
            <w:tcW w:w="275" w:type="dxa"/>
            <w:tcBorders/>
            <w:vAlign w:val="center"/>
          </w:tcPr>
          <w:p>
            <w:pPr>
              <w:pStyle w:val="TableContents"/>
              <w:bidi w:val="0"/>
              <w:spacing w:before="0" w:after="283"/>
              <w:jc w:val="right"/>
              <w:rPr/>
            </w:pPr>
            <w:hyperlink w:anchor="a_001">
              <w:r>
                <w:rPr>
                  <w:rStyle w:val="InternetLink"/>
                </w:rPr>
                <w:t>1</w:t>
              </w:r>
            </w:hyperlink>
          </w:p>
        </w:tc>
      </w:tr>
      <w:tr>
        <w:trPr/>
        <w:tc>
          <w:tcPr>
            <w:tcW w:w="5495" w:type="dxa"/>
            <w:tcBorders/>
            <w:vAlign w:val="center"/>
          </w:tcPr>
          <w:p>
            <w:pPr>
              <w:pStyle w:val="TableContents"/>
              <w:bidi w:val="0"/>
              <w:spacing w:before="0" w:after="283"/>
              <w:jc w:val="left"/>
              <w:rPr/>
            </w:pPr>
            <w:hyperlink w:anchor="a_002">
              <w:r>
                <w:rPr>
                  <w:rStyle w:val="InternetLink"/>
                </w:rPr>
                <w:t>Trademarks</w:t>
              </w:r>
            </w:hyperlink>
          </w:p>
        </w:tc>
        <w:tc>
          <w:tcPr>
            <w:tcW w:w="275" w:type="dxa"/>
            <w:tcBorders/>
            <w:vAlign w:val="center"/>
          </w:tcPr>
          <w:p>
            <w:pPr>
              <w:pStyle w:val="TableContents"/>
              <w:bidi w:val="0"/>
              <w:spacing w:before="0" w:after="283"/>
              <w:jc w:val="right"/>
              <w:rPr/>
            </w:pPr>
            <w:hyperlink w:anchor="a_002">
              <w:r>
                <w:rPr>
                  <w:rStyle w:val="InternetLink"/>
                </w:rPr>
                <w:t>1</w:t>
              </w:r>
            </w:hyperlink>
          </w:p>
        </w:tc>
      </w:tr>
      <w:tr>
        <w:trPr/>
        <w:tc>
          <w:tcPr>
            <w:tcW w:w="5495" w:type="dxa"/>
            <w:tcBorders/>
            <w:vAlign w:val="center"/>
          </w:tcPr>
          <w:p>
            <w:pPr>
              <w:pStyle w:val="TableContents"/>
              <w:bidi w:val="0"/>
              <w:spacing w:before="0" w:after="283"/>
              <w:jc w:val="left"/>
              <w:rPr/>
            </w:pPr>
            <w:hyperlink w:anchor="a_003">
              <w:r>
                <w:rPr>
                  <w:rStyle w:val="InternetLink"/>
                </w:rPr>
                <w:t>Cautionary Note Regarding Forward-Looking Statements</w:t>
              </w:r>
            </w:hyperlink>
          </w:p>
        </w:tc>
        <w:tc>
          <w:tcPr>
            <w:tcW w:w="275" w:type="dxa"/>
            <w:tcBorders/>
            <w:vAlign w:val="center"/>
          </w:tcPr>
          <w:p>
            <w:pPr>
              <w:pStyle w:val="TableContents"/>
              <w:bidi w:val="0"/>
              <w:spacing w:before="0" w:after="283"/>
              <w:jc w:val="right"/>
              <w:rPr/>
            </w:pPr>
            <w:hyperlink w:anchor="a_003">
              <w:r>
                <w:rPr>
                  <w:rStyle w:val="InternetLink"/>
                </w:rPr>
                <w:t>2</w:t>
              </w:r>
            </w:hyperlink>
          </w:p>
        </w:tc>
      </w:tr>
      <w:tr>
        <w:trPr/>
        <w:tc>
          <w:tcPr>
            <w:tcW w:w="5495" w:type="dxa"/>
            <w:tcBorders/>
            <w:vAlign w:val="center"/>
          </w:tcPr>
          <w:p>
            <w:pPr>
              <w:pStyle w:val="TableContents"/>
              <w:bidi w:val="0"/>
              <w:spacing w:before="0" w:after="283"/>
              <w:jc w:val="left"/>
              <w:rPr/>
            </w:pPr>
            <w:hyperlink w:anchor="a_004">
              <w:r>
                <w:rPr>
                  <w:rStyle w:val="InternetLink"/>
                </w:rPr>
                <w:t>Prospectus Summary</w:t>
              </w:r>
            </w:hyperlink>
          </w:p>
        </w:tc>
        <w:tc>
          <w:tcPr>
            <w:tcW w:w="275" w:type="dxa"/>
            <w:tcBorders/>
            <w:vAlign w:val="center"/>
          </w:tcPr>
          <w:p>
            <w:pPr>
              <w:pStyle w:val="TableContents"/>
              <w:bidi w:val="0"/>
              <w:spacing w:before="0" w:after="283"/>
              <w:jc w:val="right"/>
              <w:rPr/>
            </w:pPr>
            <w:hyperlink w:anchor="a_004">
              <w:r>
                <w:rPr>
                  <w:rStyle w:val="InternetLink"/>
                </w:rPr>
                <w:t>3</w:t>
              </w:r>
            </w:hyperlink>
          </w:p>
        </w:tc>
      </w:tr>
      <w:tr>
        <w:trPr/>
        <w:tc>
          <w:tcPr>
            <w:tcW w:w="5495" w:type="dxa"/>
            <w:tcBorders/>
            <w:vAlign w:val="center"/>
          </w:tcPr>
          <w:p>
            <w:pPr>
              <w:pStyle w:val="TableContents"/>
              <w:bidi w:val="0"/>
              <w:spacing w:before="0" w:after="283"/>
              <w:jc w:val="left"/>
              <w:rPr/>
            </w:pPr>
            <w:hyperlink w:anchor="a_005">
              <w:r>
                <w:rPr>
                  <w:rStyle w:val="InternetLink"/>
                </w:rPr>
                <w:t>Risk Factors</w:t>
              </w:r>
            </w:hyperlink>
          </w:p>
        </w:tc>
        <w:tc>
          <w:tcPr>
            <w:tcW w:w="275" w:type="dxa"/>
            <w:tcBorders/>
            <w:vAlign w:val="center"/>
          </w:tcPr>
          <w:p>
            <w:pPr>
              <w:pStyle w:val="TableContents"/>
              <w:bidi w:val="0"/>
              <w:spacing w:before="0" w:after="283"/>
              <w:jc w:val="right"/>
              <w:rPr/>
            </w:pPr>
            <w:hyperlink w:anchor="a_005">
              <w:r>
                <w:rPr>
                  <w:rStyle w:val="InternetLink"/>
                </w:rPr>
                <w:t>4</w:t>
              </w:r>
            </w:hyperlink>
          </w:p>
        </w:tc>
      </w:tr>
      <w:tr>
        <w:trPr/>
        <w:tc>
          <w:tcPr>
            <w:tcW w:w="5495" w:type="dxa"/>
            <w:tcBorders/>
            <w:vAlign w:val="center"/>
          </w:tcPr>
          <w:p>
            <w:pPr>
              <w:pStyle w:val="TableContents"/>
              <w:bidi w:val="0"/>
              <w:spacing w:before="0" w:after="283"/>
              <w:jc w:val="left"/>
              <w:rPr/>
            </w:pPr>
            <w:hyperlink w:anchor="a_006">
              <w:r>
                <w:rPr>
                  <w:rStyle w:val="InternetLink"/>
                </w:rPr>
                <w:t>Use of Proceeds</w:t>
              </w:r>
            </w:hyperlink>
          </w:p>
        </w:tc>
        <w:tc>
          <w:tcPr>
            <w:tcW w:w="275" w:type="dxa"/>
            <w:tcBorders/>
            <w:vAlign w:val="center"/>
          </w:tcPr>
          <w:p>
            <w:pPr>
              <w:pStyle w:val="TableContents"/>
              <w:bidi w:val="0"/>
              <w:spacing w:before="0" w:after="283"/>
              <w:jc w:val="right"/>
              <w:rPr/>
            </w:pPr>
            <w:hyperlink w:anchor="a_006">
              <w:r>
                <w:rPr>
                  <w:rStyle w:val="InternetLink"/>
                </w:rPr>
                <w:t>5</w:t>
              </w:r>
            </w:hyperlink>
          </w:p>
        </w:tc>
      </w:tr>
      <w:tr>
        <w:trPr/>
        <w:tc>
          <w:tcPr>
            <w:tcW w:w="5495" w:type="dxa"/>
            <w:tcBorders/>
            <w:vAlign w:val="center"/>
          </w:tcPr>
          <w:p>
            <w:pPr>
              <w:pStyle w:val="TableContents"/>
              <w:bidi w:val="0"/>
              <w:spacing w:before="0" w:after="283"/>
              <w:jc w:val="left"/>
              <w:rPr/>
            </w:pPr>
            <w:hyperlink w:anchor="a_007">
              <w:r>
                <w:rPr>
                  <w:rStyle w:val="InternetLink"/>
                </w:rPr>
                <w:t>Description of Securities</w:t>
              </w:r>
            </w:hyperlink>
          </w:p>
        </w:tc>
        <w:tc>
          <w:tcPr>
            <w:tcW w:w="275" w:type="dxa"/>
            <w:tcBorders/>
            <w:vAlign w:val="center"/>
          </w:tcPr>
          <w:p>
            <w:pPr>
              <w:pStyle w:val="TableContents"/>
              <w:bidi w:val="0"/>
              <w:spacing w:before="0" w:after="283"/>
              <w:jc w:val="right"/>
              <w:rPr/>
            </w:pPr>
            <w:hyperlink w:anchor="a_007">
              <w:r>
                <w:rPr>
                  <w:rStyle w:val="InternetLink"/>
                </w:rPr>
                <w:t>6</w:t>
              </w:r>
            </w:hyperlink>
          </w:p>
        </w:tc>
      </w:tr>
      <w:tr>
        <w:trPr/>
        <w:tc>
          <w:tcPr>
            <w:tcW w:w="5495" w:type="dxa"/>
            <w:tcBorders/>
            <w:vAlign w:val="center"/>
          </w:tcPr>
          <w:p>
            <w:pPr>
              <w:pStyle w:val="TableContents"/>
              <w:bidi w:val="0"/>
              <w:spacing w:before="0" w:after="283"/>
              <w:jc w:val="left"/>
              <w:rPr/>
            </w:pPr>
            <w:hyperlink w:anchor="a_008">
              <w:r>
                <w:rPr>
                  <w:rStyle w:val="InternetLink"/>
                </w:rPr>
                <w:t>Selling Stockholders.</w:t>
              </w:r>
            </w:hyperlink>
          </w:p>
        </w:tc>
        <w:tc>
          <w:tcPr>
            <w:tcW w:w="275" w:type="dxa"/>
            <w:tcBorders/>
            <w:vAlign w:val="center"/>
          </w:tcPr>
          <w:p>
            <w:pPr>
              <w:pStyle w:val="TableContents"/>
              <w:bidi w:val="0"/>
              <w:spacing w:before="0" w:after="283"/>
              <w:jc w:val="right"/>
              <w:rPr/>
            </w:pPr>
            <w:hyperlink w:anchor="a_008">
              <w:r>
                <w:rPr>
                  <w:rStyle w:val="InternetLink"/>
                </w:rPr>
                <w:t>11</w:t>
              </w:r>
            </w:hyperlink>
          </w:p>
        </w:tc>
      </w:tr>
      <w:tr>
        <w:trPr/>
        <w:tc>
          <w:tcPr>
            <w:tcW w:w="5495" w:type="dxa"/>
            <w:tcBorders/>
            <w:vAlign w:val="center"/>
          </w:tcPr>
          <w:p>
            <w:pPr>
              <w:pStyle w:val="TableContents"/>
              <w:bidi w:val="0"/>
              <w:spacing w:before="0" w:after="283"/>
              <w:jc w:val="left"/>
              <w:rPr/>
            </w:pPr>
            <w:hyperlink w:anchor="a_009">
              <w:r>
                <w:rPr>
                  <w:rStyle w:val="InternetLink"/>
                </w:rPr>
                <w:t>Plan of Distribution</w:t>
              </w:r>
            </w:hyperlink>
          </w:p>
        </w:tc>
        <w:tc>
          <w:tcPr>
            <w:tcW w:w="275" w:type="dxa"/>
            <w:tcBorders/>
            <w:vAlign w:val="center"/>
          </w:tcPr>
          <w:p>
            <w:pPr>
              <w:pStyle w:val="TableContents"/>
              <w:bidi w:val="0"/>
              <w:spacing w:before="0" w:after="283"/>
              <w:jc w:val="right"/>
              <w:rPr/>
            </w:pPr>
            <w:hyperlink w:anchor="a_009">
              <w:r>
                <w:rPr>
                  <w:rStyle w:val="InternetLink"/>
                </w:rPr>
                <w:t>15</w:t>
              </w:r>
            </w:hyperlink>
          </w:p>
        </w:tc>
      </w:tr>
      <w:tr>
        <w:trPr/>
        <w:tc>
          <w:tcPr>
            <w:tcW w:w="5495" w:type="dxa"/>
            <w:tcBorders/>
            <w:vAlign w:val="center"/>
          </w:tcPr>
          <w:p>
            <w:pPr>
              <w:pStyle w:val="TableContents"/>
              <w:bidi w:val="0"/>
              <w:spacing w:before="0" w:after="283"/>
              <w:jc w:val="left"/>
              <w:rPr/>
            </w:pPr>
            <w:hyperlink w:anchor="a_010">
              <w:r>
                <w:rPr>
                  <w:rStyle w:val="InternetLink"/>
                </w:rPr>
                <w:t>Legal Matters</w:t>
              </w:r>
            </w:hyperlink>
          </w:p>
        </w:tc>
        <w:tc>
          <w:tcPr>
            <w:tcW w:w="275" w:type="dxa"/>
            <w:tcBorders/>
            <w:vAlign w:val="center"/>
          </w:tcPr>
          <w:p>
            <w:pPr>
              <w:pStyle w:val="TableContents"/>
              <w:bidi w:val="0"/>
              <w:spacing w:before="0" w:after="283"/>
              <w:jc w:val="right"/>
              <w:rPr/>
            </w:pPr>
            <w:hyperlink w:anchor="a_010">
              <w:r>
                <w:rPr>
                  <w:rStyle w:val="InternetLink"/>
                </w:rPr>
                <w:t>18</w:t>
              </w:r>
            </w:hyperlink>
          </w:p>
        </w:tc>
      </w:tr>
      <w:tr>
        <w:trPr/>
        <w:tc>
          <w:tcPr>
            <w:tcW w:w="5495" w:type="dxa"/>
            <w:tcBorders/>
            <w:vAlign w:val="center"/>
          </w:tcPr>
          <w:p>
            <w:pPr>
              <w:pStyle w:val="TableContents"/>
              <w:bidi w:val="0"/>
              <w:spacing w:before="0" w:after="283"/>
              <w:jc w:val="left"/>
              <w:rPr/>
            </w:pPr>
            <w:hyperlink w:anchor="a_011">
              <w:r>
                <w:rPr>
                  <w:rStyle w:val="InternetLink"/>
                </w:rPr>
                <w:t>Experts</w:t>
              </w:r>
            </w:hyperlink>
          </w:p>
        </w:tc>
        <w:tc>
          <w:tcPr>
            <w:tcW w:w="275" w:type="dxa"/>
            <w:tcBorders/>
            <w:vAlign w:val="center"/>
          </w:tcPr>
          <w:p>
            <w:pPr>
              <w:pStyle w:val="TableContents"/>
              <w:bidi w:val="0"/>
              <w:spacing w:before="0" w:after="283"/>
              <w:jc w:val="right"/>
              <w:rPr/>
            </w:pPr>
            <w:hyperlink w:anchor="a_011">
              <w:r>
                <w:rPr>
                  <w:rStyle w:val="InternetLink"/>
                </w:rPr>
                <w:t>18</w:t>
              </w:r>
            </w:hyperlink>
          </w:p>
        </w:tc>
      </w:tr>
      <w:tr>
        <w:trPr/>
        <w:tc>
          <w:tcPr>
            <w:tcW w:w="5495" w:type="dxa"/>
            <w:tcBorders/>
            <w:vAlign w:val="center"/>
          </w:tcPr>
          <w:p>
            <w:pPr>
              <w:pStyle w:val="TableContents"/>
              <w:bidi w:val="0"/>
              <w:spacing w:before="0" w:after="283"/>
              <w:jc w:val="left"/>
              <w:rPr/>
            </w:pPr>
            <w:hyperlink w:anchor="a_012">
              <w:r>
                <w:rPr>
                  <w:rStyle w:val="InternetLink"/>
                </w:rPr>
                <w:t>Where You Can Find More Information</w:t>
              </w:r>
            </w:hyperlink>
          </w:p>
        </w:tc>
        <w:tc>
          <w:tcPr>
            <w:tcW w:w="275" w:type="dxa"/>
            <w:tcBorders/>
            <w:vAlign w:val="center"/>
          </w:tcPr>
          <w:p>
            <w:pPr>
              <w:pStyle w:val="TableContents"/>
              <w:bidi w:val="0"/>
              <w:spacing w:before="0" w:after="283"/>
              <w:jc w:val="right"/>
              <w:rPr/>
            </w:pPr>
            <w:hyperlink w:anchor="a_012">
              <w:r>
                <w:rPr>
                  <w:rStyle w:val="InternetLink"/>
                </w:rPr>
                <w:t>18</w:t>
              </w:r>
            </w:hyperlink>
          </w:p>
        </w:tc>
      </w:tr>
      <w:tr>
        <w:trPr/>
        <w:tc>
          <w:tcPr>
            <w:tcW w:w="5495" w:type="dxa"/>
            <w:tcBorders/>
            <w:vAlign w:val="center"/>
          </w:tcPr>
          <w:p>
            <w:pPr>
              <w:pStyle w:val="TableContents"/>
              <w:bidi w:val="0"/>
              <w:spacing w:before="0" w:after="283"/>
              <w:jc w:val="left"/>
              <w:rPr/>
            </w:pPr>
            <w:hyperlink w:anchor="a_013">
              <w:r>
                <w:rPr>
                  <w:rStyle w:val="InternetLink"/>
                </w:rPr>
                <w:t>Information Incorporated by Reference</w:t>
              </w:r>
            </w:hyperlink>
          </w:p>
        </w:tc>
        <w:tc>
          <w:tcPr>
            <w:tcW w:w="275" w:type="dxa"/>
            <w:tcBorders/>
            <w:vAlign w:val="center"/>
          </w:tcPr>
          <w:p>
            <w:pPr>
              <w:pStyle w:val="TableContents"/>
              <w:bidi w:val="0"/>
              <w:spacing w:before="0" w:after="283"/>
              <w:jc w:val="right"/>
              <w:rPr/>
            </w:pPr>
            <w:hyperlink w:anchor="a_013">
              <w:r>
                <w:rPr>
                  <w:rStyle w:val="InternetLink"/>
                </w:rPr>
                <w:t>18</w:t>
              </w:r>
            </w:hyperlink>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the Securities Act of 1933, as amended (“Securities Act”). Under this shelf registration process, the Selling Stockholders named in this prospectus may offer or sell shares of our common stock in one or more offerings from time to time. Each time the Selling Stockholders named in this prospectus (or in any supplement to this prospectus) sell shares of our common stock under the registration statement of which this prospectus is a part, such Selling Stockholders must provide a copy of this prospectus and any applicable prospectus supplement to a potential purchaser, as required by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You should read both this prospectus and any prospectus supplement, including all documents incorporated herein or therein by reference,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Incorporated by Reference.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 other person to provide you with information other than the information contained or incorporated by reference in this prospectus and any accompanying prospectus supplement. If anyone provides you with different or inconsistent information, you should not rely on it. Neither we nor any of the Selling Stockholders will make an offer to sell our common stock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indicates, the terms “Accuray,” “Company,” “Registrant,” “we,” “us,” and “our” as used in this prospectus refer to Accuray Incorporated and our subsidiaries, and the term “common stock” refers to our common stock, par value $0.001 per share. The phrase “this prospectus” refers to this prospectus and any applicable prospectus supplement, unless the context otherwise requires.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Trademarks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document or the documents incorporated by reference herein contain references to trademarks and service marks belonging to us or other entities. Solely for convenience, trademarks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 symbols, but such references are not intended to indicate, in any way, that the applicable licensor will not assert, to the fullest extent under applicable law, its rights to these trademarks and trade names. We do not intend the use or display of other companies’ trade names, trademarks or service marks to imply a relationship with, or endorsement or sponsorship of it by, any other companies.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certain information incorporated herein by reference contain forward-looking statements within the “safe harbor” provisions of the Private Securities Litigation Reform Act of 1995. All statements included or incorporated by reference in this registration statement, other than statements that are purely historical, are forward-looking statements. Words such as “anticipates,” “believes,” “estimates,” “expects,” “intends,” “plans,” “predicts,” “projects,” “may,” “will be,” “will continue,” “will likely result,” and similar expressions also identify forward-looking statements. Those statements appear in this prospectus and the documents incorporated herein and therein by reference, particularly in the sections titled “Risk Factors” and “Management’s Discussion and Analysis of Financial Condition and Results of Operations” and “Business,” and include statements regarding the intent, belief or current expectations of our management that are subject to known and unknown risks, uncertainties and assumptions, and other factors that could cause actual results and the timing of certain events to differ materially from future results expressed or implied by such forward-looking statements. We refer you to the risks discussed in our other filings with the SEC incorporated by reference herein, which identify important risks and uncertainties that could cause actual results to differ materially from those contained in the forward-looking statements. The discussion of risks and uncertainties set forth in those filings should not be construed as exhaustive and should be read with the other cautionary statements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beliefs, objectives, intentions and strategies regarding future results are not guarantees of future performance and are subject to risks and uncertainties that could cause actual results to differ materially from results contemplated by our forward-looking statements. We assume no obligation to update any forward-looking statements, whether as a result of new information, future events or otherwise, except as required by applicable law. You are cautioned not to place undue reliance on forward-looking statements, which speak only as of the date of the filing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4" w:color="000000"/>
        </w:rPr>
      </w:pPr>
      <w:bookmarkStart w:id="5" w:name="a_004"/>
      <w:bookmarkEnd w:id="5"/>
      <w:r>
        <w:rPr>
          <w:rFonts w:ascii="Times New Roman;Times;Serif" w:hAnsi="Times New Roman;Times;Serif"/>
          <w:b/>
          <w:i w:val="false"/>
          <w:caps/>
          <w:sz w:val="20"/>
          <w:bdr w:val="single" w:sz="8" w:space="4" w:color="000000"/>
        </w:rPr>
        <w:t>Prospectus summary</w:t>
      </w:r>
    </w:p>
    <w:p>
      <w:pPr>
        <w:pStyle w:val="TextBody"/>
        <w:bidi w:val="0"/>
        <w:spacing w:before="0" w:after="0"/>
        <w:ind w:left="0" w:right="0" w:hanging="0"/>
        <w:jc w:val="center"/>
        <w:rPr>
          <w:caps/>
          <w:bdr w:val="single" w:sz="8" w:space="4" w:color="000000"/>
        </w:rPr>
      </w:pPr>
      <w:r>
        <w:rPr>
          <w:caps/>
          <w:bdr w:val="single" w:sz="8" w:space="4" w:color="000000"/>
        </w:rPr>
        <w:t> </w:t>
      </w:r>
    </w:p>
    <w:p>
      <w:pPr>
        <w:pStyle w:val="TextBody"/>
        <w:bidi w:val="0"/>
        <w:spacing w:before="0" w:after="0"/>
        <w:ind w:left="0" w:right="0" w:firstLine="360"/>
        <w:jc w:val="left"/>
        <w:rPr>
          <w:rFonts w:ascii="Times New Roman;Times;Serif" w:hAnsi="Times New Roman;Times;Serif"/>
          <w:b w:val="false"/>
          <w:i/>
          <w:caps w:val="false"/>
          <w:smallCaps w:val="false"/>
          <w:sz w:val="20"/>
          <w:bdr w:val="single" w:sz="8" w:space="4" w:color="000000"/>
        </w:rPr>
      </w:pPr>
      <w:r>
        <w:rPr>
          <w:rFonts w:ascii="Times New Roman;Times;Serif" w:hAnsi="Times New Roman;Times;Serif"/>
          <w:b w:val="false"/>
          <w:i/>
          <w:caps w:val="false"/>
          <w:smallCaps w:val="false"/>
          <w:sz w:val="20"/>
          <w:bdr w:val="single" w:sz="8" w:space="4" w:color="000000"/>
        </w:rPr>
        <w:t>This summary highlights selected information and does not contain all of the information that is important to you. This summary is qualified in its entirety by the more detailed information included or incorporated by reference in this prospectus. Before making your investment decision with respect to our securities, you should carefully read this entire prospectus, any applicable prospectus supplement and the documents referred to in “Where You Can Find More Information”.</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The Company</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Our innovative technologies, the CyberKnife</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and TomoTherapy</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platforms, including the Radixact</w:t>
      </w:r>
      <w:r>
        <w:rPr>
          <w:rFonts w:ascii="Times New Roman;Times;Serif" w:hAnsi="Times New Roman;Times;Serif"/>
          <w:b w:val="false"/>
          <w:i w:val="false"/>
          <w:caps w:val="false"/>
          <w:smallCaps w:val="false"/>
          <w:position w:val="7"/>
          <w:sz w:val="16"/>
          <w:sz w:val="20"/>
          <w:bdr w:val="single" w:sz="8" w:space="4" w:color="000000"/>
        </w:rPr>
        <w:t>®</w:t>
      </w:r>
      <w:r>
        <w:rPr>
          <w:rFonts w:ascii="Times New Roman;Times;Serif" w:hAnsi="Times New Roman;Times;Serif"/>
          <w:b w:val="false"/>
          <w:i w:val="false"/>
          <w:caps w:val="false"/>
          <w:smallCaps w:val="false"/>
          <w:sz w:val="20"/>
          <w:bdr w:val="single" w:sz="8" w:space="4" w:color="00000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spacing w:before="0" w:after="0"/>
        <w:ind w:left="0" w:right="0" w:firstLine="36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4" w:color="000000"/>
        </w:rPr>
      </w:pPr>
      <w:r>
        <w:rPr>
          <w:rFonts w:ascii="Times New Roman;Times;Serif" w:hAnsi="Times New Roman;Times;Serif"/>
          <w:b/>
          <w:i w:val="false"/>
          <w:caps w:val="false"/>
          <w:smallCaps w:val="false"/>
          <w:sz w:val="20"/>
          <w:bdr w:val="single" w:sz="8" w:space="4" w:color="000000"/>
        </w:rPr>
        <w:t>Corporate Information</w:t>
      </w:r>
    </w:p>
    <w:p>
      <w:pPr>
        <w:pStyle w:val="TextBody"/>
        <w:bidi w:val="0"/>
        <w:spacing w:before="0" w:after="0"/>
        <w:ind w:left="0" w:right="0" w:hanging="0"/>
        <w:jc w:val="left"/>
        <w:rPr>
          <w:caps w:val="false"/>
          <w:smallCaps w:val="false"/>
          <w:bdr w:val="single" w:sz="8" w:space="4" w:color="000000"/>
        </w:rPr>
      </w:pPr>
      <w:r>
        <w:rPr>
          <w:caps w:val="false"/>
          <w:smallCaps w:val="false"/>
          <w:bdr w:val="single" w:sz="8" w:space="4"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8" w:space="4" w:color="000000"/>
        </w:rPr>
      </w:pPr>
      <w:r>
        <w:rPr>
          <w:rFonts w:ascii="Times New Roman;Times;Serif" w:hAnsi="Times New Roman;Times;Serif"/>
          <w:b w:val="false"/>
          <w:i w:val="false"/>
          <w:caps w:val="false"/>
          <w:smallCaps w:val="false"/>
          <w:sz w:val="20"/>
          <w:bdr w:val="single" w:sz="8" w:space="4" w:color="000000"/>
        </w:rPr>
        <w:t xml:space="preserve">We were incorporated in California in 1990 and commenced operations in 1992. We reincorporated in Delaware in 2007. Our principal offices in the United States are located in Madison, Wisconsin and our telephone number is (608) 824-2800. Our main corporate website address is </w:t>
      </w:r>
      <w:r>
        <w:rPr>
          <w:rFonts w:ascii="Times New Roman;Times;Serif" w:hAnsi="Times New Roman;Times;Serif"/>
          <w:b w:val="false"/>
          <w:i/>
          <w:caps w:val="false"/>
          <w:smallCaps w:val="false"/>
          <w:sz w:val="20"/>
          <w:bdr w:val="single" w:sz="8" w:space="4" w:color="000000"/>
        </w:rPr>
        <w:t>www.accuray.com</w:t>
      </w:r>
      <w:r>
        <w:rPr>
          <w:rFonts w:ascii="Times New Roman;Times;Serif" w:hAnsi="Times New Roman;Times;Serif"/>
          <w:b w:val="false"/>
          <w:i w:val="false"/>
          <w:caps w:val="false"/>
          <w:smallCaps w:val="false"/>
          <w:sz w:val="20"/>
          <w:bdr w:val="single" w:sz="8" w:space="4" w:color="000000"/>
        </w:rPr>
        <w:t>. The information on our website is not a part of nor incorporated by reference in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making an investment decision, you should carefully consider the risks and uncertainties described under “Part I. Item 1A. Risk Factors” in our Annual Report on Form 10-K for the fiscal year ended June 30, 2026, which is incorporated by reference in this prospectus, together with all of the other information contained in this prospectus and the documents incorporated by reference herein. If any of these risks actually occur, our business, operating results and financial condition could be materially and adversely impacted, the market price of our common stock could decline and you could lose all or part of your investment. The risks and uncertainties described are not the only ones we face. Additional risks and uncertainties not presently known to us or that we currently deem immaterial may also impair our business operations and financial results and the value of our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our common stock by the Selling Stockholders. However, we will receive proceeds from any cash exercise of the Warrants. There can be no assurance that any of the Warrants will be exercised by the Selling Stockholders or that they will exercise the Warrants for cash instead of using the cashless exercise feature. We intend to use the net proceeds, if any, from any cash exercise of the Warrants for general corporate purposes.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our securities and the material provisions of our amended and restated certificate of incorporation, our amended and restated bylaws, and the applicable provisions of the General Corporation Law of the State of Delaware (the “DGCL”). This summary does not purport to be complete and is qualified in its entirety by the provisions of our amended and restated certificate of incorporation, our amended and restated bylaws and the other documents described in this section, copies of which have been filed with the SEC and are referenced in the exhibits to our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us to issue up to 200,000,000 shares of common stock, $0.001 par value per share, and 5,000,000 shares of preferred stock, $0.001 par value per share. As of June 30, 2026, we had approximately 119,433,440 shares of common stock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shares of preferred stock outstanding at the time, the holders of outstanding shares of our common stock are entitled to receive dividends out of funds legally available at the times and in the amounts that our board of directors may determine.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common stock is entitled to one vote for each share of common stock held on all matters submitted to a vote of the stockholders. Cumulative voting for the election of directors is not provided for in our amended and restated certificate of incorporation, which means that the holders of a majority of the shares voted can elect all of the directors then standing for election.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or redemption. There are no sinking fund provisions applicable to our common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dissolution or liquidation, dissolution or winding-up, the assets legally available for distribution to our stockholders are distributable ratably among the holders of our common stock, subject to the preferential rights and payment of liquidation preferences, if any, on any outstanding shares of preferred stock.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is able to elect all of our directors. Our amended and restated certificate of incorporation and amended and restated bylaws provide that all stockholder action must be effected at a duly called meeting of stockholders and not by a consent in writing, and that only our chairperson of the board of directors, chief executive officer, president, secretary or a majority of the authorized number of directors may call a special meeting of stockholders.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a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have the effect of deterring hostile takeovers or delaying changes in our control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before such date, the board of directors of the corporation approved either the business combination or the transaction that resulted in the stockholder becoming an interested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or after such date, the business combination is approved by the board of directors and authorized at an annual or special meeting of the stockholders, and not by written consent, by the affirmative vote of at least 66</w:t>
            </w:r>
            <w:r>
              <w:rPr>
                <w:position w:val="8"/>
                <w:sz w:val="19"/>
              </w:rPr>
              <w:t>2</w:t>
            </w:r>
            <w:r>
              <w:rPr/>
              <w:t>/3% of the outstanding voting stock that is not owned by the interested stockholder.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sale, transfer, pledge or other disposition of 10% or more of the assets of the corporation involving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subject to certain exceptions, any transaction that results in the issuance or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transaction involving the corporation that has the effect of increasing the proportionate share of the stock or any class or series of the corporation beneficially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receipt by the interested stockholder of the benefit of any loss, advances, guarantees, pledges or other financial benefits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any breach of the director’s duty of loyalty to us or our stockholders, acts or omissions not in good faith or that involve intentional misconduct or a knowing violation of law, unlawful payment of dividends or unlawful stock repurchases or redemptions, and any transaction from which the director derived an improper personal benefit.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we may indemnify to the fullest extent permitted by law any person made or threatened to be made a party to an action or proceeding, whether criminal, civil, administrative or investigative, by reason of the fact that he, his testator or intestate is or was a director, officer, employee or agent of us or any predecessor of ours, or serves or served at any other enterprise as a director, officer, employee or agent at our request or the request any of our predecessors.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shall indemnify and hold harmless, to the fullest extent permitted by the DGCL as it presently exists or may hereafter be amended, any director or officer of ours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officer, employee or agent of ours or is or was serving at our request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provide that, unless we consent, the Court of Chancery of the State of Delaware is the exclusive forum for any derivative action or proceeding brought on our behalf; any action asserting a breach of fiduciary duty owed by any of our directors, officers, stockholders, employees or agents to us or our stockholders; any action asserting a claim against us or any of our directors, officers, stockholders, employees or agents arising out of or relating to any provision of the DGCL or our amended and restated certificate of incorporation or our bylaws; or any action asserting a claim against us or any of our directors, officers, stockholders, employees or agents that is governed by the internal affairs doctrine;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outstanding warrants to purchase shares of our common stock, as of July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3557"/>
        <w:gridCol w:w="2880"/>
        <w:gridCol w:w="1404"/>
        <w:gridCol w:w="2364"/>
      </w:tblGrid>
      <w:tr>
        <w:trPr/>
        <w:tc>
          <w:tcPr>
            <w:tcW w:w="3557"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Exercisable for Common Stock </w:t>
            </w:r>
          </w:p>
        </w:tc>
        <w:tc>
          <w:tcPr>
            <w:tcW w:w="288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Issuable Upon Exercise of the Warrants </w:t>
            </w:r>
          </w:p>
        </w:tc>
        <w:tc>
          <w:tcPr>
            <w:tcW w:w="140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 Share </w:t>
            </w:r>
          </w:p>
        </w:tc>
        <w:tc>
          <w:tcPr>
            <w:tcW w:w="236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Period </w:t>
            </w:r>
          </w:p>
        </w:tc>
      </w:tr>
      <w:tr>
        <w:trPr/>
        <w:tc>
          <w:tcPr>
            <w:tcW w:w="3557" w:type="dxa"/>
            <w:tcBorders/>
            <w:vAlign w:val="center"/>
          </w:tcPr>
          <w:p>
            <w:pPr>
              <w:pStyle w:val="TableContents"/>
              <w:bidi w:val="0"/>
              <w:spacing w:before="0" w:after="283"/>
              <w:jc w:val="left"/>
              <w:rPr/>
            </w:pPr>
            <w:r>
              <w:rPr/>
              <w:t>June 2025 Penny Warrants held by the Selling Stockholders</w:t>
              <w:tab/>
            </w:r>
          </w:p>
        </w:tc>
        <w:tc>
          <w:tcPr>
            <w:tcW w:w="2880" w:type="dxa"/>
            <w:tcBorders/>
            <w:vAlign w:val="center"/>
          </w:tcPr>
          <w:p>
            <w:pPr>
              <w:pStyle w:val="TableContents"/>
              <w:bidi w:val="0"/>
              <w:spacing w:before="0" w:after="283"/>
              <w:jc w:val="right"/>
              <w:rPr/>
            </w:pPr>
            <w:r>
              <w:rPr/>
              <w:t>6,247,531</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June 6, 2025 – June 6, 2032</w:t>
            </w:r>
          </w:p>
        </w:tc>
      </w:tr>
      <w:tr>
        <w:trPr/>
        <w:tc>
          <w:tcPr>
            <w:tcW w:w="3557" w:type="dxa"/>
            <w:tcBorders/>
            <w:vAlign w:val="center"/>
          </w:tcPr>
          <w:p>
            <w:pPr>
              <w:pStyle w:val="TableContents"/>
              <w:bidi w:val="0"/>
              <w:spacing w:before="0" w:after="283"/>
              <w:jc w:val="left"/>
              <w:rPr/>
            </w:pPr>
            <w:r>
              <w:rPr/>
              <w:t>June 2025 Premium Warrants held by the Selling Stockholders</w:t>
              <w:tab/>
            </w:r>
          </w:p>
        </w:tc>
        <w:tc>
          <w:tcPr>
            <w:tcW w:w="2880" w:type="dxa"/>
            <w:tcBorders/>
            <w:vAlign w:val="center"/>
          </w:tcPr>
          <w:p>
            <w:pPr>
              <w:pStyle w:val="TableContents"/>
              <w:bidi w:val="0"/>
              <w:spacing w:before="0" w:after="283"/>
              <w:jc w:val="right"/>
              <w:rPr/>
            </w:pPr>
            <w:r>
              <w:rPr/>
              <w:t>17,180,710</w:t>
            </w:r>
          </w:p>
        </w:tc>
        <w:tc>
          <w:tcPr>
            <w:tcW w:w="1404" w:type="dxa"/>
            <w:tcBorders/>
            <w:vAlign w:val="center"/>
          </w:tcPr>
          <w:p>
            <w:pPr>
              <w:pStyle w:val="TableContents"/>
              <w:bidi w:val="0"/>
              <w:spacing w:before="0" w:after="283"/>
              <w:jc w:val="right"/>
              <w:rPr/>
            </w:pPr>
            <w:r>
              <w:rPr/>
              <w:t>$1.68</w:t>
            </w:r>
          </w:p>
        </w:tc>
        <w:tc>
          <w:tcPr>
            <w:tcW w:w="2364" w:type="dxa"/>
            <w:tcBorders/>
            <w:vAlign w:val="center"/>
          </w:tcPr>
          <w:p>
            <w:pPr>
              <w:pStyle w:val="TableContents"/>
              <w:bidi w:val="0"/>
              <w:spacing w:before="0" w:after="283"/>
              <w:jc w:val="right"/>
              <w:rPr/>
            </w:pPr>
            <w:r>
              <w:rPr/>
              <w:t>December 7, 2025 – June 6, 2032</w:t>
            </w:r>
          </w:p>
        </w:tc>
      </w:tr>
      <w:tr>
        <w:trPr/>
        <w:tc>
          <w:tcPr>
            <w:tcW w:w="3557" w:type="dxa"/>
            <w:tcBorders/>
            <w:vAlign w:val="center"/>
          </w:tcPr>
          <w:p>
            <w:pPr>
              <w:pStyle w:val="TableContents"/>
              <w:bidi w:val="0"/>
              <w:spacing w:before="0" w:after="283"/>
              <w:jc w:val="left"/>
              <w:rPr/>
            </w:pPr>
            <w:r>
              <w:rPr/>
              <w:t>December 2025 Penny Warrants held by the Selling Stockholders</w:t>
              <w:tab/>
            </w:r>
          </w:p>
        </w:tc>
        <w:tc>
          <w:tcPr>
            <w:tcW w:w="2880" w:type="dxa"/>
            <w:tcBorders/>
            <w:vAlign w:val="center"/>
          </w:tcPr>
          <w:p>
            <w:pPr>
              <w:pStyle w:val="TableContents"/>
              <w:bidi w:val="0"/>
              <w:spacing w:before="0" w:after="283"/>
              <w:jc w:val="right"/>
              <w:rPr/>
            </w:pPr>
            <w:r>
              <w:rPr/>
              <w:t>1,750,129</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December 15, 2025 – December 15, 2032</w:t>
            </w:r>
          </w:p>
        </w:tc>
      </w:tr>
      <w:tr>
        <w:trPr/>
        <w:tc>
          <w:tcPr>
            <w:tcW w:w="3557" w:type="dxa"/>
            <w:tcBorders/>
            <w:vAlign w:val="center"/>
          </w:tcPr>
          <w:p>
            <w:pPr>
              <w:pStyle w:val="TableContents"/>
              <w:bidi w:val="0"/>
              <w:spacing w:before="0" w:after="283"/>
              <w:jc w:val="left"/>
              <w:rPr/>
            </w:pPr>
            <w:r>
              <w:rPr/>
              <w:t>December 2025 Premium Warrants held by the Selling Stockholders</w:t>
              <w:tab/>
            </w:r>
          </w:p>
        </w:tc>
        <w:tc>
          <w:tcPr>
            <w:tcW w:w="2880" w:type="dxa"/>
            <w:tcBorders/>
            <w:vAlign w:val="center"/>
          </w:tcPr>
          <w:p>
            <w:pPr>
              <w:pStyle w:val="TableContents"/>
              <w:bidi w:val="0"/>
              <w:spacing w:before="0" w:after="283"/>
              <w:jc w:val="right"/>
              <w:rPr/>
            </w:pPr>
            <w:r>
              <w:rPr/>
              <w:t>2,187,661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December 2025 Super Premium Warrants held by the Selling Stockholders</w:t>
              <w:tab/>
            </w:r>
          </w:p>
        </w:tc>
        <w:tc>
          <w:tcPr>
            <w:tcW w:w="2880" w:type="dxa"/>
            <w:tcBorders/>
            <w:vAlign w:val="center"/>
          </w:tcPr>
          <w:p>
            <w:pPr>
              <w:pStyle w:val="TableContents"/>
              <w:bidi w:val="0"/>
              <w:spacing w:before="0" w:after="283"/>
              <w:jc w:val="right"/>
              <w:rPr/>
            </w:pPr>
            <w:r>
              <w:rPr/>
              <w:t>3,062,726</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June 16, 2026 – December 15, 2032</w:t>
            </w:r>
          </w:p>
        </w:tc>
      </w:tr>
      <w:tr>
        <w:trPr/>
        <w:tc>
          <w:tcPr>
            <w:tcW w:w="3557" w:type="dxa"/>
            <w:tcBorders/>
            <w:vAlign w:val="center"/>
          </w:tcPr>
          <w:p>
            <w:pPr>
              <w:pStyle w:val="TableContents"/>
              <w:bidi w:val="0"/>
              <w:spacing w:before="0" w:after="283"/>
              <w:jc w:val="left"/>
              <w:rPr/>
            </w:pPr>
            <w:r>
              <w:rPr/>
              <w:t>Penny Warrants held by the Selling Stockholders</w:t>
              <w:tab/>
            </w:r>
          </w:p>
        </w:tc>
        <w:tc>
          <w:tcPr>
            <w:tcW w:w="2880" w:type="dxa"/>
            <w:tcBorders/>
            <w:vAlign w:val="center"/>
          </w:tcPr>
          <w:p>
            <w:pPr>
              <w:pStyle w:val="TableContents"/>
              <w:bidi w:val="0"/>
              <w:spacing w:before="0" w:after="283"/>
              <w:jc w:val="right"/>
              <w:rPr/>
            </w:pPr>
            <w:r>
              <w:rPr/>
              <w:t>1,708,577</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May 18, 2026 – May 18, 2033</w:t>
            </w:r>
          </w:p>
        </w:tc>
      </w:tr>
      <w:tr>
        <w:trPr/>
        <w:tc>
          <w:tcPr>
            <w:tcW w:w="3557" w:type="dxa"/>
            <w:tcBorders/>
            <w:vAlign w:val="center"/>
          </w:tcPr>
          <w:p>
            <w:pPr>
              <w:pStyle w:val="TableContents"/>
              <w:bidi w:val="0"/>
              <w:spacing w:before="0" w:after="283"/>
              <w:jc w:val="left"/>
              <w:rPr/>
            </w:pPr>
            <w:r>
              <w:rPr/>
              <w:t>Premium Warrants held by the Selling Stockholders</w:t>
              <w:tab/>
            </w:r>
          </w:p>
        </w:tc>
        <w:tc>
          <w:tcPr>
            <w:tcW w:w="2880" w:type="dxa"/>
            <w:tcBorders/>
            <w:vAlign w:val="center"/>
          </w:tcPr>
          <w:p>
            <w:pPr>
              <w:pStyle w:val="TableContents"/>
              <w:bidi w:val="0"/>
              <w:spacing w:before="0" w:after="283"/>
              <w:jc w:val="right"/>
              <w:rPr/>
            </w:pPr>
            <w:r>
              <w:rPr/>
              <w:t>2,135,721</w:t>
            </w:r>
          </w:p>
        </w:tc>
        <w:tc>
          <w:tcPr>
            <w:tcW w:w="1404" w:type="dxa"/>
            <w:tcBorders/>
            <w:vAlign w:val="center"/>
          </w:tcPr>
          <w:p>
            <w:pPr>
              <w:pStyle w:val="TableContents"/>
              <w:bidi w:val="0"/>
              <w:spacing w:before="0" w:after="283"/>
              <w:jc w:val="right"/>
              <w:rPr/>
            </w:pPr>
            <w:r>
              <w:rPr/>
              <w:t>$1.25</w:t>
            </w:r>
          </w:p>
        </w:tc>
        <w:tc>
          <w:tcPr>
            <w:tcW w:w="2364" w:type="dxa"/>
            <w:tcBorders/>
            <w:vAlign w:val="center"/>
          </w:tcPr>
          <w:p>
            <w:pPr>
              <w:pStyle w:val="TableContents"/>
              <w:bidi w:val="0"/>
              <w:spacing w:before="0" w:after="283"/>
              <w:jc w:val="right"/>
              <w:rPr/>
            </w:pPr>
            <w:r>
              <w:rPr/>
              <w:t>November 19, 2026 – May 18, 2033</w:t>
            </w:r>
          </w:p>
        </w:tc>
      </w:tr>
      <w:tr>
        <w:trPr/>
        <w:tc>
          <w:tcPr>
            <w:tcW w:w="3557" w:type="dxa"/>
            <w:tcBorders/>
            <w:vAlign w:val="center"/>
          </w:tcPr>
          <w:p>
            <w:pPr>
              <w:pStyle w:val="TableContents"/>
              <w:bidi w:val="0"/>
              <w:spacing w:before="0" w:after="283"/>
              <w:jc w:val="left"/>
              <w:rPr/>
            </w:pPr>
            <w:r>
              <w:rPr/>
              <w:t>Super Premium Warrants held by the Selling Stockholders</w:t>
              <w:tab/>
            </w:r>
          </w:p>
        </w:tc>
        <w:tc>
          <w:tcPr>
            <w:tcW w:w="2880" w:type="dxa"/>
            <w:tcBorders/>
            <w:vAlign w:val="center"/>
          </w:tcPr>
          <w:p>
            <w:pPr>
              <w:pStyle w:val="TableContents"/>
              <w:bidi w:val="0"/>
              <w:spacing w:before="0" w:after="283"/>
              <w:jc w:val="right"/>
              <w:rPr/>
            </w:pPr>
            <w:r>
              <w:rPr/>
              <w:t>2,990,010</w:t>
            </w:r>
          </w:p>
        </w:tc>
        <w:tc>
          <w:tcPr>
            <w:tcW w:w="1404" w:type="dxa"/>
            <w:tcBorders/>
            <w:vAlign w:val="center"/>
          </w:tcPr>
          <w:p>
            <w:pPr>
              <w:pStyle w:val="TableContents"/>
              <w:bidi w:val="0"/>
              <w:spacing w:before="0" w:after="283"/>
              <w:jc w:val="right"/>
              <w:rPr/>
            </w:pPr>
            <w:r>
              <w:rPr/>
              <w:t>$1.50</w:t>
            </w:r>
          </w:p>
        </w:tc>
        <w:tc>
          <w:tcPr>
            <w:tcW w:w="2364" w:type="dxa"/>
            <w:tcBorders/>
            <w:vAlign w:val="center"/>
          </w:tcPr>
          <w:p>
            <w:pPr>
              <w:pStyle w:val="TableContents"/>
              <w:bidi w:val="0"/>
              <w:spacing w:before="0" w:after="283"/>
              <w:jc w:val="right"/>
              <w:rPr/>
            </w:pPr>
            <w:r>
              <w:rPr/>
              <w:t>November 19, 2026 – May 18, 2033</w:t>
            </w:r>
          </w:p>
        </w:tc>
      </w:tr>
      <w:tr>
        <w:trPr/>
        <w:tc>
          <w:tcPr>
            <w:tcW w:w="3557" w:type="dxa"/>
            <w:tcBorders/>
            <w:vAlign w:val="center"/>
          </w:tcPr>
          <w:p>
            <w:pPr>
              <w:pStyle w:val="TableContents"/>
              <w:bidi w:val="0"/>
              <w:spacing w:before="0" w:after="283"/>
              <w:jc w:val="left"/>
              <w:rPr/>
            </w:pPr>
            <w:r>
              <w:rPr/>
              <w:t>July 2026 Penny Warrants held by the Selling Stockholders</w:t>
            </w:r>
          </w:p>
        </w:tc>
        <w:tc>
          <w:tcPr>
            <w:tcW w:w="2880" w:type="dxa"/>
            <w:tcBorders/>
            <w:vAlign w:val="center"/>
          </w:tcPr>
          <w:p>
            <w:pPr>
              <w:pStyle w:val="TableContents"/>
              <w:bidi w:val="0"/>
              <w:spacing w:before="0" w:after="283"/>
              <w:jc w:val="right"/>
              <w:rPr/>
            </w:pPr>
            <w:r>
              <w:rPr/>
              <w:t>15,253,473</w:t>
            </w:r>
          </w:p>
        </w:tc>
        <w:tc>
          <w:tcPr>
            <w:tcW w:w="1404" w:type="dxa"/>
            <w:tcBorders/>
            <w:vAlign w:val="center"/>
          </w:tcPr>
          <w:p>
            <w:pPr>
              <w:pStyle w:val="TableContents"/>
              <w:bidi w:val="0"/>
              <w:spacing w:before="0" w:after="283"/>
              <w:jc w:val="right"/>
              <w:rPr/>
            </w:pPr>
            <w:r>
              <w:rPr/>
              <w:t>$0.01</w:t>
            </w:r>
          </w:p>
        </w:tc>
        <w:tc>
          <w:tcPr>
            <w:tcW w:w="2364" w:type="dxa"/>
            <w:tcBorders/>
            <w:vAlign w:val="center"/>
          </w:tcPr>
          <w:p>
            <w:pPr>
              <w:pStyle w:val="TableContents"/>
              <w:bidi w:val="0"/>
              <w:spacing w:before="0" w:after="283"/>
              <w:jc w:val="right"/>
              <w:rPr/>
            </w:pPr>
            <w:r>
              <w:rPr/>
              <w:t>July 29, 2026 – July 29, 2033</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2025, we issued to certain lenders party to the Financing Agreement (i) warrants to purchase 17,180,710 shares of common stock, which warrants are exercisable on and after December 7, 2025 and expire on June 6, 2032 and have an exercise price of $1.68 per share, subject to certain adjustments (the “June 2025 Premium Warrants”) and (ii) warrants to purchase 6,247,531 shares of common stock, which warrants are exercisable on and after June 6, 2025 and expire on June 6, 2032 and have an exercise price of $0.01 per share (the “June 2025 Penny Warrants” and, together with the June 2025 Premium Warrants, the “June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in connection with our entry into Amendment No. 1 and Amendment No. 2, we issued to certain lenders party thereto (i) warrants to purchase 3,062,726 shares of common stock, which warrants are exercisable on and after June 16, 2026 and expire on December 15, 2032 and have an exercise price of $1.50 per share, subject to certain adjustments (the “December 2025 Super Premium Warrants”) (ii) warrants to purchase 2,187,661 shares of common stock, which warrants are exercisable on and after June 16, 2026 and expire on December 15, 2032 and have an exercise price of $1.25 per share, subject to certain adjustments (the “December 2025 Premium Warrants”) and (iii) warrants to purchase 1,750,129 shares of common stock, which warrants are exercisable on and after December 15, 2025 and expire on December 15, 2032 and have an exercise price of $0.01 per share (the “December 2025 Penny Warrants” and, together with the December 2025 Premium Warrants and the December 2025 Super Premium Warrants, the “December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in connection with the DDTL Funding, we issued to certain lenders party to the Financing Agreement (i) the Super Premium Warrants to purchase 2,990,010 shares of common stock, which warrants are exercisable on and after November 19, 2026 and expire on May 18, 2033 and have an exercise price of $1.50 per share, subject to certain adjustments (ii) the Premium Warrants to purchase 2,135,721 shares of common stock, which warrants are exercisable on and after November 19, 2026 and expire on May 18, 2033 and have an exercise price of $1.25 per share, subject to certain adjustments and (iii) the Penny Warrants to purchase 1,708,577 shares of common stock, which warrants are exercisable on and after May 18, 2026 and expire on May 18, 2033 and have an exercise price of $0.01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in connection with our entry into Amendment No. 3, we issued to certain lenders party thereto warrants to purchase 15,253,473 shares of common stock, which warrants are exercisable after July 29, 2026 and expire on June 29, 2033 and have an exercise price of $0.01 per share, subject to certain adjustments (the “July 2026 Penny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2025 Warrants, the December 2025 Warrants, the Warrants and the July 2026 Penny Warrants have certain anti-dilution protection provisions, including price-based anti-dilution protection in the event that we sell stock at a price below (i) $1.25 in the case of the June 2025 Premium Warrants, (ii) $1.12 in the case of the December 2025 Super Premium Warrants  and the Super Premium Warrants, (iii) $0.93 in the case of the December 2025 Premium Warrants and the Premium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and (iv) $1.00 in the case of the June 2025 Penny Warrants, the December 2025 Penny Warrants, the Penny Warrants and the July 2026 Penny Warrants. We agreed to issue the June 2025 Warrants, the December 2025 Warrants and the July 2026 Penny Warrants in connection with, and to induce the lenders to enter into, the Financing Agreement, including Amendment No. 1, Amendment No. 2 and Amendment No. 3 thereto. We agreed to issue the Warrants in connection with the DDTL Funding, pursuant to terms of the Financing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June 2025 Warrants, the December 2025 Warrants, the Warrants and the July 2026 Penny Warrants provide that we will, among other things, prepare and file with the SEC a registration statement covering the resale of the shares underlying the June 2025 Warrants, the December 2025 Warrants, the Warrants and the July 2026 Penny Warrants. The registration statement of which this prospectus is a part has been filed by us in satisfaction of our obligations under the Warrants to file such registration statement. </w:t>
      </w:r>
      <w:r>
        <w:rPr>
          <w:rFonts w:ascii="Times New Roman;Times;Serif" w:hAnsi="Times New Roman;Times;Serif"/>
          <w:b w:val="false"/>
          <w:i w:val="false"/>
          <w:caps w:val="false"/>
          <w:smallCaps w:val="false"/>
          <w:sz w:val="20"/>
          <w:shd w:fill="FFFFFF" w:val="clear"/>
        </w:rPr>
        <w:t xml:space="preserve">We have also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terms and conditions of the June 2025 Warrants, the December 2025 Warrants, the Warrants and the July 2026 Penny Warrants does not purport to be complete and is qualified in its entirety by reference to the Form of June 2025 Premium Warrants, Form of June 2025 Penny Warrants, Form of Super Premium Warrants, Form of Premium Warrants, Form of Penny Warrants and Form of July 2026 Penny Warrants that are attached as exhibits to the registration statement of which this prospectus forms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Capital Markets under the symbol "ARAY."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offering for resale from time to time, in one or more offerings, of up to 6,834,308 shares of our common stock, consisting of (i) 2,990,010 shares of our common stock issuable upon exercise of the Super Premium Warrants, (ii) 2,135,721 shares of our common stock issuable upon exercise of the Premium Warrants and (iii) 1,708,577 shares of our common stock issuable upon exercise of the Penny Warrants by the Selling Stockholders. The term “Selling Stockholders” includes the stockholders listed below and their permitted transferees who may acquire shares from a Selling Stockholder after the date of this prospectus. Information concerning the Selling Stockholders may change after the date of this prospectus and changed information will be presented in a supplement to this prospectus if and when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following information, as of July 31, 2026: (i) the name of each Selling Stockholder, (ii) the number of shares of common stock beneficially owned by each Selling Stockholder, (iii) the number of shares of common stock offered by each Selling Stockholder hereunder, (iv) the number of shares of common stock beneficially owned by each Selling Stockholder following the completion of this offering (assuming each Selling Stockholder sells all of the shares of our common stock covered by this prospectus) and (v) the percentage of common stock beneficially owned by each Selling Stockholder following the completion of this offering (assuming each Selling Stockholder sells all of the shares of our common stock covered by this prospectus), based on 119,433,440 shares of our common stock outstanding as of June 30,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are not making any representation that any shares of common stock covered by this prospectus will be offered for sale. Because each Selling Stockholder may dispose of all, none or some portion of the shares of common stock covered by this prospectus, no estimate can be given as to the number of shares that will be beneficially owned by a Selling Stockholder upon termination of this offering. In addition, the Selling Stockholders may have sold, transferred or otherwise disposed of their shares of common stock in transactions exempt from the registration requirements of the Securities Act after the date on which the information in the table is presented. For purposes of the table below, however, we have assumed that after termination of this offering, none of the shares of common stock registered for resale under this prospectus will be beneficially owned by the Selling Stockholders, and we have further assumed that the Selling Stockholders will not acquire beneficial ownership of any additional shares of common stock during this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prepared based on information provided to us by the Selling Stockholders. Except as may be described below, none of the Selling Stockholders has had any position, office or other material relationship with us or any of our predecessors or affiliates within the past three years. In addition, based on information provided to us, none of the Selling Stockholders that are affiliates of broker-dealers, if any, purchased the shares of our common stock outside the ordinary course of business or, at the time of their acquisition of such shares, had any agreements, understandings or arrangements with any other persons, directly or indirectly, to dispose of the shares. Information concerning the Selling Stockholders may change from time to time, and any changed information will be set forth in supplements to this prospectus to the extent required.</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60" w:type="dxa"/>
          <w:left w:w="60" w:type="dxa"/>
          <w:bottom w:w="60" w:type="dxa"/>
          <w:right w:w="60" w:type="dxa"/>
        </w:tblCellMar>
      </w:tblPr>
      <w:tblGrid>
        <w:gridCol w:w="1580"/>
        <w:gridCol w:w="1730"/>
        <w:gridCol w:w="1839"/>
        <w:gridCol w:w="1500"/>
        <w:gridCol w:w="1714"/>
        <w:gridCol w:w="1842"/>
      </w:tblGrid>
      <w:tr>
        <w:trPr/>
        <w:tc>
          <w:tcPr>
            <w:tcW w:w="158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Stockholder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Before this Offering (1)  </w:t>
            </w:r>
          </w:p>
        </w:tc>
        <w:tc>
          <w:tcPr>
            <w:tcW w:w="183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Before this Offering  </w:t>
            </w:r>
          </w:p>
        </w:tc>
        <w:tc>
          <w:tcPr>
            <w:tcW w:w="15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of Common Stock Offered by this Prospectus (1) </w:t>
            </w:r>
            <w:r>
              <w:rPr>
                <w:rFonts w:ascii="Times New Roman;Times;Serif" w:hAnsi="Times New Roman;Times;Serif"/>
                <w:b w:val="false"/>
                <w:i w:val="false"/>
                <w:caps w:val="false"/>
                <w:smallCaps w:val="false"/>
                <w:sz w:val="20"/>
              </w:rPr>
              <w:t> </w:t>
            </w:r>
          </w:p>
        </w:tc>
        <w:tc>
          <w:tcPr>
            <w:tcW w:w="171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Beneficially Owned After this Offering (1)  </w:t>
            </w:r>
          </w:p>
        </w:tc>
        <w:tc>
          <w:tcPr>
            <w:tcW w:w="1842"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Shares of Common Stock Beneficially Owned After this Offering  </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First Trust Alternative Opportunities Fund (2)</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6,022,059</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5.04%</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1,053,623</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4,968,436</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4.16%</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First Trust Private Credit Fund (3)</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2,641,814</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2.21%</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170,857</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2,470,957</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2.07%</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First Trust Enhanced Private Credit Fund (4)</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1,007,426</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142,381</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865,045</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Asilia Credit Fund, LP (5)</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6,447,533</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5.40%</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911,241</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5,536,292</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4.64%</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Walnut Capital Fund I, LP (6)</w:t>
            </w:r>
          </w:p>
        </w:tc>
        <w:tc>
          <w:tcPr>
            <w:tcW w:w="173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1,242,103</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1.04%</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227,811</w:t>
            </w:r>
          </w:p>
        </w:tc>
        <w:tc>
          <w:tcPr>
            <w:tcW w:w="1714" w:type="dxa"/>
            <w:tcBorders/>
            <w:tcMar>
              <w:top w:w="0" w:type="dxa"/>
              <w:left w:w="0" w:type="dxa"/>
              <w:bottom w:w="0" w:type="dxa"/>
              <w:right w:w="0" w:type="dxa"/>
            </w:tcMar>
            <w:vAlign w:val="center"/>
          </w:tcPr>
          <w:p>
            <w:pPr>
              <w:pStyle w:val="TableContents"/>
              <w:bidi w:val="0"/>
              <w:spacing w:before="0" w:after="283"/>
              <w:jc w:val="right"/>
              <w:rPr/>
            </w:pPr>
            <w:r>
              <w:rPr/>
              <w:t> </w:t>
            </w:r>
            <w:r>
              <w:rPr>
                <w:sz w:val="20"/>
              </w:rPr>
              <w:t>1,014,292</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Nationwide Mutual Insurance Company (7)</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6,564,567</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5.50%</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854,288</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5,710,279</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4.78%</w:t>
            </w:r>
          </w:p>
        </w:tc>
      </w:tr>
      <w:tr>
        <w:trPr/>
        <w:tc>
          <w:tcPr>
            <w:tcW w:w="1580" w:type="dxa"/>
            <w:tcBorders/>
            <w:tcMar>
              <w:top w:w="0" w:type="dxa"/>
              <w:left w:w="0" w:type="dxa"/>
              <w:bottom w:w="0" w:type="dxa"/>
              <w:right w:w="0" w:type="dxa"/>
            </w:tcMar>
            <w:vAlign w:val="center"/>
          </w:tcPr>
          <w:p>
            <w:pPr>
              <w:pStyle w:val="TableContents"/>
              <w:bidi w:val="0"/>
              <w:spacing w:before="0" w:after="283"/>
              <w:jc w:val="left"/>
              <w:rPr>
                <w:sz w:val="20"/>
              </w:rPr>
            </w:pPr>
            <w:r>
              <w:rPr>
                <w:sz w:val="20"/>
              </w:rPr>
              <w:t>TCW Rescue Financing Fund II LP (8)</w:t>
            </w:r>
          </w:p>
        </w:tc>
        <w:tc>
          <w:tcPr>
            <w:tcW w:w="1730" w:type="dxa"/>
            <w:tcBorders/>
            <w:tcMar>
              <w:top w:w="0" w:type="dxa"/>
              <w:left w:w="0" w:type="dxa"/>
              <w:bottom w:w="0" w:type="dxa"/>
              <w:right w:w="0" w:type="dxa"/>
            </w:tcMar>
            <w:vAlign w:val="center"/>
          </w:tcPr>
          <w:p>
            <w:pPr>
              <w:pStyle w:val="TableContents"/>
              <w:bidi w:val="0"/>
              <w:spacing w:before="0" w:after="283"/>
              <w:jc w:val="right"/>
              <w:rPr>
                <w:sz w:val="20"/>
              </w:rPr>
            </w:pPr>
            <w:r>
              <w:rPr>
                <w:sz w:val="20"/>
              </w:rPr>
              <w:t>25,610,247</w:t>
            </w:r>
          </w:p>
        </w:tc>
        <w:tc>
          <w:tcPr>
            <w:tcW w:w="1839" w:type="dxa"/>
            <w:tcBorders/>
            <w:tcMar>
              <w:top w:w="0" w:type="dxa"/>
              <w:left w:w="0" w:type="dxa"/>
              <w:bottom w:w="0" w:type="dxa"/>
              <w:right w:w="0" w:type="dxa"/>
            </w:tcMar>
            <w:vAlign w:val="center"/>
          </w:tcPr>
          <w:p>
            <w:pPr>
              <w:pStyle w:val="TableContents"/>
              <w:bidi w:val="0"/>
              <w:spacing w:before="0" w:after="283"/>
              <w:jc w:val="right"/>
              <w:rPr>
                <w:sz w:val="20"/>
              </w:rPr>
            </w:pPr>
            <w:r>
              <w:rPr>
                <w:sz w:val="20"/>
              </w:rPr>
              <w:t>21.44%</w:t>
            </w:r>
          </w:p>
        </w:tc>
        <w:tc>
          <w:tcPr>
            <w:tcW w:w="1500" w:type="dxa"/>
            <w:tcBorders/>
            <w:tcMar>
              <w:top w:w="0" w:type="dxa"/>
              <w:left w:w="0" w:type="dxa"/>
              <w:bottom w:w="0" w:type="dxa"/>
              <w:right w:w="0" w:type="dxa"/>
            </w:tcMar>
            <w:vAlign w:val="center"/>
          </w:tcPr>
          <w:p>
            <w:pPr>
              <w:pStyle w:val="TableContents"/>
              <w:bidi w:val="0"/>
              <w:spacing w:before="0" w:after="283"/>
              <w:jc w:val="right"/>
              <w:rPr/>
            </w:pPr>
            <w:r>
              <w:rPr/>
              <w:t> </w:t>
            </w:r>
            <w:r>
              <w:rPr>
                <w:sz w:val="20"/>
              </w:rPr>
              <w:t>3,232,091</w:t>
            </w:r>
          </w:p>
        </w:tc>
        <w:tc>
          <w:tcPr>
            <w:tcW w:w="1714" w:type="dxa"/>
            <w:tcBorders/>
            <w:tcMar>
              <w:top w:w="0" w:type="dxa"/>
              <w:left w:w="0" w:type="dxa"/>
              <w:bottom w:w="0" w:type="dxa"/>
              <w:right w:w="0" w:type="dxa"/>
            </w:tcMar>
            <w:vAlign w:val="center"/>
          </w:tcPr>
          <w:p>
            <w:pPr>
              <w:pStyle w:val="TableContents"/>
              <w:bidi w:val="0"/>
              <w:spacing w:before="0" w:after="283"/>
              <w:jc w:val="right"/>
              <w:rPr>
                <w:sz w:val="20"/>
              </w:rPr>
            </w:pPr>
            <w:r>
              <w:rPr>
                <w:sz w:val="20"/>
              </w:rPr>
              <w:t>22,378,156</w:t>
            </w:r>
          </w:p>
        </w:tc>
        <w:tc>
          <w:tcPr>
            <w:tcW w:w="1842" w:type="dxa"/>
            <w:tcBorders/>
            <w:tcMar>
              <w:top w:w="0" w:type="dxa"/>
              <w:left w:w="0" w:type="dxa"/>
              <w:bottom w:w="0" w:type="dxa"/>
              <w:right w:w="0" w:type="dxa"/>
            </w:tcMar>
            <w:vAlign w:val="center"/>
          </w:tcPr>
          <w:p>
            <w:pPr>
              <w:pStyle w:val="TableContents"/>
              <w:bidi w:val="0"/>
              <w:spacing w:before="0" w:after="283"/>
              <w:jc w:val="right"/>
              <w:rPr>
                <w:sz w:val="20"/>
              </w:rPr>
            </w:pPr>
            <w:r>
              <w:rPr>
                <w:sz w:val="20"/>
              </w:rPr>
              <w:t>18.74%</w:t>
            </w:r>
          </w:p>
        </w:tc>
      </w:tr>
      <w:tr>
        <w:trPr/>
        <w:tc>
          <w:tcPr>
            <w:tcW w:w="1580" w:type="dxa"/>
            <w:tcBorders>
              <w:bottom w:val="single" w:sz="4"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West Virginia Direct Lending LLC (9)</w:t>
            </w:r>
          </w:p>
        </w:tc>
        <w:tc>
          <w:tcPr>
            <w:tcW w:w="1730"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1,319,555</w:t>
            </w:r>
          </w:p>
        </w:tc>
        <w:tc>
          <w:tcPr>
            <w:tcW w:w="1839"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sz w:val="20"/>
              </w:rPr>
            </w:pPr>
            <w:r>
              <w:rPr>
                <w:sz w:val="20"/>
              </w:rPr>
              <w:t>1.10%</w:t>
            </w:r>
          </w:p>
        </w:tc>
        <w:tc>
          <w:tcPr>
            <w:tcW w:w="1500"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242,016</w:t>
            </w:r>
          </w:p>
        </w:tc>
        <w:tc>
          <w:tcPr>
            <w:tcW w:w="1714"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pPr>
            <w:r>
              <w:rPr/>
              <w:t> </w:t>
            </w:r>
            <w:r>
              <w:rPr>
                <w:sz w:val="20"/>
              </w:rPr>
              <w:t>1,077,539</w:t>
            </w:r>
          </w:p>
        </w:tc>
        <w:tc>
          <w:tcPr>
            <w:tcW w:w="1842" w:type="dxa"/>
            <w:tcBorders>
              <w:bottom w:val="single" w:sz="4" w:space="0" w:color="000000"/>
            </w:tcBorders>
            <w:tcMar>
              <w:top w:w="0" w:type="dxa"/>
              <w:left w:w="0" w:type="dxa"/>
              <w:bottom w:w="28" w:type="dxa"/>
              <w:right w:w="0" w:type="dxa"/>
            </w:tcMar>
            <w:vAlign w:val="center"/>
          </w:tcPr>
          <w:p>
            <w:pPr>
              <w:pStyle w:val="TableContents"/>
              <w:bidi w:val="0"/>
              <w:spacing w:before="0" w:after="283"/>
              <w:jc w:val="righ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28" w:type="dxa"/>
          <w:left w:w="0" w:type="dxa"/>
          <w:bottom w:w="0" w:type="dxa"/>
          <w:right w:w="0" w:type="dxa"/>
        </w:tblCellMar>
      </w:tblPr>
      <w:tblGrid>
        <w:gridCol w:w="650"/>
        <w:gridCol w:w="1220"/>
        <w:gridCol w:w="875"/>
        <w:gridCol w:w="1100"/>
        <w:gridCol w:w="1340"/>
        <w:gridCol w:w="890"/>
      </w:tblGrid>
      <w:tr>
        <w:trPr/>
        <w:tc>
          <w:tcPr>
            <w:tcW w:w="650" w:type="dxa"/>
            <w:tcBorders>
              <w:top w:val="single" w:sz="8" w:space="0" w:color="000000"/>
            </w:tcBorders>
            <w:vAlign w:val="center"/>
          </w:tcPr>
          <w:p>
            <w:pPr>
              <w:pStyle w:val="TableContents"/>
              <w:bidi w:val="0"/>
              <w:spacing w:before="0" w:after="283"/>
              <w:jc w:val="left"/>
              <w:rPr/>
            </w:pPr>
            <w:r>
              <w:rPr/>
              <w:t>Total</w:t>
            </w:r>
          </w:p>
        </w:tc>
        <w:tc>
          <w:tcPr>
            <w:tcW w:w="1220" w:type="dxa"/>
            <w:tcBorders>
              <w:top w:val="single" w:sz="8" w:space="0" w:color="000000"/>
            </w:tcBorders>
            <w:vAlign w:val="center"/>
          </w:tcPr>
          <w:p>
            <w:pPr>
              <w:pStyle w:val="TableContents"/>
              <w:bidi w:val="0"/>
              <w:spacing w:before="0" w:after="283"/>
              <w:jc w:val="right"/>
              <w:rPr/>
            </w:pPr>
            <w:r>
              <w:rPr/>
              <w:t>50,855,304</w:t>
            </w:r>
          </w:p>
        </w:tc>
        <w:tc>
          <w:tcPr>
            <w:tcW w:w="875" w:type="dxa"/>
            <w:tcBorders>
              <w:top w:val="single" w:sz="8" w:space="0" w:color="000000"/>
            </w:tcBorders>
            <w:vAlign w:val="center"/>
          </w:tcPr>
          <w:p>
            <w:pPr>
              <w:pStyle w:val="TableContents"/>
              <w:bidi w:val="0"/>
              <w:spacing w:before="0" w:after="283"/>
              <w:jc w:val="right"/>
              <w:rPr/>
            </w:pPr>
            <w:r>
              <w:rPr/>
              <w:t>42.58%</w:t>
            </w:r>
          </w:p>
        </w:tc>
        <w:tc>
          <w:tcPr>
            <w:tcW w:w="1100" w:type="dxa"/>
            <w:tcBorders>
              <w:top w:val="single" w:sz="8" w:space="0" w:color="000000"/>
            </w:tcBorders>
            <w:vAlign w:val="center"/>
          </w:tcPr>
          <w:p>
            <w:pPr>
              <w:pStyle w:val="TableContents"/>
              <w:bidi w:val="0"/>
              <w:spacing w:before="0" w:after="283"/>
              <w:jc w:val="right"/>
              <w:rPr/>
            </w:pPr>
            <w:r>
              <w:rPr/>
              <w:t>6,834,308</w:t>
            </w:r>
          </w:p>
        </w:tc>
        <w:tc>
          <w:tcPr>
            <w:tcW w:w="1340" w:type="dxa"/>
            <w:tcBorders>
              <w:top w:val="single" w:sz="8" w:space="0" w:color="000000"/>
            </w:tcBorders>
            <w:vAlign w:val="center"/>
          </w:tcPr>
          <w:p>
            <w:pPr>
              <w:pStyle w:val="TableContents"/>
              <w:bidi w:val="0"/>
              <w:spacing w:before="0" w:after="283"/>
              <w:jc w:val="right"/>
              <w:rPr/>
            </w:pPr>
            <w:r>
              <w:rPr/>
              <w:t>  </w:t>
            </w:r>
            <w:r>
              <w:rPr/>
              <w:t>44,020,996</w:t>
            </w:r>
          </w:p>
        </w:tc>
        <w:tc>
          <w:tcPr>
            <w:tcW w:w="890" w:type="dxa"/>
            <w:tcBorders>
              <w:top w:val="single" w:sz="8" w:space="0" w:color="000000"/>
            </w:tcBorders>
            <w:vAlign w:val="center"/>
          </w:tcPr>
          <w:p>
            <w:pPr>
              <w:pStyle w:val="TableContents"/>
              <w:bidi w:val="0"/>
              <w:spacing w:before="0" w:after="283"/>
              <w:jc w:val="right"/>
              <w:rPr/>
            </w:pPr>
            <w:r>
              <w:rPr/>
              <w:t>36.86%</w:t>
            </w:r>
          </w:p>
        </w:tc>
      </w:tr>
    </w:tbl>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issuable to the Selling Stockholders upon exercise of outstanding June 2025 Warrants, December 2025 Warrants, Warrants and July 2026 Penny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283"/>
              <w:jc w:val="left"/>
              <w:rPr>
                <w:shd w:fill="FFFFFF" w:val="clear"/>
              </w:rPr>
            </w:pPr>
            <w:r>
              <w:rPr>
                <w:shd w:fill="FFFFFF" w:val="clear"/>
              </w:rPr>
              <w:t>First Trust Alternative Opportunities Fund (“FTAOF”) is the direct holder of the Warrants pursuant to which the shares reported may be issued, which includes (a) 460,960 shares of common stock under a Super Premium Warrant issued by the Company to FTAOF on May 18, 2026 which Super Premium Warrant is exercisable on November 19, 2026, expires on May 18, 2033 and has an exercise price of $1.50 per share of common stock, subject to certain adjustments, (b) 329,257 shares of common stock under a Premium Warrant issued by the Company to FTAOF on May 18, 2026 which Premium Warrant is exercisable on November 19, 2026, expires on May 18, 2033 and has an exercise price of $1.25 per share of common stock, subject to certain adjustments, (c) 263,406 shares of common stock under Penny Warrants issued by the Company to FTAOF on December 15, 2025, (d) 1,079,246 shares of common stock under the December 2025 Warrants issued by the Company to FTAOF, (e) 3,611,854 shares of common stock under the June 2025 Warrants issued by the Company to FTAOF pursuant to the Financing Agreement and (f) 277,336 shares of common stock under the July 2026 Penny Warrants issued by the Company to FTAOF pursuant to the Financing Agreement. First Trust Capital Management, LP (“FTCM”) is the investment advisor to FTAOF. Michael Peck, CEO of FTCM, Thomas Reckley, President of FTCM and Chad Eisenberg, COO of FTCM share voting and dispositive power over the 5,744,723 shares of common stock issuable upon exercise of the June 2025 Warrants, the December 2025 Warrants and the Warrants held by FTAOF. The address of FTAOF is 235 West Galena Street, Milwaukee, WI 53201. FTAOF acts as lender in principal amount of $21.3 million to the Company pursuant to the Financing Agreement. The foregoing reference to the Financing Agreement does not purport to be complete and is subject to, and qualified in its entirety by reference to the Financing Agreement, including Amendment No. 1, Amendment No. 2 and Amendment No. 3 thereto, each of which is attached as an exhibit 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283"/>
              <w:jc w:val="left"/>
              <w:rPr>
                <w:shd w:fill="FFFFFF" w:val="clear"/>
              </w:rPr>
            </w:pPr>
            <w:r>
              <w:rPr>
                <w:shd w:fill="FFFFFF" w:val="clear"/>
              </w:rPr>
              <w:t>First Trust Private Credit Fund (“FTPCF”) is the direct holder of the Warrants pursuant to which the shares reported may be issued, which includes (a) 74,750 shares of common stock under a Super Premium Warrant issued by the Company to FTPCF on May 18, 2026 which Super Premium Warrant is exercisable on November 19, 2026, expires on May 18, 2033 and has an exercise price of $1.50 per share of common stock, subject to certain adjustments, (b) 53,393 shares of common stock under a Premium Warrant issued by the Company to FTPCF on May 18, 2026 which Premium Warrant is exercisable on November 19, 2026, expires on May 18, 2033 and has an exercise price of $1.25 per share of common stock, subject to certain adjustments, (c) 42,714 shares of common stock under Penny Warrants issued by the Company to FTPCF on May 18, 2026, (d) 175,013 shares of common stock under the December 2025 Warrants issued by the Company to FTPCF, (e) 585,706 shares of common stock under the June 2025 Warrants issued by the Company to FTPCF pursuant to the Financing Agreement and (f) 1,710,238 shares of common stock under the July 2026 Penny Warrants issued by the Company to FTPCF pursuant to the Financing Agreement. First Trust Capital Management, LP (“FTCM”) is the investment advisor to FTPCF. Michael Peck, CEO of FTCM, Thomas Reckley, President of FTCM and Chad Eisenberg, COO of FTCM share voting and dispositive power over the 931,576 shares of common stock issuable upon exercise of the June 2025 Warrants, the December 2025 Warrants and the Warrants held by FTPCF. The address of FTPCF is 235 West Galena Street, Milwaukee, WI 53201. FTPCF acts as lender in principal amount of $3.5 million to the Company pursuant to the Financing Agreement. The foregoing reference to the Financing Agreement does not purport to be complete and is subject to, and qualified in its entirety by reference to the Financing Agreement, Amendment No. 1, Amendment No. 2 and Amendment No. 3 thereto, each of which is attached as an exhibit 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First Trust Enhanced Private Credit Fund (“FTEPCF”) is the direct holder of the Warrants pursuant to which the shares reported may be issued, which includes (a) 62,292 shares of common stock under a Super Premium Warrant issued by the Company to FTEPCF on May 18, 2026 which Super Premium Warrant is exercisable on November 19, 2026, expires on May 18, 2033 and has an exercise price of $1.50 per share of common stock, subject to certain adjustments, (b) 44,494 shares of common stock under a Premium Warrant issued by the Company to FTEPCF on May 18, 2026 which Premium Warrant is exercisable on November 19, 2026, expires on May 18, 2033 and has an exercise price of $1.25 per share of common stock, subject to certain adjustments, (c) 35,595 shares of common stock under Penny Warrants issued by the Company to FTEPCF on May 18, 2026, (d) 145,844 shares of common stock under the </w:t>
            </w:r>
            <w:r>
              <w:rPr>
                <w:rFonts w:ascii="Times New Roman;Times;Serif" w:hAnsi="Times New Roman;Times;Serif"/>
                <w:b w:val="false"/>
                <w:i w:val="false"/>
                <w:caps w:val="false"/>
                <w:smallCaps w:val="false"/>
                <w:sz w:val="20"/>
              </w:rPr>
              <w:t xml:space="preserve">December 2025 Warrants </w:t>
            </w:r>
            <w:r>
              <w:rPr>
                <w:rFonts w:ascii="Times New Roman;Times;Serif" w:hAnsi="Times New Roman;Times;Serif"/>
                <w:b w:val="false"/>
                <w:i w:val="false"/>
                <w:caps w:val="false"/>
                <w:smallCaps w:val="false"/>
                <w:sz w:val="20"/>
                <w:shd w:fill="FFFFFF" w:val="clear"/>
              </w:rPr>
              <w:t xml:space="preserve">issued by the Company to FTEPCF, (e) 488,088 shares of common stock under the </w:t>
            </w:r>
            <w:r>
              <w:rPr>
                <w:rFonts w:ascii="Times New Roman;Times;Serif" w:hAnsi="Times New Roman;Times;Serif"/>
                <w:b w:val="false"/>
                <w:i w:val="false"/>
                <w:caps w:val="false"/>
                <w:smallCaps w:val="false"/>
                <w:sz w:val="20"/>
              </w:rPr>
              <w:t xml:space="preserve">June 2025 Warrants </w:t>
            </w:r>
            <w:r>
              <w:rPr>
                <w:rFonts w:ascii="Times New Roman;Times;Serif" w:hAnsi="Times New Roman;Times;Serif"/>
                <w:b w:val="false"/>
                <w:i w:val="false"/>
                <w:caps w:val="false"/>
                <w:smallCaps w:val="false"/>
                <w:sz w:val="20"/>
                <w:shd w:fill="FFFFFF" w:val="clear"/>
              </w:rPr>
              <w:t xml:space="preserve">issued by the Company to FTEPCF pursuant to the Financing Agreement and (f) 231,113 shares of common stock under the July 2026 Penny Warrants issued by the Company to FTEPCF pursuant to the Financing Agreement. First Trust Capital Management First Trust Capital Management, LP (“FTCM”) is the investment advisor to FTEPCF. Michael Peck, CEO of FTCM, Thomas Reckley, President of FTCM and Chad Eisenberg, COO of FTCM share voting and dispositive power over the </w:t>
            </w:r>
            <w:r>
              <w:rPr>
                <w:rFonts w:ascii="Times New Roman;Times;Serif" w:hAnsi="Times New Roman;Times;Serif"/>
                <w:b w:val="false"/>
                <w:i w:val="false"/>
                <w:caps w:val="false"/>
                <w:smallCaps w:val="false"/>
                <w:sz w:val="20"/>
              </w:rPr>
              <w:t xml:space="preserve">776,313 </w:t>
            </w:r>
            <w:r>
              <w:rPr>
                <w:rFonts w:ascii="Times New Roman;Times;Serif" w:hAnsi="Times New Roman;Times;Serif"/>
                <w:b w:val="false"/>
                <w:i w:val="false"/>
                <w:caps w:val="false"/>
                <w:smallCaps w:val="false"/>
                <w:sz w:val="20"/>
                <w:shd w:fill="FFFFFF" w:val="clear"/>
              </w:rPr>
              <w:t xml:space="preserve">shares of common stock issuable upon exercise of the June 2025 Warrants, the December 2025 Warrants and the Warrants held by FTEPCF. The address of FTEPCF is 235 West Galena Street, Milwaukee, WI 53201. FTEPCF acts as lender in principal amount of $2.9 million to the Company pursuant to the Financing Agreement. The foregoing reference to the Financing Agreement does not purport to be complete and is subject to, and qualified in its entirety by </w:t>
            </w:r>
            <w:r>
              <w:rPr>
                <w:rFonts w:ascii="Times New Roman;Times;Serif" w:hAnsi="Times New Roman;Times;Serif"/>
                <w:b w:val="false"/>
                <w:i w:val="false"/>
                <w:caps w:val="false"/>
                <w:smallCaps w:val="false"/>
                <w:sz w:val="20"/>
              </w:rPr>
              <w:t xml:space="preserve">reference to the Financing Agreement, including Amendment No. 1, Amendment No. 2 and Amendment No. 3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left"/>
              <w:rPr>
                <w:shd w:fill="FFFFFF" w:val="clear"/>
              </w:rPr>
            </w:pPr>
            <w:r>
              <w:rPr>
                <w:shd w:fill="FFFFFF" w:val="clear"/>
              </w:rPr>
              <w:t>Asilia Credit Fund, LP (“Asilia”) is the direct holder of the Warrants pursuant to which the shares reported may be issued, which includes (a) 398,668 shares of common stock under a Super Premium Warrant issued by the Company to Asilia on May 18, 2026 which Super Premium Warrant is exercisable on November 19, 2026, expires on May 18, 2033 and has an exercise price of $1.50 per share of common stock, subject to certain adjustments, (b) 284,763 shares of common stock under a Premium Warrant issued by the Company to Asilia on May 18, 2026 which Premium Warrant is exercisable on November 19, 2026, expires on May 18, 2033 and has an exercise price of $1.25 per share of common stock, subject to certain adjustments, (c) 227,810 shares of common stock under Penny Warrants issued by the Company to Asilia on May 18, 2026, (d) 933,402 shares of common stock under the December 2025 Warrants issued by the Company to Asilia, (e) 3,123,765 shares of common stock under the June 2025 Warrants issued by the Company to Asilia pursuant to the Financing Agreement and (f) 1,479,125 shares of common stock under the July 2026 Penny Warrants issued by the Company to Asilia pursuant to the Financing Agreement. Asilia is managed by K. Austin Read and Jonathan S. Gardner. K. Austin Read and Jonathan S. Gardner share voting and dispositive power over the 4,968,408 shares of common stock issuable upon exercise of the June 2025 Warrants, the December 2025 Warrants and the Warrants held by Asilia. The address of Asilia is 2250 S West Temple St, Salt Lake City, UT 84115. Asilia acts as lender in principal amount of $18.4 million to the Company pursuant to the Financing Agreement. The foregoing reference to the Financing Agreement does not purport to be complete and is subject to, and qualified in its entirety by reference to the Financing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Amendment No. 1, Amendment No. 2 and Amendment No. 3 thereto, </w:t>
      </w:r>
      <w:r>
        <w:rPr>
          <w:rFonts w:ascii="Times New Roman;Times;Serif" w:hAnsi="Times New Roman;Times;Serif"/>
          <w:b w:val="false"/>
          <w:i w:val="false"/>
          <w:caps w:val="false"/>
          <w:smallCaps w:val="false"/>
          <w:sz w:val="20"/>
          <w:shd w:fill="FFFFFF" w:val="clear"/>
        </w:rPr>
        <w:t xml:space="preserve">each of which is attached </w:t>
      </w:r>
      <w:r>
        <w:rPr>
          <w:rFonts w:ascii="Times New Roman;Times;Serif" w:hAnsi="Times New Roman;Times;Serif"/>
          <w:b w:val="false"/>
          <w:i w:val="false"/>
          <w:caps w:val="false"/>
          <w:smallCaps w:val="false"/>
          <w:sz w:val="20"/>
        </w:rPr>
        <w:t>as an exhibit to the registration statement of which this prospectus forms a part.</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283"/>
              <w:jc w:val="left"/>
              <w:rPr/>
            </w:pPr>
            <w:r>
              <w:rPr>
                <w:shd w:fill="FFFFFF" w:val="clear"/>
              </w:rPr>
              <w:t xml:space="preserve">Walnut Capital Fund I, LP (“Walnut”) is the direct holder of the Warrants pursuant to which the shares reported may be issued, which includes (a) 99,667 shares of common stock under a Super Premium Warrant issued by the Company to Walnut on May 18, 2026 which Super Premium Warrant is exercisable on November 19, 2026, expires on May 18, 2033 and has an exercise price of $1.50 per share of common stock, subject to certain adjustments, (b) 71,191 shares of common stock under a Premium Warrant issued by the Company to Walnut on May 18, 2026 which Premium Warrant is exercisable on November 19, 2026, expires on May 18, 2033 and has an exercise price of $1.25 per share of common stock, subject to certain adjustments, (c) 56,953 shares of common stock under Penny Warrants issued by the Company to Walnut on May 18, 2026, (d) 233,351 shares of common stock under the </w:t>
            </w:r>
            <w:r>
              <w:rPr/>
              <w:t xml:space="preserve">December 2025 Warrants </w:t>
            </w:r>
            <w:r>
              <w:rPr>
                <w:shd w:fill="FFFFFF" w:val="clear"/>
              </w:rPr>
              <w:t xml:space="preserve">issued by the Company to Walnut and (e) 780,841 shares of common stock under the </w:t>
            </w:r>
            <w:r>
              <w:rPr/>
              <w:t xml:space="preserve">June 2025 Warrants </w:t>
            </w:r>
            <w:r>
              <w:rPr>
                <w:shd w:fill="FFFFFF" w:val="clear"/>
              </w:rPr>
              <w:t xml:space="preserve">issued by the Company to Walnut pursuant to the Financing Agreement. Walnut is managed by Michael S. Chang. Michael S. Chang holds sole voting and dispositive power over the 1,242,103 shares of common stock issuable upon exercise of the June 2025 Warrants, the December 2025 Warrants and the Warrants held by Walnut. The address of Walnut is 453 S Spring St., Ste 400, Los Angeles, CA, 90013. Walnut acts as lender in principal amount of $4.6 million to the Company pursuant to the Financing Agreement. The foregoing reference to the Financing Agreement does not purport to be complete and is subject to, and qualified in its entirety by </w:t>
            </w:r>
            <w:r>
              <w:rPr/>
              <w:t xml:space="preserve">reference to the Financing Agreement, including Amendment No. 1, Amendment No. 2 and Amendment No. 3 thereto, </w:t>
            </w:r>
            <w:r>
              <w:rPr>
                <w:shd w:fill="FFFFFF" w:val="clear"/>
              </w:rPr>
              <w:t xml:space="preserve">each of which is attached </w:t>
            </w:r>
            <w:r>
              <w:rPr/>
              <w:t>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(7)</w:t>
            </w:r>
          </w:p>
        </w:tc>
        <w:tc>
          <w:tcPr>
            <w:tcW w:w="9950" w:type="dxa"/>
            <w:tcBorders/>
            <w:vAlign w:val="center"/>
          </w:tcPr>
          <w:p>
            <w:pPr>
              <w:pStyle w:val="TableContents"/>
              <w:bidi w:val="0"/>
              <w:spacing w:before="0" w:after="283"/>
              <w:jc w:val="left"/>
              <w:rPr>
                <w:shd w:fill="FFFFFF" w:val="clear"/>
              </w:rPr>
            </w:pPr>
            <w:r>
              <w:rPr>
                <w:shd w:fill="FFFFFF" w:val="clear"/>
              </w:rPr>
              <w:t>Nationwide Mutual Insurance Company (“Nationwide”) is the direct holder of the Warrants pursuant to which the shares reported may be issued, which includes (a) 373,751 shares of common stock under a Super Premium Warrant issued by the Company to Nationwide on May 18, 2026 which Super Premium Warrant is exercisable on November 19, 2026, expires on May 18, 2033 and has an exercise price of $1.50 per share of common stock, subject to certain adjustments, (b) 266,965 shares of common stock under a Premium Warrant issued by the Company to Nationwide on May 18, 2026 which Premium Warrant is exercisable on November 19, 2026, expires on May 18, 2033 and has an exercise price of $1.25 per share of common stock, subject to certain adjustments, (c) 213,572 shares of common stock under Penny Warrants issued by the Company to Nationwide on May 18, 2026, (d) 875,065 shares of common stock under the December 2025 Warrants issued by the Company to Nationwide, (e) 2,928,530 shares of common stock under the June 2025 Warrants issued by the Company to Nationwide pursuant to the Financing Agreement and (f) 1,906,684 shares of common stock under the July 2026 Penny Warrants issued by the Company to Nationwide pursuant to the Financing Agreement. The Chief Investment Officer of Nationwide and his authorized delegates each have voting and dispositive power over 4,657,883 shares of common stock issuable upon exercise of the June 2025 Warrants, the December 2025 Warrants and the Warrants held by Nationwide. The address of Nationwide is One Nationwide Plaza, Columbus, Ohio 43215. Nationwide acts as lender in principal amount of $17.3 million to the Company pursuant to the Financing Agreement. The foregoing reference to the Financing Agreement does not purport to be complete and is subject to, and qualified in its entirety by reference to the Financing Agreement, including Amendment No. 1, Amendment No. 2 and Amendment No. 3 thereto, each of which is attached 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(8)</w:t>
            </w:r>
          </w:p>
        </w:tc>
        <w:tc>
          <w:tcPr>
            <w:tcW w:w="9951" w:type="dxa"/>
            <w:tcBorders/>
            <w:vAlign w:val="center"/>
          </w:tcPr>
          <w:p>
            <w:pPr>
              <w:pStyle w:val="TableContents"/>
              <w:bidi w:val="0"/>
              <w:spacing w:before="0" w:after="283"/>
              <w:jc w:val="left"/>
              <w:rPr>
                <w:shd w:fill="FFFFFF" w:val="clear"/>
              </w:rPr>
            </w:pPr>
            <w:r>
              <w:rPr>
                <w:shd w:fill="FFFFFF" w:val="clear"/>
              </w:rPr>
              <w:t>TCW Rescue Financing Fund II LP (“TCW Rescue Financing”) is the direct holder of the Warrants pursuant to which the shares reported may be issued, which includes (a) 1,414,040 shares of common stock under a Super Premium Warrant issued by the Company to TCW Rescue Financing on May 18, 2026 which Super Premium Warrant is exercisable on November 19, 2026, expires on May 18, 2033 and has an exercise price of $1.50 per share of common stock, subject to certain adjustments, (b) 1,010,028 shares of common stock under a Premium Warrant issued by the Company to TCW Rescue Financing on May 18, 2026 which Premium Warrant is exercisable on November 19, 2026, expires on May 18, 2033 and has an exercise price of $1.25 per share of common stock, subject to certain adjustments, (c) 808,023 shares of common stock under Penny Warrants issued by the Company to TCW Rescue Financing, (d) 3,310,694 shares of common stock under the December 2025 Warrants issued by the Company to TCW Rescue Financing, (e) 11,079,719 shares of common stock under the June 2025 Warrants issued by the Company to TCW Rescue Financing pursuant to the Financing Agreement and (f) 7,987,743 shares of common stock under the July 2026 Penny Warrants issued by the Company to TCW Rescue Financing pursuant to the Financing Agreement.  TCW Rescue Financing is an indirect subsidiary of The TCW Group, Inc. (“TCW Group”). TCW Group and its direct and indirect subsidiaries collectively constitute The TCW Group, Inc. business unit (the “TCW Business Unit”). The TCW Business Unit is primarily engaged in the provision of investment management services. The TCW Business Unit is managed separately and operated independently. The TCW Business Unit has shared voting and dispositive power over 18,942,059 shares of common stock, which includes the shares described in this footnote and in footnote 9 below. The address of TCW Rescue Financing, TCW Group and the TCW Business Unit is 515 South Flower Street, Los Angeles, CA 90071. Affiliates of TCW Group act as collateral agent and lenders in principal amount of $120 million to the Company pursuant to the Financing Agreement. In addition, TCW Asset Management Company LLC (“TCW Asset Management”), an affiliate of TCW Group, is party to the Governance Agreement, dated as of June 6, 2025 (the “Governance Agreement”), pursuant to which TCW Asset Management has the right to appoint one director of the Company. Each agreement referenced above is qualified in its entirety by reference to the Financing Agreement, including Amendment No. 1, Amendment No. 2 and Amendment No. 3 thereto, and Governance Agreement, each of which is attached as an exhibit to the registration statement of which this prospectus forms a part.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left"/>
              <w:rPr/>
            </w:pPr>
            <w:r>
              <w:rPr>
                <w:shd w:fill="FFFFFF" w:val="clear"/>
              </w:rPr>
              <w:t xml:space="preserve">West Virginia Direct Lending LLC (“WV Direct Lending”) is the direct holder of the Warrants pursuant to which the shares reported may be issued, which includes (a) 105,882 shares of common stock under a Super Premium Warrant issued by the Company to WV Direct Lending on May 18, 2026 which Super Premium Warrant is exercisable on November 19, 2026, expires on May 18, 2033 and has an exercise price of $1.50 per share of common stock, subject to certain adjustments, (b) 75,630 shares of common stock under a Premium Warrant issued by the Company to WV Direct Lending on May 18, 2026 which Premium Warrant is exercisable on November 19, 2026, expires on May 18, 2033 and has an exercise price of $1.25 per share of common stock, subject to certain adjustments, (c) 60,504 shares of common stock under Penny Warrants issued by the Company to WV Direct Lending, (d) 247,901 shares of common stock under the </w:t>
            </w:r>
            <w:r>
              <w:rPr/>
              <w:t xml:space="preserve">December 2025 Warrants </w:t>
            </w:r>
            <w:r>
              <w:rPr>
                <w:shd w:fill="FFFFFF" w:val="clear"/>
              </w:rPr>
              <w:t xml:space="preserve">issued by the Company to WV Direct Lending and (e) 829,638 shares of common stock under the </w:t>
            </w:r>
            <w:r>
              <w:rPr/>
              <w:t xml:space="preserve">June 2025 Warrants </w:t>
            </w:r>
            <w:r>
              <w:rPr>
                <w:shd w:fill="FFFFFF" w:val="clear"/>
              </w:rPr>
              <w:t>issued by the Company to WV Direct Lending pursuant to the Financing Agreement. WV Direct Lending’s sole investment advisor is an indirect subsidiary of TCW Group. TCW Group and its direct and indirect subsidiaries collectively constitute the TCW Business Unit. The TCW Business Unit has shared voting and dispositive power over 18,942,059 shares of common stock, which includes the shares described in this footnote and in footnote 8 above. The address of TCW Direct Lending is 515 South Flower Street, Los Angeles, CA 90071. Affiliates of TCW Group act as collateral agent and lenders in principal amount of $120 million to the Company pursuant to the Financing Agreement. In addition, TCW Asset Management, an affiliate of TCW Group, is party to the Governance Agreement, pursuant to which TCW Asset Management has the right to appoint one director of the Company. Each agreement referenced above is qualified in 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entirety by reference to Financing Agreement, including Amendment No. 1, Amendment No. 2 and Amendment No. 3 thereto, </w:t>
      </w:r>
      <w:r>
        <w:rPr>
          <w:rFonts w:ascii="Times New Roman;Times;Serif" w:hAnsi="Times New Roman;Times;Serif"/>
          <w:b w:val="false"/>
          <w:i w:val="false"/>
          <w:caps w:val="false"/>
          <w:smallCaps w:val="false"/>
          <w:sz w:val="20"/>
          <w:shd w:fill="FFFFFF" w:val="clear"/>
        </w:rPr>
        <w:t xml:space="preserve">and Governance Agreement, each of which is attached </w:t>
      </w:r>
      <w:r>
        <w:rPr>
          <w:rFonts w:ascii="Times New Roman;Times;Serif" w:hAnsi="Times New Roman;Times;Serif"/>
          <w:b w:val="false"/>
          <w:i w:val="false"/>
          <w:caps w:val="false"/>
          <w:smallCaps w:val="false"/>
          <w:sz w:val="20"/>
        </w:rPr>
        <w:t xml:space="preserve">as an exhibit </w:t>
      </w:r>
      <w:r>
        <w:rPr>
          <w:rFonts w:ascii="Times New Roman;Times;Serif" w:hAnsi="Times New Roman;Times;Serif"/>
          <w:b w:val="false"/>
          <w:i w:val="false"/>
          <w:caps w:val="false"/>
          <w:smallCaps w:val="false"/>
          <w:sz w:val="20"/>
          <w:shd w:fill="FFFFFF" w:val="clear"/>
        </w:rPr>
        <w:t>to the registration statement of which this prospectus forms a part</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the Selling Stockholders as a gift, pledge, partnership or other distribution or other transfer, may, from time to time, sell, transfer or otherwise dispose of any or all of their shares of common stock or interests in shares of common stock covered hereby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the shares or interests therein: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left"/>
              <w:rPr/>
            </w:pPr>
            <w:r>
              <w:rPr/>
              <w:t>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left"/>
              <w:rPr/>
            </w:pPr>
            <w:r>
              <w:rPr/>
              <w:t>in transactions otherwise than on these exchanges or systems or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772"/>
        <w:gridCol w:w="9199"/>
      </w:tblGrid>
      <w:tr>
        <w:trPr/>
        <w:tc>
          <w:tcPr>
            <w:tcW w:w="23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rFonts w:ascii="Symbol" w:hAnsi="Symbol"/>
              </w:rPr>
            </w:pPr>
            <w:r>
              <w:rPr>
                <w:rFonts w:ascii="Symbol" w:hAnsi="Symbol"/>
              </w:rPr>
              <w:t>·</w:t>
            </w:r>
          </w:p>
        </w:tc>
        <w:tc>
          <w:tcPr>
            <w:tcW w:w="9199" w:type="dxa"/>
            <w:tcBorders/>
            <w:vAlign w:val="center"/>
          </w:tcPr>
          <w:p>
            <w:pPr>
              <w:pStyle w:val="TableContents"/>
              <w:bidi w:val="0"/>
              <w:spacing w:before="0" w:after="283"/>
              <w:jc w:val="left"/>
              <w:rPr/>
            </w:pPr>
            <w:r>
              <w:rPr/>
              <w:t>through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through one or more underwriters in a public offering on a firm commitment or best-efforts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settlement of short sales (including short sales “against the box”), in each case subject to compliance with the Securities Act and other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broker-dealers may agree with the Selling Stockholders to sell a specified number of such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rPr>
            </w:pPr>
            <w:r>
              <w:rPr>
                <w:rFonts w:ascii="Symbol" w:hAnsi="Symbol"/>
              </w:rPr>
              <w:t>·</w:t>
            </w:r>
          </w:p>
        </w:tc>
        <w:tc>
          <w:tcPr>
            <w:tcW w:w="9973" w:type="dxa"/>
            <w:tcBorders/>
            <w:vAlign w:val="center"/>
          </w:tcPr>
          <w:p>
            <w:pPr>
              <w:pStyle w:val="TableContents"/>
              <w:bidi w:val="0"/>
              <w:spacing w:before="0" w:after="283"/>
              <w:jc w:val="left"/>
              <w:rPr/>
            </w:pPr>
            <w:r>
              <w:rPr/>
              <w:t>in other ways not involving market makers or established trading markets;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by pledge to secure debts and other obligations;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a combination of any such methods of sale;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shares under Rule 144 under the Securities Act, if available, rather than under this prospectus, provided that they meet the criteria and conform to the requirements of these provisions.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 Selling Stockholders default in the performance of their secured obligations, the pledgees or secured parties may offer and sell the shares of common stock, from time to time, under this prospectus, or under an amendment to this prospectus under Rule 424 or other applicable provision of the Securities Act amending the list of Selling Stockholders to include the pledgee, transferee or other successor-in-interest as a Selling Stockholder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or other disposition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or other disposition of the common stock covered by this prospectus will be the price at which the shares of common stock are sold or otherwise disposed of, less discounts or commissions, if any. The Selling Stockholders reserve the right to accept and, together with their agents from time to time, to reject, in whole or in part, any proposed purchase of common stock to be made directly or through agents. We will not receive any of the proceeds from this offering. However, we will receive proceeds from the exercise of the Warrants if they are exercised for cash by a holder thereof.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are involved in selling the common stock or interests therein may be deemed to be “underwriters” within the meaning of Section 2(a)(11) of the Securities Act. In such event, any commissions received by such broker-dealers or agents and any profit on the resale of the shares purchased by them may be deemed to be underwriting commissions or discounts under the Securities Act. The maximum amount of any compensation to be received by any Financial Industry Regulatory Authority member will not be greater than an amount that is considered fair and reasonable for the sale of any securities being registered. The Selling Stockholders have informed us that they do not as of the date hereof have any agreement or understanding, directly or indirectly, with any person to distribute the common stock. If a Selling Stockholder is deemed to be an “underwriter” within the meaning of the Securities Act, it will be subject to the prospectus delivery requirements of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shares of our common stock may be sold in these jurisdictions only through registered or licensed brokers or dealers. In addition, in some states shares of our common stock may not be sold unless they have been registered or qualified for sale or an exemption from registration or qualification requirements is available and is complied with.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other person participating in such distribution will be subject to applicable provisions under the Exchange Act and the rules and regulations thereunder, including, without limitation, Regulation M of the Exchange Act, which may limit the timing of purchases and sales of any of the shares of common stock by the Selling Stockholders and any other participating person.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 relation to the registration of the shares offered by this prospectus and certain liabilities under the Securities Act or any other similar federal or state securities laws.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agreed to pay the applicable filing fee with respect to the registration of these shares and any subsequent shelf registration, and pay our own direct costs, including the professional fees of our own counsel and independent registered accountants. The Selling Stockholders shall bear the cost of their own counsel, other advisors and any broker or other intermediary involved in any resale, including all applicable underwriting discounts and commissions, brokers’ commissions and stock transfer taxes, if any, on the shares sold by the Selling Stockholders in any such resale.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have agreed to use commercially reasonable efforts to keep the registration statement of which this prospectus is a part </w:t>
      </w:r>
      <w:r>
        <w:rPr>
          <w:rFonts w:ascii="Times New Roman;Times;Serif" w:hAnsi="Times New Roman;Times;Serif"/>
          <w:b w:val="false"/>
          <w:i w:val="false"/>
          <w:caps w:val="false"/>
          <w:smallCaps w:val="false"/>
          <w:sz w:val="20"/>
        </w:rPr>
        <w:t xml:space="preserve">continuously </w:t>
      </w:r>
      <w:r>
        <w:rPr>
          <w:rFonts w:ascii="Times New Roman;Times;Serif" w:hAnsi="Times New Roman;Times;Serif"/>
          <w:b w:val="false"/>
          <w:i w:val="false"/>
          <w:caps w:val="false"/>
          <w:smallCaps w:val="false"/>
          <w:sz w:val="20"/>
          <w:shd w:fill="FFFFFF" w:val="clear"/>
        </w:rPr>
        <w:t xml:space="preserve">effective, supplemented and amended as required by the Securities Act, in order to permit this prospectus to be usable by the Selling Stockholders for a period from the date the registration statement becomes effective to, and including, the date upon which all registrable securities have been sold and no longer subject to restrictions on transfer or the securities no longer constitute registrable securities (whichever is earlier).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is a part, the shares of common stock will be freely tradable in the hands of persons other than our 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Davis </w:t>
      </w:r>
      <w:r>
        <w:rPr>
          <w:rFonts w:ascii="Times New Roman;Times;Serif" w:hAnsi="Times New Roman;Times;Serif"/>
          <w:b w:val="false"/>
          <w:i w:val="false"/>
          <w:caps w:val="false"/>
          <w:smallCaps w:val="false"/>
          <w:sz w:val="20"/>
          <w:shd w:fill="FFFFFF" w:val="clear"/>
        </w:rPr>
        <w:t>Polk &amp; Wardwell LLP, Redwood City, California will pass upon the validity of the shares of common stock offered by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 website that contains reports, proxy and information statements and other information about issuers, including Accuray Incorporated, who file electronically with the SEC. The address of that website is http://www.sec.gov.</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 filings are also available on our website:</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Except for documents filed with the SEC and incorporated by reference into this prospectus, no information contained in, or that can be accessed through, our website is to be considered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Information Incorporated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Annual Report on Form 10-K for the year ended June 30, 2026, filed with the SEC on </w:t>
            </w:r>
            <w:hyperlink r:id="rId2">
              <w:r>
                <w:rPr>
                  <w:rStyle w:val="InternetLink"/>
                </w:rPr>
                <w:t>August 27, 2026</w:t>
              </w:r>
            </w:hyperlink>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 xml:space="preserve">our Current Reports on Form 8-K filed with the SEC on </w:t>
            </w:r>
            <w:hyperlink r:id="rId3">
              <w:r>
                <w:rPr>
                  <w:rStyle w:val="InternetLink"/>
                  <w:color w:val="000080"/>
                </w:rPr>
                <w:t>July 29, 2026</w:t>
              </w:r>
            </w:hyperlink>
            <w:r>
              <w:rPr>
                <w:color w:val="000000"/>
              </w:rPr>
              <w:t xml:space="preserve"> and </w:t>
            </w:r>
            <w:hyperlink r:id="rId4">
              <w:r>
                <w:rPr>
                  <w:rStyle w:val="InternetLink"/>
                  <w:color w:val="000080"/>
                </w:rPr>
                <w:t>August 6, 2026</w:t>
              </w:r>
            </w:hyperlink>
            <w:r>
              <w:rPr>
                <w:color w:val="000000"/>
              </w:rPr>
              <w:t>, to the extent the information in such reports is filed and not furnished;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the description of our common stock contained in our Registration Statement on Form 8-A filed with the Commission on </w:t>
            </w:r>
            <w:hyperlink r:id="rId5">
              <w:r>
                <w:rPr>
                  <w:rStyle w:val="InternetLink"/>
                </w:rPr>
                <w:t>February 7, 2007</w:t>
              </w:r>
            </w:hyperlink>
            <w:r>
              <w:rPr/>
              <w:t>, including any subsequently filed amendments and reports updating that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future reports and other documents (other than the Current Reports on Form 8-K or portions thereof that are “furnished” under Item 2.02 or Item 7.01 of Form 8-K)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file with the SEC pursuant to Sections 13(a), 13(c), 14 or 15(d) of the Exchange Act (i) after the date of the initial filing of the registration statement of which this prospectus forms a part and prior to effectiveness of the registration statement, and (ii) on and after the date of this prospectus but prior to the termination or completion of the offering of shares of common stock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by reference in this prospectus shall be deemed to be modified or superseded for purposes of this prospectus to the extent that a statement contained in this prospectus or in any other subsequently filed document that is also incorporated by reference in this prospectus modifies or supersedes such statement. Any statement so modified or superseded shall not be deemed, except as so modified or superseded, to constitute a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 this prospectus, including exhibits to these documents. You should direct any requests for documents to Accuray Incorporated, 1240 Deming Way, Madison, WI 53717.</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also may access these filings on our website at </w:t>
      </w:r>
      <w:r>
        <w:rPr>
          <w:rFonts w:ascii="Times New Roman;Times;Serif" w:hAnsi="Times New Roman;Times;Serif"/>
          <w:b w:val="false"/>
          <w:i/>
          <w:caps w:val="false"/>
          <w:smallCaps w:val="false"/>
          <w:sz w:val="20"/>
        </w:rPr>
        <w:t>www.accuray.com</w:t>
      </w:r>
      <w:r>
        <w:rPr>
          <w:rFonts w:ascii="Times New Roman;Times;Serif" w:hAnsi="Times New Roman;Times;Serif"/>
          <w:b w:val="false"/>
          <w:i w:val="false"/>
          <w:caps w:val="false"/>
          <w:smallCaps w:val="false"/>
          <w:sz w:val="20"/>
        </w:rPr>
        <w:t>.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6,834,308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Accuray Incorporated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38723/000143774926029098/aray20260630_10k.htm" TargetMode="External"/><Relationship Id="rId3" Type="http://schemas.openxmlformats.org/officeDocument/2006/relationships/hyperlink" Target="https://www.sec.gov/ix?doc=/Archives/edgar/data/1138723/000143774926024904/aray20260729_8k.htm" TargetMode="External"/><Relationship Id="rId4" Type="http://schemas.openxmlformats.org/officeDocument/2006/relationships/hyperlink" Target="https://www.sec.gov/ix?doc=/Archives/edgar/data/0001138723/000143774926026250/aray20260805_8k.htm" TargetMode="External"/><Relationship Id="rId5" Type="http://schemas.openxmlformats.org/officeDocument/2006/relationships/hyperlink" Target="https://www.sec.gov/Archives/edgar/data/1138723/000110465907007766/a07-3619_18a12b.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11252</Words>
  <Characters>59222</Characters>
  <CharactersWithSpaces>70406</CharactersWithSpaces>
  <Paragraphs>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