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360" w:right="1620" w:hanging="4352"/>
        <w:spacing w:after="0" w:line="490" w:lineRule="auto"/>
        <w:tabs>
          <w:tab w:leader="none" w:pos="45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60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Commission File Number: 001-33301</w:t>
            </w:r>
          </w:p>
        </w:tc>
        <w:tc>
          <w:tcPr>
            <w:tcW w:w="1480" w:type="dxa"/>
            <w:vAlign w:val="bottom"/>
          </w:tcPr>
          <w:p>
            <w:pPr>
              <w:spacing w:after="0"/>
              <w:rPr>
                <w:sz w:val="20"/>
                <w:szCs w:val="20"/>
                <w:color w:val="auto"/>
              </w:rPr>
            </w:pPr>
          </w:p>
        </w:tc>
      </w:tr>
      <w:tr>
        <w:trPr>
          <w:trHeight w:val="270"/>
        </w:trPr>
        <w:tc>
          <w:tcPr>
            <w:tcW w:w="258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457"/>
        </w:trPr>
        <w:tc>
          <w:tcPr>
            <w:tcW w:w="2580" w:type="dxa"/>
            <w:vAlign w:val="bottom"/>
          </w:tcPr>
          <w:p>
            <w:pPr>
              <w:spacing w:after="0"/>
              <w:rPr>
                <w:sz w:val="24"/>
                <w:szCs w:val="24"/>
                <w:color w:val="auto"/>
              </w:rPr>
            </w:pPr>
          </w:p>
        </w:tc>
        <w:tc>
          <w:tcPr>
            <w:tcW w:w="34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ACCURAY INCORPORATED</w:t>
            </w:r>
          </w:p>
        </w:tc>
        <w:tc>
          <w:tcPr>
            <w:tcW w:w="1480" w:type="dxa"/>
            <w:vAlign w:val="bottom"/>
          </w:tcPr>
          <w:p>
            <w:pPr>
              <w:spacing w:after="0"/>
              <w:rPr>
                <w:sz w:val="24"/>
                <w:szCs w:val="24"/>
                <w:color w:val="auto"/>
              </w:rPr>
            </w:pPr>
          </w:p>
        </w:tc>
      </w:tr>
      <w:tr>
        <w:trPr>
          <w:trHeight w:val="238"/>
        </w:trPr>
        <w:tc>
          <w:tcPr>
            <w:tcW w:w="602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80" w:type="dxa"/>
            <w:vAlign w:val="bottom"/>
          </w:tcPr>
          <w:p>
            <w:pPr>
              <w:spacing w:after="0"/>
              <w:rPr>
                <w:sz w:val="20"/>
                <w:szCs w:val="20"/>
                <w:color w:val="auto"/>
              </w:rPr>
            </w:pPr>
          </w:p>
        </w:tc>
      </w:tr>
      <w:tr>
        <w:trPr>
          <w:trHeight w:val="54"/>
        </w:trPr>
        <w:tc>
          <w:tcPr>
            <w:tcW w:w="258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457"/>
        </w:trPr>
        <w:tc>
          <w:tcPr>
            <w:tcW w:w="6020" w:type="dxa"/>
            <w:vAlign w:val="bottom"/>
            <w:gridSpan w:val="3"/>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216"/>
        </w:trPr>
        <w:tc>
          <w:tcPr>
            <w:tcW w:w="6020" w:type="dxa"/>
            <w:vAlign w:val="bottom"/>
            <w:gridSpan w:val="3"/>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6020" w:type="dxa"/>
            <w:vAlign w:val="bottom"/>
            <w:gridSpan w:val="3"/>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(608) 824-2800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33"/>
        </w:trPr>
        <w:tc>
          <w:tcPr>
            <w:tcW w:w="3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09"/>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60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ind w:right="51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600" w:type="dxa"/>
            <w:vAlign w:val="bottom"/>
            <w:tcBorders>
              <w:bottom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jc w:val="center"/>
              <w:ind w:right="510"/>
              <w:spacing w:after="0" w:line="193" w:lineRule="exact"/>
              <w:rPr>
                <w:sz w:val="20"/>
                <w:szCs w:val="20"/>
                <w:color w:val="auto"/>
              </w:rPr>
            </w:pPr>
            <w:r>
              <w:rPr>
                <w:rFonts w:ascii="Times New Roman" w:cs="Times New Roman" w:eastAsia="Times New Roman" w:hAnsi="Times New Roman"/>
                <w:sz w:val="18"/>
                <w:szCs w:val="18"/>
                <w:color w:val="auto"/>
                <w:w w:val="94"/>
              </w:rPr>
              <w:t>ARAY</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60" w:firstLine="23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ind w:right="80" w:firstLine="23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200" w:firstLine="23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April 30, 2026, there were 118,963,696 shares of the Registrant’s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38"/>
        </w:trPr>
        <w:tc>
          <w:tcPr>
            <w:tcW w:w="8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40" w:type="dxa"/>
            <w:vAlign w:val="bottom"/>
            <w:gridSpan w:val="9"/>
          </w:tcPr>
          <w:p>
            <w:pPr>
              <w:ind w:left="1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42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Financial Statements</w:t>
            </w:r>
          </w:p>
        </w:tc>
        <w:tc>
          <w:tcPr>
            <w:tcW w:w="5520" w:type="dxa"/>
            <w:vAlign w:val="bottom"/>
            <w:gridSpan w:val="8"/>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March 31, 2026 and June 30, 2025</w:t>
            </w:r>
          </w:p>
        </w:tc>
        <w:tc>
          <w:tcPr>
            <w:tcW w:w="3000" w:type="dxa"/>
            <w:vAlign w:val="bottom"/>
            <w:gridSpan w:val="4"/>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nine months ended March</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31, 2026 and 2025</w:t>
            </w:r>
          </w:p>
        </w:tc>
        <w:tc>
          <w:tcPr>
            <w:tcW w:w="6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Stockholders’ Equity for the three and nine months ended March 31, 2026 and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March 31, 2026 and 2025</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3540" w:type="dxa"/>
            <w:vAlign w:val="bottom"/>
            <w:gridSpan w:val="3"/>
          </w:tcPr>
          <w:p>
            <w:pPr>
              <w:spacing w:after="0"/>
              <w:rPr>
                <w:sz w:val="24"/>
                <w:szCs w:val="24"/>
                <w:color w:val="auto"/>
              </w:rPr>
            </w:pPr>
          </w:p>
        </w:tc>
        <w:tc>
          <w:tcPr>
            <w:tcW w:w="1340" w:type="dxa"/>
            <w:vAlign w:val="bottom"/>
            <w:gridSpan w:val="3"/>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32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45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90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44</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83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32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3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88</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90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52" w:lineRule="exact"/>
        <w:rPr>
          <w:sz w:val="20"/>
          <w:szCs w:val="20"/>
          <w:color w:val="auto"/>
        </w:rPr>
      </w:pPr>
    </w:p>
    <w:p>
      <w:pPr>
        <w:ind w:right="200" w:firstLine="234"/>
        <w:spacing w:after="0" w:line="219" w:lineRule="exact"/>
        <w:rPr>
          <w:sz w:val="20"/>
          <w:szCs w:val="20"/>
          <w:color w:val="auto"/>
        </w:rPr>
      </w:pPr>
      <w:r>
        <w:rPr>
          <w:rFonts w:ascii="Times New Roman" w:cs="Times New Roman" w:eastAsia="Times New Roman" w:hAnsi="Times New Roman"/>
          <w:sz w:val="18"/>
          <w:szCs w:val="18"/>
          <w:color w:val="auto"/>
        </w:rPr>
        <w:t>We own or have rights to various trademarks and tradenames used in our business in the United States or other countries, including the following: Accuray®, Accuray Logo®, CyberKnife®, Hi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RoboCouch®, Synchrony®, TomoTherapy®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Xsight®, Accuray Precision®, AutoSegmentation™, CTrue™, H™ Series, iDMS®, InCise™, Iris™, CyberKnife M6™ Series, Accuray OIS Connect™, PreciseART®, PreciseRTX®, Treatment Planning System™, TomoDirect™, TomoEDGE™, TomoH®, TomoHD®, TomoHDA™, TomoHelical™, TomoTherapy Quality Assurance™, Radixact®, Onrad ™, S7™, Accuray Helix™, CyberComm™, AEX®, ClearRT®, XChange®, and VoLO™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and par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38,067</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57,416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$916 and $369 as of March 31, 2026, and June 30, 2025,</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 (a)</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141,020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5"/>
                <w:szCs w:val="15"/>
                <w:color w:val="auto"/>
              </w:rPr>
              <w:t xml:space="preserve">Prepaid expenses and other current assets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33,501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cost of revenue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293,216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317,465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33,115</w:t>
            </w: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57,802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447,602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52,805</w:t>
            </w:r>
          </w:p>
        </w:tc>
        <w:tc>
          <w:tcPr>
            <w:tcW w:w="200" w:type="dxa"/>
            <w:vAlign w:val="bottom"/>
          </w:tcPr>
          <w:p>
            <w:pPr>
              <w:spacing w:after="0"/>
              <w:rPr>
                <w:sz w:val="17"/>
                <w:szCs w:val="17"/>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34,033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advances</w:t>
            </w:r>
          </w:p>
        </w:tc>
        <w:tc>
          <w:tcPr>
            <w:tcW w:w="14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82,306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debt,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205,844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192,579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26,566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405,895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389,070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authorized: 200,000,000 shares as of March 31, 2026, and June 30, 2025,</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 issued and outstanding: 118,926,732 and 112,643,852 shares as of March 31, 2026, and June 30, 2025,</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602,165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(2,671)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(566,525)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(519,272)</w:t>
            </w: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447,602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receivable from the joint venture, an equity method investment, of $9,102 and $28,452 as of March 31, 2026, and June 30, 2025, respectively. See Note 12.</w:t>
      </w:r>
    </w:p>
    <w:p>
      <w:pPr>
        <w:spacing w:after="0" w:line="27" w:lineRule="exact"/>
        <w:rPr>
          <w:rFonts w:ascii="Times New Roman" w:cs="Times New Roman" w:eastAsia="Times New Roman" w:hAnsi="Times New Roman"/>
          <w:sz w:val="14"/>
          <w:szCs w:val="14"/>
          <w:color w:val="auto"/>
        </w:rPr>
      </w:pPr>
    </w:p>
    <w:p>
      <w:pPr>
        <w:ind w:left="340" w:hanging="332"/>
        <w:spacing w:after="0" w:line="197" w:lineRule="auto"/>
        <w:tabs>
          <w:tab w:leader="none" w:pos="34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other receivables from the joint venture, an equity method investment, of $299 and $377 as of March 31, 2026, and June 30, 2025, respectively.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262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760" w:type="dxa"/>
            <w:vAlign w:val="bottom"/>
            <w:gridSpan w:val="9"/>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 and Comprehensive Loss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080" w:type="dxa"/>
            <w:vAlign w:val="bottom"/>
            <w:gridSpan w:val="5"/>
          </w:tcPr>
          <w:p>
            <w:pPr>
              <w:jc w:val="center"/>
              <w:ind w:left="253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2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Products </w:t>
            </w:r>
            <w:r>
              <w:rPr>
                <w:rFonts w:ascii="Times New Roman" w:cs="Times New Roman" w:eastAsia="Times New Roman" w:hAnsi="Times New Roman"/>
                <w:sz w:val="25"/>
                <w:szCs w:val="25"/>
                <w:color w:val="auto"/>
                <w:vertAlign w:val="superscript"/>
              </w:rPr>
              <w:t>(a)</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49,714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131,880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166,878</w:t>
            </w:r>
          </w:p>
        </w:tc>
      </w:tr>
      <w:tr>
        <w:trPr>
          <w:trHeight w:val="216"/>
        </w:trPr>
        <w:tc>
          <w:tcPr>
            <w:tcW w:w="47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5"/>
                <w:szCs w:val="25"/>
                <w:color w:val="auto"/>
                <w:vertAlign w:val="superscript"/>
              </w:rPr>
              <w:t>(b)</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55,131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55,923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169,148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164,084</w:t>
            </w:r>
          </w:p>
        </w:tc>
      </w:tr>
      <w:tr>
        <w:trPr>
          <w:trHeight w:val="20"/>
        </w:trPr>
        <w:tc>
          <w:tcPr>
            <w:tcW w:w="12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104,845</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113,243</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301,028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330,962</w:t>
            </w: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products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38,829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44,301</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104,402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111,315</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40,722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111,659</w:t>
            </w:r>
          </w:p>
        </w:tc>
      </w:tr>
      <w:tr>
        <w:trPr>
          <w:trHeight w:val="20"/>
        </w:trPr>
        <w:tc>
          <w:tcPr>
            <w:tcW w:w="12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4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 xml:space="preserve">Total cost of revenue </w:t>
            </w:r>
            <w:r>
              <w:rPr>
                <w:rFonts w:ascii="Times New Roman" w:cs="Times New Roman" w:eastAsia="Times New Roman" w:hAnsi="Times New Roman"/>
                <w:sz w:val="24"/>
                <w:szCs w:val="24"/>
                <w:color w:val="auto"/>
                <w:vertAlign w:val="superscript"/>
              </w:rPr>
              <w:t>(c)</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79,551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81,616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224,651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222,974</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25,294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31,627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107,988</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5"/>
                <w:szCs w:val="25"/>
                <w:color w:val="auto"/>
                <w:vertAlign w:val="superscript"/>
              </w:rPr>
              <w:t>(d)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36,472</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31,906</w:t>
            </w: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11,225</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10,758</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33,886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36,005</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34,381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30,580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108,343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104,383</w:t>
            </w:r>
          </w:p>
        </w:tc>
      </w:tr>
      <w:tr>
        <w:trPr>
          <w:trHeight w:val="20"/>
        </w:trPr>
        <w:tc>
          <w:tcPr>
            <w:tcW w:w="12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(9,087)</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(8,446)</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(24,207)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(8,728)</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2,429</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(45,741)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(11,805)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(47,253)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in computing net loss per share:</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124,304</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102,825</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121,396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101,462</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(47,253)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(2,714)</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from cash flow hedges, net of reclassifications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r>
      <w:tr>
        <w:trPr>
          <w:trHeight w:val="20"/>
        </w:trPr>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(13,088)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(48,087)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340" w:right="160" w:hanging="332"/>
        <w:spacing w:after="0" w:line="233"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of $11,083 and $32,716 during the three and nine months ended March 31, 2026, and $17,967 and $76,333 during the three and nine months ended March 31, 2025, respectively. See Note 12.</w:t>
      </w:r>
    </w:p>
    <w:p>
      <w:pPr>
        <w:ind w:left="340" w:right="340" w:hanging="332"/>
        <w:spacing w:after="0" w:line="22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of $6,358 and $16,795 during the three and nine months ended March 31, 2026, and $5,351 and $14,588 during the three and nine months ended March 31, 2025, respectively. See Note 12.</w:t>
      </w:r>
    </w:p>
    <w:p>
      <w:pPr>
        <w:ind w:left="340" w:right="80" w:hanging="332"/>
        <w:spacing w:after="0" w:line="22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revenue from sales to the joint venture of $10,315 and $29,895 during the three and nine months ended March 31, 2026, and $17,411 and $53,303 during the three and nine months ended March 31, 2025, respectively. See Note 12.</w:t>
      </w:r>
    </w:p>
    <w:p>
      <w:pPr>
        <w:ind w:left="340" w:right="300" w:hanging="332"/>
        <w:spacing w:after="0" w:line="239"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 backs to the joint venture related to research and development of $299 and $1,025 during the three and nine months ended March 31, 2026, and $373 and $1,105 during the three and nine months ended March 31, 2025,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7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602,165</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81,169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(21,678)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from cash flow hedges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604,680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(540,950)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Tax withholding upon vesting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 with debt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from cash flow hedges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609,409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(554,720)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53,420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 upon vesting of restricted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from cash flow hedges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610,784</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(566,525)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7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566,887</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(517,681)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45,084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100,435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569,240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(521,635)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45,223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Tax withholding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102,809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572,287</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(519,098)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47,891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102,851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575,032</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(520,395)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49,583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6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(47,253)</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(2,714)</w:t>
            </w: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5,917</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4,775</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financing costs and discount for warrants issued to lenders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5,849</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paid-in-kind</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7,076</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(7,198)</w:t>
            </w:r>
          </w:p>
        </w:tc>
        <w:tc>
          <w:tcPr>
            <w:tcW w:w="9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from credit losses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602</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write-down of inventories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2,129</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Asset impairments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2,375</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394</w:t>
            </w:r>
          </w:p>
        </w:tc>
        <w:tc>
          <w:tcPr>
            <w:tcW w:w="9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from equity method investment</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(1,318)</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(3,829)</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(recognized) deferred gross profit on sales to the JV</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deferred income taxes, net</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13,999</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14,743</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(20,612)</w:t>
            </w: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(14,607)</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(3,847)</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cost of revenue</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1,742</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20,218</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(5,232)</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net of operating lease right-of-use assets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778</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accrued liabilities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1,695</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Customer advances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(610)</w:t>
            </w: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(1,966)</w:t>
            </w:r>
          </w:p>
        </w:tc>
      </w:tr>
      <w:tr>
        <w:trPr>
          <w:trHeight w:val="203"/>
        </w:trPr>
        <w:tc>
          <w:tcPr>
            <w:tcW w:w="6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1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(9,408)</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140" w:type="dxa"/>
            <w:vAlign w:val="bottom"/>
          </w:tcPr>
          <w:p>
            <w:pPr>
              <w:spacing w:after="0"/>
              <w:rPr>
                <w:sz w:val="17"/>
                <w:szCs w:val="17"/>
                <w:color w:val="auto"/>
              </w:rPr>
            </w:pP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(5,400)</w:t>
            </w: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(2,952)</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costs for software to be sold</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(5,526)</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(2,169)</w:t>
            </w:r>
          </w:p>
        </w:tc>
      </w:tr>
      <w:tr>
        <w:trPr>
          <w:trHeight w:val="20"/>
        </w:trPr>
        <w:tc>
          <w:tcPr>
            <w:tcW w:w="6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(10,926)</w:t>
            </w: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(5,121)</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issuance of common stock to employees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516</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Debt financing costs paid</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(887)</w:t>
            </w: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Paydown under Term Loan Facility</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(1,225)</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(6,000)</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12,000</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40" w:type="dxa"/>
            <w:vAlign w:val="bottom"/>
          </w:tcPr>
          <w:p>
            <w:pPr>
              <w:spacing w:after="0"/>
              <w:rPr>
                <w:sz w:val="17"/>
                <w:szCs w:val="17"/>
                <w:color w:val="auto"/>
              </w:rPr>
            </w:pP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(7,000)</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196"/>
        </w:trPr>
        <w:tc>
          <w:tcPr>
            <w:tcW w:w="6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40" w:type="dxa"/>
            <w:vAlign w:val="bottom"/>
            <w:tcBorders>
              <w:top w:val="single" w:sz="8" w:color="CCEEFF"/>
            </w:tcBorders>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(710)</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40" w:type="dxa"/>
            <w:vAlign w:val="bottom"/>
            <w:shd w:val="clear" w:color="auto" w:fill="CCEEFF"/>
          </w:tcPr>
          <w:p>
            <w:pPr>
              <w:spacing w:after="0"/>
              <w:rPr>
                <w:sz w:val="17"/>
                <w:szCs w:val="17"/>
                <w:color w:val="auto"/>
              </w:rPr>
            </w:pPr>
          </w:p>
        </w:tc>
      </w:tr>
      <w:tr>
        <w:trPr>
          <w:trHeight w:val="20"/>
        </w:trPr>
        <w:tc>
          <w:tcPr>
            <w:tcW w:w="6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(17,691)</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140" w:type="dxa"/>
            <w:vAlign w:val="bottom"/>
          </w:tcPr>
          <w:p>
            <w:pPr>
              <w:spacing w:after="0"/>
              <w:rPr>
                <w:sz w:val="17"/>
                <w:szCs w:val="17"/>
                <w:color w:val="auto"/>
              </w:rPr>
            </w:pPr>
          </w:p>
        </w:tc>
      </w:tr>
      <w:tr>
        <w:trPr>
          <w:trHeight w:val="20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62,134</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70,392</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44,443</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80,244</w:t>
            </w:r>
          </w:p>
        </w:tc>
        <w:tc>
          <w:tcPr>
            <w:tcW w:w="14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w:t>
            </w:r>
          </w:p>
        </w:tc>
        <w:tc>
          <w:tcPr>
            <w:tcW w:w="1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Unpaid purchase of property and equipment at end of period</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370</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Unpaid capitalized software costs to be sold at end of period</w:t>
            </w:r>
          </w:p>
        </w:tc>
        <w:tc>
          <w:tcPr>
            <w:tcW w:w="208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warrants issued with debt</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5,471</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 inventory to property and equipment, net</w:t>
            </w:r>
          </w:p>
        </w:tc>
        <w:tc>
          <w:tcPr>
            <w:tcW w:w="208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1,642</w:t>
            </w:r>
          </w:p>
        </w:tc>
        <w:tc>
          <w:tcPr>
            <w:tcW w:w="9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Transfers (to) from inventory (from) to other assets</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(1,218)</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of lease liabilities to leasehold improvements</w:t>
            </w:r>
          </w:p>
        </w:tc>
        <w:tc>
          <w:tcPr>
            <w:tcW w:w="208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40" w:type="dxa"/>
            <w:vAlign w:val="bottom"/>
            <w:shd w:val="clear" w:color="auto" w:fill="CCEEFF"/>
          </w:tcPr>
          <w:p>
            <w:pPr>
              <w:spacing w:after="0"/>
              <w:rPr>
                <w:sz w:val="17"/>
                <w:szCs w:val="17"/>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Transfer of other assets to property and equipment</w:t>
            </w:r>
          </w:p>
        </w:tc>
        <w:tc>
          <w:tcPr>
            <w:tcW w:w="208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its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160" w:firstLine="234"/>
        <w:spacing w:after="0" w:line="266" w:lineRule="auto"/>
        <w:rPr>
          <w:sz w:val="20"/>
          <w:szCs w:val="20"/>
          <w:color w:val="auto"/>
        </w:rPr>
      </w:pPr>
      <w:r>
        <w:rPr>
          <w:rFonts w:ascii="Times New Roman" w:cs="Times New Roman" w:eastAsia="Times New Roman" w:hAnsi="Times New Roman"/>
          <w:sz w:val="18"/>
          <w:szCs w:val="18"/>
          <w:color w:val="auto"/>
        </w:rPr>
        <w:t>Accuray Incorporated (together with its subsidiaries, the “Company” or “Accuray”) designs, develops and sells advanced radiosurgery and radiation therapy systems for the treatment of tumors throughout the body. The Company is incorporated in Delaware and is headquartered in Madison, Wisconsin. The Company has primary offices in the United States, Switzerland, China, Hong Kong, and Japan, and conducts its business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80" w:firstLine="234"/>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significant intercompany transactions and balances have been eliminated in consolidation.</w:t>
      </w:r>
    </w:p>
    <w:p>
      <w:pPr>
        <w:spacing w:after="0" w:line="162" w:lineRule="exact"/>
        <w:rPr>
          <w:sz w:val="20"/>
          <w:szCs w:val="20"/>
          <w:color w:val="auto"/>
        </w:rPr>
      </w:pPr>
    </w:p>
    <w:p>
      <w:pPr>
        <w:ind w:right="140" w:firstLine="23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and nine months ended March 31, 2026, are not necessarily indicative of the results to be expected for the fiscal year ending June 30, 2026, or for any other future interim period or fiscal year.</w:t>
      </w:r>
    </w:p>
    <w:p>
      <w:pPr>
        <w:spacing w:after="0" w:line="187" w:lineRule="exact"/>
        <w:rPr>
          <w:sz w:val="20"/>
          <w:szCs w:val="20"/>
          <w:color w:val="auto"/>
        </w:rPr>
      </w:pPr>
    </w:p>
    <w:p>
      <w:pPr>
        <w:ind w:firstLine="234"/>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accompanying notes for the fiscal year ended June 30, 2025, included in the Company’s Annual Report on Form 10-K filed with the SEC on August 28, 2025, as amended by the Company’s Annual Report on Form 10-K/A filed with the SEC on February 17,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right="140" w:firstLine="207"/>
        <w:spacing w:after="0" w:line="282" w:lineRule="auto"/>
        <w:rPr>
          <w:sz w:val="20"/>
          <w:szCs w:val="20"/>
          <w:color w:val="auto"/>
        </w:rPr>
      </w:pPr>
      <w:r>
        <w:rPr>
          <w:rFonts w:ascii="Times New Roman" w:cs="Times New Roman" w:eastAsia="Times New Roman" w:hAnsi="Times New Roman"/>
          <w:sz w:val="18"/>
          <w:szCs w:val="18"/>
          <w:color w:val="auto"/>
        </w:rPr>
        <w:t>Certain amounts reported in prior years have been reclassified to conform to the current year's presentation. These reclassifications had no effect on the Company's results of operations, financial position,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the recent escalation in conflict in Iran, the Middle East and Southwest Asia, including the impact on global supply chains and oil prices as well as other geopolitical concerns, such as the Russia-Ukraine conflict, and increasing tension between China and the U.S., including with respect to Taiwan; uncertainty caused by the China anti-corruption campaign and timing of the China stimulus program; changes in government administration policy positions; imposition of tariffs on global imports and uncertainties regarding impact, retaliations and further escalation, including against other countries; and other factors that may emerge. The Company is also continuing to navigate supply chain and inflation challenges, both of which continue to be a significant headwind that affects the Company’s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firstLine="234"/>
        <w:spacing w:after="0" w:line="253" w:lineRule="auto"/>
        <w:rPr>
          <w:sz w:val="20"/>
          <w:szCs w:val="20"/>
          <w:color w:val="auto"/>
        </w:rPr>
      </w:pPr>
      <w:r>
        <w:rPr>
          <w:rFonts w:ascii="Times New Roman" w:cs="Times New Roman" w:eastAsia="Times New Roman" w:hAnsi="Times New Roman"/>
          <w:sz w:val="18"/>
          <w:szCs w:val="18"/>
          <w:color w:val="auto"/>
        </w:rPr>
        <w:t>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 currently expects that gross margins and net income (loss) will continue to be adversely affected by increased material costs and freight and logistics expenses through at least fiscal year 2026. In addition, the Company expects inflation and the ongoing supply chain challenges and logistics costs to impact its cash from operations through at least fiscal year 2026. In addition, reduced budgets and lower capital deployment priority for radiotherapy equipment, along with longer customer installation timelines, in the United States have negatively impacted net revenue since fiscal year 2024, and the Company expects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spacing w:after="0" w:line="192"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On February 2, 2026, the Company received a notice from the Nasdaq Listing Qualifications Department (the “Nasdaq Staff”) of The Nasdaq Stock Market LLC (“Nasdaq”) indicating that, based upon the closing bid price for the last 30 consecutive business days, the Company was no longer in compliance with Nasdaq Listing Rules 5550(a)(2) (the “Bid Price Rule”) which requires listed securities to maintain a minimum bid price of $1 per share. The notification has no immediate effect on the listing of the Company’s common stock, and its common stock will continue to trade on Nasdaq under the symbol “ARAY” at this time. Nasdaq has provided the Company with a 180 calendar days compliance period (the “Compliance Period”), or until August 3, 2026, in which to regain compliance with the Bid Price Rule. In order to regain compliance with Nasdaq’s Bid Price Rule, shares of the Company’s common stock must maintain a closing bid price of at least $1.00 for a minimum of ten consecutive business days during the Compliance Period, unless the Nasdaq Staff exercises its discretion to extend this ten-day period pursuant to Nasdaq Listing Rule 5810(c)(3)(H). The Company is currently evaluating options to regain compliance and intends to timely regain compliance with the Bid Price Rule. Although the Company will use all reasonable efforts to achieve compliance with Rule 5550(a)(2), there can be no assurance that the Company will be able to regain compliance with the Bid Price Rule or will otherwise be in compliance with other Nasdaq continued listing requirements.</w:t>
      </w:r>
    </w:p>
    <w:p>
      <w:pPr>
        <w:spacing w:after="0" w:line="192" w:lineRule="exact"/>
        <w:rPr>
          <w:sz w:val="20"/>
          <w:szCs w:val="20"/>
          <w:color w:val="auto"/>
        </w:rPr>
      </w:pPr>
    </w:p>
    <w:p>
      <w:pPr>
        <w:ind w:right="20" w:firstLine="234"/>
        <w:spacing w:after="0" w:line="255" w:lineRule="auto"/>
        <w:rPr>
          <w:sz w:val="20"/>
          <w:szCs w:val="20"/>
          <w:color w:val="auto"/>
        </w:rPr>
      </w:pPr>
      <w:r>
        <w:rPr>
          <w:rFonts w:ascii="Times New Roman" w:cs="Times New Roman" w:eastAsia="Times New Roman" w:hAnsi="Times New Roman"/>
          <w:sz w:val="18"/>
          <w:szCs w:val="18"/>
          <w:color w:val="auto"/>
        </w:rPr>
        <w:t xml:space="preserve">The Company continues to critically review its liquidity and anticipated capital requirements in light of the significant uncertainty created by geopolitical and macroeconomic conditions. Based on the balance of the Company’s cash and cash equivalents,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that geopolitical and macroeconomic conditions, including their effect on the global supply chain, inflation and foreign currency exchange rates, will have on its ability to maintain compliance with the covenants contained in the Amended Financing Agreement (as defined below and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 including financial covenants regarding the consolidated fixed charge coverage ratio, consolidated leverage ratio and minimum liquidity requirements.</w:t>
      </w:r>
    </w:p>
    <w:p>
      <w:pPr>
        <w:spacing w:after="0" w:line="189"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Failing to comply with the covenants to the Amended Financing Agreement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Financing Agreement will depend in part on its future operating performance. In addition, because substantially all of the Company’s assets are pledged as collateral under the Amended Financing Agreement, if the Company is not able to cure any default or repay outstanding borrowings, such assets are subject to the risk of foreclosure by the Company’s lenders. Failure to satisfy the covenants and other terms governing the Amended Financing Agreement in the future could cause the Company to be in default and the maturity of the related debt could be accelerated and become immediately payable. This may require the Company to obtain waivers or additional amendments to the Amended Financing Agreement in order to maintain compliance and there can be no certainty that any such waiver or amendment will be available, or what the cost of such waiver or amendment, if obtained, would be. If the Company is unable to obtain necessary waivers or amendments and the debt under the Amended Financing Agreement, is accelerated, the Company would be required to obtain replacement financing. There can be no assurance that the Company would be able to obtain replacement financing on acceptable terms, or at all, on a timely basis. There can be no assurance that the Company would be able to satisfy its obligations if any of its indebtedness is extended. There is no guarantee that the Company would be able to satisfy its obligations if any of its indebtedness is accelerated.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firstLine="234"/>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120" w:firstLine="23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during the nine months ended March 31, 2026, compared to the significant accounting policies described in its Annual Report on Form 10-K for the fiscal year ended June 30, 2025, filed with the SEC on August 28, 2025, as amended by the Company’s Annual Report on Form 10-K/A filed with the SEC on February 17,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 Adopted</w:t>
      </w:r>
    </w:p>
    <w:p>
      <w:pPr>
        <w:spacing w:after="0" w:line="227" w:lineRule="exact"/>
        <w:rPr>
          <w:sz w:val="20"/>
          <w:szCs w:val="20"/>
          <w:color w:val="auto"/>
        </w:rPr>
      </w:pPr>
    </w:p>
    <w:p>
      <w:pPr>
        <w:ind w:right="40" w:firstLine="23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transparency and usefulness of income tax disclosures. The accounting standard expands disclosures to the entity’s income tax rate reconciliation table and requires cash taxes paid disaggregated by jurisdiction. This accounting pronouncement became effective for the Company on July 1, 2025 and it will first report the impact of this standard in its Annual Report on Form 10-K for fiscal 2026. The update can be applied on a prospective basis, but retrospective application is permitted. The Company is currently evaluating the standard and determining the extent of additional disclosures that may be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Effective</w:t>
      </w:r>
    </w:p>
    <w:p>
      <w:pPr>
        <w:spacing w:after="0" w:line="227" w:lineRule="exact"/>
        <w:rPr>
          <w:sz w:val="20"/>
          <w:szCs w:val="20"/>
          <w:color w:val="auto"/>
        </w:rPr>
      </w:pPr>
    </w:p>
    <w:p>
      <w:pPr>
        <w:ind w:right="40" w:firstLine="234"/>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 update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update is effective for annual periods beginning after December 15, 2026. The Company plans to adopt ASU 2024-03 on July 1, 2027. The requirements will be applied prospectively with the option for retrospective application. Early adoption is permitted. The Company is currently assessing the impact of adopting the updated provisions.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firstLine="234"/>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Changes in the contract assets and liabilities are as follows (dollars in thousands):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Unbilled accounts receivable – current </w:t>
            </w:r>
            <w:r>
              <w:rPr>
                <w:rFonts w:ascii="Times New Roman" w:cs="Times New Roman" w:eastAsia="Times New Roman" w:hAnsi="Times New Roman"/>
                <w:sz w:val="25"/>
                <w:szCs w:val="25"/>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receivable – current </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Long-term accounts receivable </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receivable – non-current </w:t>
            </w:r>
            <w:r>
              <w:rPr>
                <w:rFonts w:ascii="Times New Roman" w:cs="Times New Roman" w:eastAsia="Times New Roman" w:hAnsi="Times New Roman"/>
                <w:sz w:val="25"/>
                <w:szCs w:val="25"/>
                <w:color w:val="auto"/>
                <w:vertAlign w:val="superscript"/>
              </w:rPr>
              <w:t>(3)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78,944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82,306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26,998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receivable on the unaudited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 expenses and other current assets on the unaudited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unaudited condensed consolidated balance sheets.</w:t>
      </w:r>
    </w:p>
    <w:p>
      <w:pPr>
        <w:spacing w:after="0" w:line="207" w:lineRule="exact"/>
        <w:rPr>
          <w:sz w:val="20"/>
          <w:szCs w:val="20"/>
          <w:color w:val="auto"/>
        </w:rPr>
      </w:pPr>
    </w:p>
    <w:p>
      <w:pPr>
        <w:ind w:right="140" w:firstLine="234"/>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2026, contract assets changed primarily due to changes in the timing of billings that occurred after revenues were recognized and changes in transactions with payment terms exceeding 12 months. During the nine months ended March 31, 2026, contract liabilities changed due to changes in the timing of revenue recognition as a result of changes in shipping timing, modifications to the transaction price, reduced customer deposits for system sales, and for which the warranty was deferred.</w:t>
      </w:r>
    </w:p>
    <w:p>
      <w:pPr>
        <w:spacing w:after="0" w:line="180" w:lineRule="exact"/>
        <w:rPr>
          <w:sz w:val="20"/>
          <w:szCs w:val="20"/>
          <w:color w:val="auto"/>
        </w:rPr>
      </w:pPr>
    </w:p>
    <w:p>
      <w:pPr>
        <w:jc w:val="both"/>
        <w:ind w:right="140" w:firstLine="162"/>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2026, the Company recognized revenue of $11.0 million and $56.3 million respectively, which was included in the deferred revenue balances as of June 30, 2025. During the three and nine months ended March 31, 2025, the Company recognized revenue of $12.3 million and $56.4 million respectively, which was included in the deferred revenue balances as of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60" w:firstLine="23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transaction price allocated to performance obligations that are unsatisfied, or partially unsatisfied. Service contracts that are considered cancellable are generally considered 30 to 60 day contracts and are not included in the remaining performance obligations below.</w:t>
      </w:r>
    </w:p>
    <w:p>
      <w:pPr>
        <w:spacing w:after="0" w:line="176" w:lineRule="exact"/>
        <w:rPr>
          <w:sz w:val="20"/>
          <w:szCs w:val="20"/>
          <w:color w:val="auto"/>
        </w:rPr>
      </w:pPr>
    </w:p>
    <w:p>
      <w:pPr>
        <w:ind w:right="40" w:firstLine="234"/>
        <w:spacing w:after="0" w:line="258" w:lineRule="auto"/>
        <w:rPr>
          <w:sz w:val="20"/>
          <w:szCs w:val="20"/>
          <w:color w:val="auto"/>
        </w:rPr>
      </w:pPr>
      <w:r>
        <w:rPr>
          <w:rFonts w:ascii="Times New Roman" w:cs="Times New Roman" w:eastAsia="Times New Roman" w:hAnsi="Times New Roman"/>
          <w:sz w:val="18"/>
          <w:szCs w:val="18"/>
          <w:color w:val="auto"/>
        </w:rPr>
        <w:t>As of March 31, 2026, total remaining performance obligations amounted to $70.2 million. Of this total amount, $53.6 million is related to performance obligations for warranties, which is the estimated revenue expected to be recognized over the warranty period for systems that have been delivered (the time bands reflect management’s best estimate of the period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spacing w:after="0" w:line="183" w:lineRule="exact"/>
        <w:rPr>
          <w:sz w:val="20"/>
          <w:szCs w:val="20"/>
          <w:color w:val="auto"/>
        </w:rPr>
      </w:pPr>
    </w:p>
    <w:p>
      <w:pPr>
        <w:ind w:right="60" w:firstLine="23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expected revenue recognition based on the remaining performance obligations for warranties as of March 31, 2026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Fiscal years of revenue recognition</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remaining performance obligations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11,345</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r>
    </w:tbl>
    <w:p>
      <w:pPr>
        <w:spacing w:after="0" w:line="198" w:lineRule="exact"/>
        <w:rPr>
          <w:sz w:val="20"/>
          <w:szCs w:val="20"/>
          <w:color w:val="auto"/>
        </w:rPr>
      </w:pPr>
    </w:p>
    <w:p>
      <w:pPr>
        <w:ind w:right="200" w:firstLine="162"/>
        <w:spacing w:after="0" w:line="270" w:lineRule="auto"/>
        <w:rPr>
          <w:sz w:val="20"/>
          <w:szCs w:val="20"/>
          <w:color w:val="auto"/>
        </w:rPr>
      </w:pPr>
      <w:r>
        <w:rPr>
          <w:rFonts w:ascii="Times New Roman" w:cs="Times New Roman" w:eastAsia="Times New Roman" w:hAnsi="Times New Roman"/>
          <w:sz w:val="17"/>
          <w:szCs w:val="17"/>
          <w:color w:val="auto"/>
        </w:rPr>
        <w:t>The Company expects to recognize as revenue the significant majority of the additional $16.6 million of remaining performance obligations, which are primarily related to deferred training and system installations, over the next 12 months. The Company also has open system orders, upgrade sales orders, and customer credits that are excluded from the above remaining performance obligation balances primarily because they do not include substantive termination penalties at order execution and therefore do not meet the definition of a remaining performance obligation in accordance with ASC</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inception date in accordance with Step 1 of ASC 606 for these system and upgrade sales orders has been determined to be shortly before shipment of the system, when the customer becomes obligated to pay the non-refundable contract balance.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Contract Costs</w:t>
      </w:r>
    </w:p>
    <w:p>
      <w:pPr>
        <w:spacing w:after="0" w:line="229" w:lineRule="exact"/>
        <w:rPr>
          <w:sz w:val="20"/>
          <w:szCs w:val="20"/>
          <w:color w:val="auto"/>
        </w:rPr>
      </w:pPr>
    </w:p>
    <w:p>
      <w:pPr>
        <w:ind w:right="120" w:firstLine="234"/>
        <w:spacing w:after="0" w:line="266" w:lineRule="auto"/>
        <w:rPr>
          <w:sz w:val="20"/>
          <w:szCs w:val="20"/>
          <w:color w:val="auto"/>
        </w:rPr>
      </w:pPr>
      <w:r>
        <w:rPr>
          <w:rFonts w:ascii="Times New Roman" w:cs="Times New Roman" w:eastAsia="Times New Roman" w:hAnsi="Times New Roman"/>
          <w:sz w:val="18"/>
          <w:szCs w:val="18"/>
          <w:color w:val="auto"/>
        </w:rPr>
        <w:t>As of March 31, 2026 and June 30, 2025, the balance of capitalized costs to obtain a contract was $5.3 million and $7.3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Amounts related to capitalized costs to obtain a contract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additions (reversals)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8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capitalized costs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sz w:val="20"/>
          <w:szCs w:val="20"/>
          <w:color w:val="auto"/>
        </w:rPr>
      </w:pPr>
    </w:p>
    <w:p>
      <w:pPr>
        <w:ind w:right="40" w:firstLine="234"/>
        <w:spacing w:after="0" w:line="218" w:lineRule="exact"/>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accounts receivable net, and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The Company performs an assessment each quarter of the allowance for credit losses related to its financing receivables.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the Company’s financing receivables is presented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receivables</w:t>
            </w:r>
          </w:p>
        </w:tc>
        <w:tc>
          <w:tcPr>
            <w:tcW w:w="4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4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196"/>
        </w:trPr>
        <w:tc>
          <w:tcPr>
            <w:tcW w:w="37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4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4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8"/>
                <w:szCs w:val="18"/>
                <w:color w:val="auto"/>
              </w:rPr>
            </w:pPr>
          </w:p>
        </w:tc>
      </w:tr>
      <w:tr>
        <w:trPr>
          <w:trHeight w:val="250"/>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w:t>
            </w:r>
          </w:p>
        </w:tc>
        <w:tc>
          <w:tcPr>
            <w:tcW w:w="4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r>
      <w:tr>
        <w:trPr>
          <w:trHeight w:val="629"/>
        </w:trPr>
        <w:tc>
          <w:tcPr>
            <w:tcW w:w="376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20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49,001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141,020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The Company's inventories on the unaudited condensed consolidated balance sheets are net of reserves.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commissions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dues and subscriptions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Duty drawback receivables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costs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receivable from JV</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 xml:space="preserve">Duty drawback receivables are amounts due from U.S. Customs and Border Protection under Section 301 and other customs programs. These amounts represent refunds of duties previously paid and are recorded when recovery is considered probable and estimable. These receivable amounts do not include any future refund related to previously paid tariffs under the International Emergency Economic Powers Act (“IEEPA”) (see Note 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more information). Debt financing costs are related to the delayed draw term loan facility and the short-term financing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revolving credit facility included in the Financing Agreement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w:t>
      </w:r>
    </w:p>
    <w:p>
      <w:pPr>
        <w:sectPr>
          <w:pgSz w:w="11900" w:h="16838" w:orient="portrait"/>
          <w:cols w:equalWidth="0" w:num="1">
            <w:col w:w="11240"/>
          </w:cols>
          <w:pgMar w:left="320" w:top="108"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91"/>
        </w:trPr>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48,967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49,147</w:t>
            </w: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32,491</w:t>
            </w: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11,534</w:t>
            </w: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1,959</w:t>
            </w:r>
          </w:p>
        </w:tc>
      </w:tr>
      <w:tr>
        <w:trPr>
          <w:trHeight w:val="234"/>
        </w:trPr>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4,641</w:t>
            </w:r>
          </w:p>
        </w:tc>
      </w:tr>
      <w:tr>
        <w:trPr>
          <w:trHeight w:val="191"/>
        </w:trPr>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108,009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106,569</w:t>
            </w:r>
          </w:p>
        </w:tc>
        <w:tc>
          <w:tcPr>
            <w:tcW w:w="6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(77,911)</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6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ind w:right="360" w:firstLine="23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$1.7 million and $5.1 million during the three and nine months ended March 31, 2026, and $1.5 million and $4.5 million during the three and nine months ended March 31,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Activity related to goodwill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Currency translation</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120" w:firstLine="234"/>
        <w:spacing w:after="0" w:line="255" w:lineRule="auto"/>
        <w:rPr>
          <w:sz w:val="20"/>
          <w:szCs w:val="20"/>
          <w:color w:val="auto"/>
        </w:rPr>
      </w:pPr>
      <w:r>
        <w:rPr>
          <w:rFonts w:ascii="Times New Roman" w:cs="Times New Roman" w:eastAsia="Times New Roman" w:hAnsi="Times New Roman"/>
          <w:sz w:val="18"/>
          <w:szCs w:val="18"/>
          <w:color w:val="auto"/>
        </w:rPr>
        <w:t>The Company performed its annual goodwill impairment test in the quarter ended December 31, 2025, and determined that there was no impairment to goodwill. The Company determined that a triggering event occurred due to a significant decline in its stock price, most notably in late March 2026, which resulted in a decrease in its market capitalization and as a result, on March 31, 2026, the Company performed a quantitative goodwill impairment test. The fair value of goodwill in the quantitative impairment test was determined using a combination of an income approach, which estimates fair value based upon projections of future revenues, expenses, and cash flows discounted to their respective present values, and a market approach. The quantitative impairment test determined that the fair value of its reporting unit exceeded its respective carrying amount and therefore no goodwill impairment was recorded. The Company monitors its recorded goodwill for indicators of impairment every fiscal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 to be sold, net of accumulated amortization of $818 and $0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costs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20" w:firstLine="234"/>
        <w:spacing w:after="0" w:line="255" w:lineRule="auto"/>
        <w:rPr>
          <w:sz w:val="20"/>
          <w:szCs w:val="20"/>
          <w:color w:val="auto"/>
        </w:rPr>
      </w:pPr>
      <w:r>
        <w:rPr>
          <w:rFonts w:ascii="Times New Roman" w:cs="Times New Roman" w:eastAsia="Times New Roman" w:hAnsi="Times New Roman"/>
          <w:sz w:val="18"/>
          <w:szCs w:val="18"/>
          <w:color w:val="auto"/>
        </w:rPr>
        <w:t xml:space="preserve">Amortization expense for capitalized software costs to be sold was $0.4 million and $0.8 million during the three and nine months ended March 31, 2026, respectively, and there was no amortization expense for capitalized software costs to be sold during the three and nine months ended March 31, 2025, respectively. Amortization expense is recorded in cost of sales in its unaudited condensed consolidated statement of operations and comprehensive loss. There were no amounts written down to net realizable value for the capitalized software costs to be sold during the three and nine months ended March 31, 2026 and 2025. The Company did not identify any triggering events that would indicate a potential impairment of its definite-lived intangible and long-lived assets as of March 31, 2026. Debt financing costs are related to the revolving credit facility included in the Amended Financing Agreement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liabilities</w:t>
            </w:r>
          </w:p>
        </w:tc>
        <w:tc>
          <w:tcPr>
            <w:tcW w:w="2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Refunds due to customers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7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right="20" w:firstLine="234"/>
        <w:spacing w:after="0" w:line="258" w:lineRule="auto"/>
        <w:rPr>
          <w:sz w:val="20"/>
          <w:szCs w:val="20"/>
          <w:color w:val="auto"/>
        </w:rPr>
      </w:pPr>
      <w:r>
        <w:rPr>
          <w:rFonts w:ascii="Times New Roman" w:cs="Times New Roman" w:eastAsia="Times New Roman" w:hAnsi="Times New Roman"/>
          <w:sz w:val="18"/>
          <w:szCs w:val="18"/>
          <w:color w:val="auto"/>
        </w:rPr>
        <w:t>The changes in accumulated other comprehensive loss are excluded from earnings and reported as a component of stockholders’ equity. The unrealized gains or losses on cash flow hedge instruments results from changes in our cash flow hedging arrangements. The cumulative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spacing w:after="0" w:line="183" w:lineRule="exact"/>
        <w:rPr>
          <w:sz w:val="20"/>
          <w:szCs w:val="20"/>
          <w:color w:val="auto"/>
        </w:rPr>
      </w:pPr>
    </w:p>
    <w:p>
      <w:pPr>
        <w:ind w:right="460" w:firstLine="234"/>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loss in the stockholders' equity section of the Company’s unaudited condensed consolidated balance sheets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unrealized gain on cash flow hedge instruments net of reclassifications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obligation</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3,468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paid-in-kind interest</w:t>
            </w:r>
          </w:p>
        </w:tc>
        <w:tc>
          <w:tcPr>
            <w:tcW w:w="24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2,385</w:t>
            </w:r>
          </w:p>
        </w:tc>
        <w:tc>
          <w:tcPr>
            <w:tcW w:w="32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7,076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for financing costs and discount for warrants issued to lenders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670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8,446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income (expense), net, consisted of the following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11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gain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hedging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191"/>
        </w:trPr>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903</w:t>
            </w: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34"/>
        </w:trPr>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2,429</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right="100" w:firstLine="23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August 2035. Certain lease agreements include options to renew or terminate the lease, which are not reasonably certain to be exercised and therefore, are not factored into the determination of lease payments.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6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operating leases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98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Operating lease costs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operating lease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5,952</w:t>
            </w:r>
          </w:p>
        </w:tc>
      </w:tr>
    </w:tbl>
    <w:p>
      <w:pPr>
        <w:spacing w:after="0" w:line="1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Excludes expenses related to short-term lease operating costs.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and operating lease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3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42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33,115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33,773</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assets added</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4,624</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impairments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for the period</w:t>
            </w: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(5,282)</w:t>
            </w:r>
          </w:p>
        </w:tc>
      </w:tr>
      <w:tr>
        <w:trPr>
          <w:trHeight w:val="263"/>
        </w:trPr>
        <w:tc>
          <w:tcPr>
            <w:tcW w:w="4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33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33,115</w:t>
            </w:r>
          </w:p>
        </w:tc>
        <w:tc>
          <w:tcPr>
            <w:tcW w:w="100" w:type="dxa"/>
            <w:vAlign w:val="bottom"/>
            <w:tcBorders>
              <w:bottom w:val="single" w:sz="8" w:color="CCEEFF"/>
            </w:tcBorders>
          </w:tcPr>
          <w:p>
            <w:pPr>
              <w:spacing w:after="0"/>
              <w:rPr>
                <w:sz w:val="22"/>
                <w:szCs w:val="22"/>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42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39,857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38,591</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added</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r>
      <w:tr>
        <w:trPr>
          <w:trHeight w:val="229"/>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and interest accretion</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(4,460)</w:t>
            </w:r>
          </w:p>
        </w:tc>
      </w:tr>
      <w:tr>
        <w:trPr>
          <w:trHeight w:val="223"/>
        </w:trPr>
        <w:tc>
          <w:tcPr>
            <w:tcW w:w="4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6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7,375</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28,989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32,482</w:t>
            </w:r>
          </w:p>
        </w:tc>
      </w:tr>
      <w:tr>
        <w:trPr>
          <w:trHeight w:val="414"/>
        </w:trPr>
        <w:tc>
          <w:tcPr>
            <w:tcW w:w="8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are presented in the table below (dollars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5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5,679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(15,733)</w:t>
            </w:r>
          </w:p>
        </w:tc>
      </w:tr>
      <w:tr>
        <w:trPr>
          <w:trHeight w:val="24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operating leases were as follows: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414"/>
        </w:trPr>
        <w:tc>
          <w:tcPr>
            <w:tcW w:w="4560" w:type="dxa"/>
            <w:vAlign w:val="bottom"/>
          </w:tcPr>
          <w:p>
            <w:pPr>
              <w:spacing w:after="0"/>
              <w:rPr>
                <w:sz w:val="24"/>
                <w:szCs w:val="24"/>
                <w:color w:val="auto"/>
              </w:rPr>
            </w:pPr>
          </w:p>
        </w:tc>
        <w:tc>
          <w:tcPr>
            <w:tcW w:w="336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ind w:right="380" w:firstLine="234"/>
        <w:spacing w:after="0" w:line="266" w:lineRule="auto"/>
        <w:rPr>
          <w:sz w:val="20"/>
          <w:szCs w:val="20"/>
          <w:color w:val="auto"/>
        </w:rPr>
      </w:pPr>
      <w:r>
        <w:rPr>
          <w:rFonts w:ascii="Times New Roman" w:cs="Times New Roman" w:eastAsia="Times New Roman" w:hAnsi="Times New Roman"/>
          <w:sz w:val="18"/>
          <w:szCs w:val="18"/>
          <w:color w:val="auto"/>
        </w:rPr>
        <w:t>The Company measures all derivatives at fair value on the unaudited condensed consolidated balance sheets. The accounting for gains and losses resulting from changes in the fair value of those derivatives depends upon the use of the derivative and whether it qualifies for hedge accounting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376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Designated as Hedges</w:t>
            </w:r>
          </w:p>
        </w:tc>
        <w:tc>
          <w:tcPr>
            <w:tcW w:w="3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and prepaid assets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 derivatives</w:t>
            </w:r>
          </w:p>
        </w:tc>
        <w:tc>
          <w:tcPr>
            <w:tcW w:w="37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 Designated as Hedges</w:t>
            </w:r>
          </w:p>
        </w:tc>
        <w:tc>
          <w:tcPr>
            <w:tcW w:w="3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234"/>
        <w:spacing w:after="0" w:line="282" w:lineRule="auto"/>
        <w:rPr>
          <w:sz w:val="20"/>
          <w:szCs w:val="20"/>
          <w:color w:val="auto"/>
        </w:rPr>
      </w:pPr>
      <w:r>
        <w:rPr>
          <w:rFonts w:ascii="Times New Roman" w:cs="Times New Roman" w:eastAsia="Times New Roman" w:hAnsi="Times New Roman"/>
          <w:sz w:val="18"/>
          <w:szCs w:val="18"/>
          <w:color w:val="auto"/>
        </w:rPr>
        <w:t>As of March 31, 2026, and June 30, 2025, the fair value of the Company's derivatives not designated as hedging instruments were not material. The Company records its derivative financial instruments on a gross basis within the unaudited condensed consolidated balance sheets.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 Hedging Arrangements</w:t>
      </w:r>
    </w:p>
    <w:p>
      <w:pPr>
        <w:spacing w:after="0" w:line="227"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The Company uses foreign currency forward contracts designated as cash flow hedges to manage its exposure to the variability of future cash flows that are denominated in a foreign currency. For derivative instruments designated as cash flow hedges, the derivative’s gain or loss is initially reported as a component of accumulated other comprehensive loss and subsequently reclassified into income in the same period or periods in which the hedged item affects earnings. In order for the Company to receive hedge accounting treatment, the cash flow hedge must be highly effective in offsetting changes in the fair value of the hedged item and the relationship between the hedging instrument and the associated hedged item must be formally documented at the inception of the hedge relationship. Hedge effectiveness is formally assessed, both at hedge inception and on an ongoing basis, to determine whether the derivatives used in hedging transactions are highly effective in offsetting changes in the value of the hedged items and whether they are expected to continue to be highly effective in future periods.</w:t>
      </w:r>
    </w:p>
    <w:p>
      <w:pPr>
        <w:spacing w:after="0" w:line="192"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The Company formally documents relationships between hedging instruments and associated hedged items. This documentation includes: identification of the specific foreign currency asset, liability or forecasted transaction being hedged; the nature of the risk being hedged; the hedge objective; and the method of assessing hedge effectiveness. If an anticipated transaction is deemed no longer likely to occur, the corresponding derivative instrument is de-designated as a hedge and any associated unrealized gains and losses in accumulated other comprehensive loss are recognized in income or expense at that time. Any future changes in the fair value of the instrument are recognized in current income or expense. The Company is required to maintain a minimum cash collateral balance of $2.0 million for its outstanding cash flow hedge derivatives to fund the anticipated settlement of its open positions. As of March 31, 2026, the Company has $2.0 million in cash collateral for its cash flow hedge derivatives recorded in long-term restricted cash on the unaudited condensed consolidated balance sheets.</w:t>
      </w:r>
    </w:p>
    <w:p>
      <w:pPr>
        <w:spacing w:after="0" w:line="192" w:lineRule="exact"/>
        <w:rPr>
          <w:sz w:val="20"/>
          <w:szCs w:val="20"/>
          <w:color w:val="auto"/>
        </w:rPr>
      </w:pPr>
    </w:p>
    <w:p>
      <w:pPr>
        <w:ind w:right="220" w:firstLine="234"/>
        <w:spacing w:after="0" w:line="282" w:lineRule="auto"/>
        <w:rPr>
          <w:sz w:val="20"/>
          <w:szCs w:val="20"/>
          <w:color w:val="auto"/>
        </w:rPr>
      </w:pPr>
      <w:r>
        <w:rPr>
          <w:rFonts w:ascii="Times New Roman" w:cs="Times New Roman" w:eastAsia="Times New Roman" w:hAnsi="Times New Roman"/>
          <w:sz w:val="18"/>
          <w:szCs w:val="18"/>
          <w:color w:val="auto"/>
        </w:rPr>
        <w:t>The notional amount of the Company's foreign currency forward contracts that were entered into to hedge forecasted revenues and designated as cash flow hedges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26,802</w:t>
            </w:r>
          </w:p>
        </w:tc>
        <w:tc>
          <w:tcPr>
            <w:tcW w:w="16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7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234"/>
        <w:spacing w:after="0" w:line="282" w:lineRule="auto"/>
        <w:rPr>
          <w:sz w:val="20"/>
          <w:szCs w:val="20"/>
          <w:color w:val="auto"/>
        </w:rPr>
      </w:pPr>
      <w:r>
        <w:rPr>
          <w:rFonts w:ascii="Times New Roman" w:cs="Times New Roman" w:eastAsia="Times New Roman" w:hAnsi="Times New Roman"/>
          <w:sz w:val="18"/>
          <w:szCs w:val="18"/>
          <w:color w:val="auto"/>
        </w:rPr>
        <w:t>The amount of the gains and losses on derivative instruments designated as cash flow hedges and the classification of those gains and losses within the unaudited condensed consolidated financial statements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Foreign currency exchange contracts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2220" w:type="dxa"/>
            <w:vAlign w:val="bottom"/>
            <w:gridSpan w:val="4"/>
          </w:tcPr>
          <w:p>
            <w:pPr>
              <w:jc w:val="right"/>
              <w:ind w:right="76"/>
              <w:spacing w:after="0" w:line="201"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4"/>
          </w:tcPr>
          <w:p>
            <w:pPr>
              <w:jc w:val="right"/>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9"/>
                <w:szCs w:val="19"/>
                <w:color w:val="auto"/>
              </w:rPr>
            </w:pP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recognized in accumulated other comprehensive loss</w:t>
            </w: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670</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(gain) reclassed from accumulated other comprehensive loss to net</w:t>
            </w:r>
          </w:p>
        </w:tc>
        <w:tc>
          <w:tcPr>
            <w:tcW w:w="780" w:type="dxa"/>
            <w:vAlign w:val="bottom"/>
          </w:tcPr>
          <w:p>
            <w:pPr>
              <w:spacing w:after="0"/>
              <w:rPr>
                <w:sz w:val="17"/>
                <w:szCs w:val="17"/>
                <w:color w:val="auto"/>
              </w:rPr>
            </w:pPr>
          </w:p>
        </w:tc>
        <w:tc>
          <w:tcPr>
            <w:tcW w:w="6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7"/>
              </w:rPr>
              <w:t>(354)</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7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316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279"/>
        <w:spacing w:after="0" w:line="261" w:lineRule="auto"/>
        <w:rPr>
          <w:sz w:val="20"/>
          <w:szCs w:val="20"/>
          <w:color w:val="auto"/>
        </w:rPr>
      </w:pPr>
      <w:r>
        <w:rPr>
          <w:rFonts w:ascii="Times New Roman" w:cs="Times New Roman" w:eastAsia="Times New Roman" w:hAnsi="Times New Roman"/>
          <w:sz w:val="18"/>
          <w:szCs w:val="18"/>
          <w:color w:val="auto"/>
        </w:rPr>
        <w:t>Gains and losses reclassified from accumulated other comprehensive loss are recorded in other income and expense on the Company's statement of operations and comprehensive loss. During the three and nine months ended March 31, 2026, the gains and losses recognized due to the de-designation of cash flow hedge contracts were not significant. As of March 31, 2026, the amount that will be reclassified from accumulated other comprehensive loss to earnings within the next twelve months is $1.5 million. As of March 31, 2026, outstanding cash flow hedges will mature within the next eighteen months.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Hedging Arrangements</w:t>
      </w:r>
    </w:p>
    <w:p>
      <w:pPr>
        <w:spacing w:after="0" w:line="227" w:lineRule="exact"/>
        <w:rPr>
          <w:sz w:val="20"/>
          <w:szCs w:val="20"/>
          <w:color w:val="auto"/>
        </w:rPr>
      </w:pPr>
    </w:p>
    <w:p>
      <w:pPr>
        <w:ind w:firstLine="234"/>
        <w:spacing w:after="0" w:line="261" w:lineRule="auto"/>
        <w:rPr>
          <w:sz w:val="20"/>
          <w:szCs w:val="20"/>
          <w:color w:val="auto"/>
        </w:rPr>
      </w:pPr>
      <w:r>
        <w:rPr>
          <w:rFonts w:ascii="Times New Roman" w:cs="Times New Roman" w:eastAsia="Times New Roman" w:hAnsi="Times New Roman"/>
          <w:sz w:val="18"/>
          <w:szCs w:val="18"/>
          <w:color w:val="auto"/>
        </w:rPr>
        <w:t>The Company uses foreign currency forward contracts designated as balance sheet hedges with approved financial institutions to manage its exposure of fluctuations in foreign currency exchange rates on certain intercompany balances and foreign currency denominated cash, customer receivables and liabilities. These balance sheet hedging arrangements are not designated as hedging instruments for accounting purposes. The periods of these balance sheet hedges range up to approximately three months and the notional amounts are intended to be consistent with changes in the underlying exposures.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notional amount of the Company's outstanding balance sheet hedge contracts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Franc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Indian Rupee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9,885</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Yuan</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Korean Won</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British Pound</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outstanding balance sheet hedge contracts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Gains or losses on derivative financial instruments</w:t>
      </w:r>
    </w:p>
    <w:p>
      <w:pPr>
        <w:spacing w:after="0" w:line="227" w:lineRule="exact"/>
        <w:rPr>
          <w:sz w:val="20"/>
          <w:szCs w:val="20"/>
          <w:color w:val="auto"/>
        </w:rPr>
      </w:pPr>
    </w:p>
    <w:p>
      <w:pPr>
        <w:ind w:right="160" w:firstLine="234"/>
        <w:spacing w:after="0" w:line="266" w:lineRule="auto"/>
        <w:rPr>
          <w:sz w:val="20"/>
          <w:szCs w:val="20"/>
          <w:color w:val="auto"/>
        </w:rPr>
      </w:pPr>
      <w:r>
        <w:rPr>
          <w:rFonts w:ascii="Times New Roman" w:cs="Times New Roman" w:eastAsia="Times New Roman" w:hAnsi="Times New Roman"/>
          <w:sz w:val="18"/>
          <w:szCs w:val="18"/>
          <w:color w:val="auto"/>
        </w:rPr>
        <w:t>Gains and losses on the Company's balance sheet and cash flow hedges are recorded in other income (expense), net, on the Company's unaudited condensed consolidated statements of operations and comprehensive loss. The following table provides information about the gain or loss associated with the Company’s derivative financial instruments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 (loss) on balance sheet hedges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on cash flow hedges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1,114</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0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0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29" w:lineRule="exact"/>
        <w:rPr>
          <w:sz w:val="20"/>
          <w:szCs w:val="20"/>
          <w:color w:val="auto"/>
        </w:rPr>
      </w:pPr>
    </w:p>
    <w:p>
      <w:pPr>
        <w:ind w:right="380" w:firstLine="234"/>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spacing w:after="0" w:line="174" w:lineRule="exact"/>
        <w:rPr>
          <w:sz w:val="20"/>
          <w:szCs w:val="20"/>
          <w:color w:val="auto"/>
        </w:rPr>
      </w:pPr>
    </w:p>
    <w:p>
      <w:pPr>
        <w:ind w:left="560" w:hanging="323"/>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Unadjusted quoted prices that are available in active markets for the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560" w:right="180" w:hanging="323"/>
        <w:spacing w:after="0" w:line="261"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Other observable inputs available at the measurement date, other than quoted prices included in Level 1,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spacing w:after="0" w:line="179" w:lineRule="exact"/>
        <w:rPr>
          <w:rFonts w:ascii="Times New Roman" w:cs="Times New Roman" w:eastAsia="Times New Roman" w:hAnsi="Times New Roman"/>
          <w:sz w:val="18"/>
          <w:szCs w:val="18"/>
          <w:color w:val="auto"/>
        </w:rPr>
      </w:pPr>
    </w:p>
    <w:p>
      <w:pPr>
        <w:ind w:left="560" w:right="340" w:hanging="323"/>
        <w:spacing w:after="0" w:line="267"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that cannot be corroborated by observable market data and require the use of significant management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values are generally determined using pricing models for which the assumptions utilize management’s estimates of market participant 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right="200" w:firstLine="234"/>
        <w:spacing w:after="0" w:line="266" w:lineRule="auto"/>
        <w:rPr>
          <w:sz w:val="20"/>
          <w:szCs w:val="20"/>
          <w:color w:val="auto"/>
        </w:rPr>
      </w:pPr>
      <w:r>
        <w:rPr>
          <w:rFonts w:ascii="Times New Roman" w:cs="Times New Roman" w:eastAsia="Times New Roman" w:hAnsi="Times New Roman"/>
          <w:sz w:val="18"/>
          <w:szCs w:val="18"/>
          <w:color w:val="auto"/>
        </w:rPr>
        <w:t>The Penny Warrants (as defined in Note 8) are accounted for as a liability with the changes in fair value of the warrants recognized in the statement of operations and comprehensive income (loss). The estimated fair value of the Penny Warrants liabilities represent Level 2 measurements because the fair value of the warrant is being implied based on market trades of the Company's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table shows the changes in fair value of the Penny Warrants: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Penny Warrants on June 6, 2025</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Penny Warrants on December 15, 2025</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(7,198)</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Disclosures</w:t>
      </w:r>
    </w:p>
    <w:p>
      <w:pPr>
        <w:spacing w:after="0" w:line="227" w:lineRule="exact"/>
        <w:rPr>
          <w:sz w:val="20"/>
          <w:szCs w:val="20"/>
          <w:color w:val="auto"/>
        </w:rPr>
      </w:pPr>
    </w:p>
    <w:p>
      <w:pPr>
        <w:ind w:right="100" w:firstLine="234"/>
        <w:spacing w:after="0" w:line="261" w:lineRule="auto"/>
        <w:rPr>
          <w:sz w:val="20"/>
          <w:szCs w:val="20"/>
          <w:color w:val="auto"/>
        </w:rPr>
      </w:pPr>
      <w:r>
        <w:rPr>
          <w:rFonts w:ascii="Times New Roman" w:cs="Times New Roman" w:eastAsia="Times New Roman" w:hAnsi="Times New Roman"/>
          <w:sz w:val="18"/>
          <w:szCs w:val="18"/>
          <w:color w:val="auto"/>
        </w:rPr>
        <w:t>The Company's open foreign currency forward contracts designated as cash flow hedges and balance sheet hedges are measured on a recurring basis using Level 2 based upon observable inputs. As of March 31, 2026, the fair value of the Company's cash flow hedges was $1.6 million. The Company did not have open foreign currency forward contracts designated as cash flow hedges as of June 30, 2025. As of March 31, 2026 and June 30, 2025, the fair value of the Company's foreign currency forward contracts designated as balance sheet hedges were not material.</w:t>
      </w:r>
    </w:p>
    <w:p>
      <w:pPr>
        <w:spacing w:after="0" w:line="180" w:lineRule="exact"/>
        <w:rPr>
          <w:sz w:val="20"/>
          <w:szCs w:val="20"/>
          <w:color w:val="auto"/>
        </w:rPr>
      </w:pPr>
    </w:p>
    <w:p>
      <w:pPr>
        <w:ind w:right="260" w:firstLine="23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carrying value and estimated fair value of the 3.75% Convertible Senior Notes due June 1, 2026 (“2026 Notes”) and the Term Loan Facility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24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3.75% Convertible Senior Notes due June 1, 2026</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122,076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122,076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118,627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118,627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145,181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234"/>
        <w:spacing w:after="0" w:line="258" w:lineRule="auto"/>
        <w:rPr>
          <w:sz w:val="20"/>
          <w:szCs w:val="20"/>
          <w:color w:val="auto"/>
        </w:rPr>
      </w:pPr>
      <w:r>
        <w:rPr>
          <w:rFonts w:ascii="Times New Roman" w:cs="Times New Roman" w:eastAsia="Times New Roman" w:hAnsi="Times New Roman"/>
          <w:sz w:val="18"/>
          <w:szCs w:val="18"/>
          <w:color w:val="auto"/>
        </w:rPr>
        <w:t>The Company’s convertible debt is measured on a recurring basis using Level 2 based upon observable inputs. The Company's Term Loan Facility (as defined in Note 8) reflects the bank quoted market rates, which the Company considers to be a Level 2 fair value measurement. The Company believes that the carrying value of the Term Loan Facility approximates its estimated fair value based on the effective interest rate, compared to the current market rate available to the Company at quarter-end. The carrying value and fair value of the Term Loan Facility excludes $22.7 million and $21.0 million as of March 31, 2026 and June 30, 2025, respectively, for the fair value of the warrants issued to the lenders to purchase the Company’s common stock.</w:t>
      </w:r>
    </w:p>
    <w:p>
      <w:pPr>
        <w:spacing w:after="0" w:line="183" w:lineRule="exact"/>
        <w:rPr>
          <w:sz w:val="20"/>
          <w:szCs w:val="20"/>
          <w:color w:val="auto"/>
        </w:rPr>
      </w:pPr>
    </w:p>
    <w:p>
      <w:pPr>
        <w:ind w:right="220" w:firstLine="234"/>
        <w:spacing w:after="0" w:line="261" w:lineRule="auto"/>
        <w:rPr>
          <w:sz w:val="20"/>
          <w:szCs w:val="20"/>
          <w:color w:val="auto"/>
        </w:rPr>
      </w:pPr>
      <w:r>
        <w:rPr>
          <w:rFonts w:ascii="Times New Roman" w:cs="Times New Roman" w:eastAsia="Times New Roman" w:hAnsi="Times New Roman"/>
          <w:sz w:val="18"/>
          <w:szCs w:val="18"/>
          <w:color w:val="auto"/>
        </w:rPr>
        <w:t>The warrants that met all of the criteria for equity classification were recorded at their relative fair value in additional paid-in capital at the time of issuance. The fair value of $16.5 million as of March 31, 2026 is not subject to remeasurement and was estimated using a Black-Scholes method, which incorporates significant unobservable inputs, including expected volatility, risk-free interest rate and expected term. As these inputs are not observable in the market, the fair value measurement of the Premium Warrants represent a Level 3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40" w:firstLine="234"/>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227"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Under the terms of the Company’s software license agreements with its customers, the Company agrees that in the event the software sold infringes upon any patent, copyright, trademark, or any other proprietary right of a third-party,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March 31, 2026.</w:t>
      </w:r>
    </w:p>
    <w:p>
      <w:pPr>
        <w:spacing w:after="0" w:line="192"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March 31,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ind w:right="420" w:firstLine="234"/>
        <w:spacing w:after="0" w:line="282" w:lineRule="auto"/>
        <w:rPr>
          <w:sz w:val="20"/>
          <w:szCs w:val="20"/>
          <w:color w:val="auto"/>
        </w:rPr>
      </w:pPr>
      <w:r>
        <w:rPr>
          <w:rFonts w:ascii="Times New Roman" w:cs="Times New Roman" w:eastAsia="Times New Roman" w:hAnsi="Times New Roman"/>
          <w:sz w:val="18"/>
          <w:szCs w:val="18"/>
          <w:color w:val="auto"/>
        </w:rPr>
        <w:t>As of March 31, 2026, and June 30, 2025, the Company had various bank guarantees totaling $1.3 million and $1.5 million, respectively, primarily related to bidding processes with customers.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Royalty Agreement</w:t>
      </w:r>
    </w:p>
    <w:p>
      <w:pPr>
        <w:spacing w:after="0" w:line="227" w:lineRule="exact"/>
        <w:rPr>
          <w:sz w:val="20"/>
          <w:szCs w:val="20"/>
          <w:color w:val="auto"/>
        </w:rPr>
      </w:pPr>
    </w:p>
    <w:p>
      <w:pPr>
        <w:ind w:right="300" w:firstLine="234"/>
        <w:spacing w:after="0" w:line="261" w:lineRule="auto"/>
        <w:rPr>
          <w:sz w:val="20"/>
          <w:szCs w:val="20"/>
          <w:color w:val="auto"/>
        </w:rPr>
      </w:pPr>
      <w:r>
        <w:rPr>
          <w:rFonts w:ascii="Times New Roman" w:cs="Times New Roman" w:eastAsia="Times New Roman" w:hAnsi="Times New Roman"/>
          <w:sz w:val="18"/>
          <w:szCs w:val="18"/>
          <w:color w:val="auto"/>
        </w:rPr>
        <w:t>The Company enters into software license agreements with third parties that require royalty payments for each license used. In connection with such agreements, the Company records royalty costs in cost of revenue or deferred cost of revenue. The Company had approximately $2.8 million and $3.1 million in accrued royalty payments as of March 31, 2026, and June 30, 2025, respectively, related to royalty agreements. The following table provides information about the Company’s royalty expense and royalty payments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388</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payments</w:t>
            </w:r>
          </w:p>
        </w:tc>
        <w:tc>
          <w:tcPr>
            <w:tcW w:w="80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982</w:t>
            </w:r>
          </w:p>
        </w:tc>
        <w:tc>
          <w:tcPr>
            <w:tcW w:w="8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bl>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40" w:firstLine="252"/>
        <w:spacing w:after="0" w:line="256" w:lineRule="auto"/>
        <w:rPr>
          <w:sz w:val="20"/>
          <w:szCs w:val="20"/>
          <w:color w:val="auto"/>
        </w:rPr>
      </w:pPr>
      <w:r>
        <w:rPr>
          <w:rFonts w:ascii="Times New Roman" w:cs="Times New Roman" w:eastAsia="Times New Roman" w:hAnsi="Times New Roman"/>
          <w:sz w:val="18"/>
          <w:szCs w:val="18"/>
          <w:color w:val="auto"/>
        </w:rPr>
        <w:t>In fiscal year 2026, the Company implemented a restructuring plan (“FY26 Restructuring Plan”). The FY26 Restructuring Plan included the elimination of approximately 3% of the global workforce during the three months ended September 30, 2025, and the elimination of approximately 15% of the global workforce during three months ended December 31, 2025. Certain employees notified during the three months ended December 31, 2025, have various termination dates during the quarterly periods ended March 31, 2026, and June 30, 2026. Restructuring charges also include third-party implementation and other costs that were directly tied to the execution of the FY26 Restructuring Plan and asset impairments for certain operating lease right-of-use assets and capitalized assets as a result of the FY26 Restructuring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employee related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Third-party implementation and other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8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w:t>
            </w:r>
          </w:p>
        </w:tc>
        <w:tc>
          <w:tcPr>
            <w:tcW w:w="34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60" w:type="dxa"/>
            <w:vAlign w:val="bottom"/>
          </w:tcPr>
          <w:p>
            <w:pPr>
              <w:spacing w:after="0"/>
              <w:rPr>
                <w:sz w:val="18"/>
                <w:szCs w:val="18"/>
                <w:color w:val="auto"/>
              </w:rPr>
            </w:pP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 liability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and employee</w:t>
            </w: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related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and other costs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at the beginning of period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15,425</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(7,437)</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write-offs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w:t>
            </w:r>
          </w:p>
        </w:tc>
      </w:tr>
      <w:tr>
        <w:trPr>
          <w:trHeight w:val="20"/>
        </w:trPr>
        <w:tc>
          <w:tcPr>
            <w:tcW w:w="4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at the end of period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5,957</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Total restructuring charges for the FY26 Restructuring Plan are expected to be approximately $17 million, substantially all of which will be paid in cash in fiscal year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 - IEEPA Tariff Refunds</w:t>
      </w:r>
    </w:p>
    <w:p>
      <w:pPr>
        <w:spacing w:after="0" w:line="227" w:lineRule="exact"/>
        <w:rPr>
          <w:sz w:val="20"/>
          <w:szCs w:val="20"/>
          <w:color w:val="auto"/>
        </w:rPr>
      </w:pPr>
    </w:p>
    <w:p>
      <w:pPr>
        <w:ind w:left="20" w:right="40" w:firstLine="162"/>
        <w:spacing w:after="0" w:line="261" w:lineRule="auto"/>
        <w:rPr>
          <w:sz w:val="20"/>
          <w:szCs w:val="20"/>
          <w:color w:val="auto"/>
        </w:rPr>
      </w:pPr>
      <w:r>
        <w:rPr>
          <w:rFonts w:ascii="Times New Roman" w:cs="Times New Roman" w:eastAsia="Times New Roman" w:hAnsi="Times New Roman"/>
          <w:sz w:val="18"/>
          <w:szCs w:val="18"/>
          <w:color w:val="auto"/>
        </w:rPr>
        <w:t>As a result of a Supreme Court ruling issued in February 2026, the Company may be eligible to seek refunds of certain previously paid tariffs on imported products under the IEEPA. The Company paid approximately $9.0 million in IEEPA duties since April 2025, of which $3.2 million is included in Inventory, net, on the accompanying unaudited condensed consolidated balance sheet as of March 31, 2026, and the remainder has been expensed in cost of sales over the period of which the inventory was sold consistent with the Company’s accounting policies.</w:t>
      </w:r>
    </w:p>
    <w:p>
      <w:pPr>
        <w:spacing w:after="0" w:line="180" w:lineRule="exact"/>
        <w:rPr>
          <w:sz w:val="20"/>
          <w:szCs w:val="20"/>
          <w:color w:val="auto"/>
        </w:rPr>
      </w:pPr>
    </w:p>
    <w:p>
      <w:pPr>
        <w:ind w:left="20" w:right="580" w:firstLine="162"/>
        <w:spacing w:after="0" w:line="276" w:lineRule="auto"/>
        <w:rPr>
          <w:sz w:val="20"/>
          <w:szCs w:val="20"/>
          <w:color w:val="auto"/>
        </w:rPr>
      </w:pPr>
      <w:r>
        <w:rPr>
          <w:rFonts w:ascii="Times New Roman" w:cs="Times New Roman" w:eastAsia="Times New Roman" w:hAnsi="Times New Roman"/>
          <w:sz w:val="17"/>
          <w:szCs w:val="17"/>
          <w:color w:val="auto"/>
        </w:rPr>
        <w:t>On April 13, 2026, the Company entered into a participation agreement with a third-party pursuant to which it agreed to sell its claims for refunds of previously paid tariffs imposed under the IEEPA. Under the terms of the participation agreement, the third-party purchased the $9.0 million of</w:t>
      </w:r>
    </w:p>
    <w:p>
      <w:pPr>
        <w:spacing w:after="0" w:line="1"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the Company's refund claims for $6.6 million in cash. Any benefit associated with these previously paid tariffs will be recognized in the Company’s income statement in the period in which a refund from U.S. Customs and Border Protection is deemed realizable in accordance with applicable accounting guidance. The execution of the participation agreement did not result in the recognition of a tariff refund receivable as of March 31, 2026.</w:t>
      </w:r>
    </w:p>
    <w:p>
      <w:pPr>
        <w:spacing w:after="0" w:line="186" w:lineRule="exact"/>
        <w:rPr>
          <w:sz w:val="20"/>
          <w:szCs w:val="20"/>
          <w:color w:val="auto"/>
        </w:rPr>
      </w:pPr>
    </w:p>
    <w:p>
      <w:pPr>
        <w:ind w:left="20" w:right="220" w:firstLine="162"/>
        <w:spacing w:after="0" w:line="266" w:lineRule="auto"/>
        <w:rPr>
          <w:sz w:val="20"/>
          <w:szCs w:val="20"/>
          <w:color w:val="auto"/>
        </w:rPr>
      </w:pPr>
      <w:r>
        <w:rPr>
          <w:rFonts w:ascii="Times New Roman" w:cs="Times New Roman" w:eastAsia="Times New Roman" w:hAnsi="Times New Roman"/>
          <w:sz w:val="18"/>
          <w:szCs w:val="18"/>
          <w:color w:val="auto"/>
        </w:rPr>
        <w:t>On April 21, 2026, the Company submitted approximately $9.0 million of tariff refund claims through CBP’s Consolidated Administration and Processing of Entries portal, of which $8.9 million were reported as having an accepted submission status as of the date of this Quarterly Report on Form 10-Q.</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outstanding debt as of March 31, 2026, and June 30, 2025, is as follows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 due June 1, 2026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Paid-in-kind interest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2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168,616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financing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(11,101)</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 for warrants issued to lenders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(20,995)</w:t>
            </w:r>
          </w:p>
        </w:tc>
      </w:tr>
      <w:tr>
        <w:trPr>
          <w:trHeight w:val="210"/>
        </w:trPr>
        <w:tc>
          <w:tcPr>
            <w:tcW w:w="7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136,520</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net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12,734</w:t>
            </w:r>
          </w:p>
        </w:tc>
      </w:tr>
      <w:tr>
        <w:trPr>
          <w:trHeight w:val="216"/>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136,520</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 summary of interest expense on the Company’s outstanding debt is as follows (in thousands):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3,468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paid-in-kind interest</w:t>
            </w:r>
          </w:p>
        </w:tc>
        <w:tc>
          <w:tcPr>
            <w:tcW w:w="24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2,385</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financing costs and discount for warrants issued to lenders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on debt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3"/>
              </w:rPr>
              <w:t>8,178</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23,537</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0"/>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summary of weighted average effective interest rate on the Company’s debt is as follows:</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1280" w:type="dxa"/>
            <w:vAlign w:val="bottom"/>
            <w:tcBorders>
              <w:bottom w:val="single" w:sz="8" w:color="CCEEFF"/>
            </w:tcBorders>
          </w:tcPr>
          <w:p>
            <w:pPr>
              <w:spacing w:after="0"/>
              <w:rPr>
                <w:sz w:val="24"/>
                <w:szCs w:val="24"/>
                <w:color w:val="auto"/>
              </w:rPr>
            </w:pPr>
          </w:p>
        </w:tc>
        <w:tc>
          <w:tcPr>
            <w:tcW w:w="66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CCEEFF"/>
            </w:tcBorders>
          </w:tcPr>
          <w:p>
            <w:pPr>
              <w:spacing w:after="0"/>
              <w:rPr>
                <w:sz w:val="24"/>
                <w:szCs w:val="24"/>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 due June 1, 2026</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8" w:lineRule="exact"/>
        <w:rPr>
          <w:sz w:val="20"/>
          <w:szCs w:val="20"/>
          <w:color w:val="auto"/>
        </w:rPr>
      </w:pPr>
    </w:p>
    <w:p>
      <w:pPr>
        <w:ind w:right="560" w:firstLine="234"/>
        <w:spacing w:after="0" w:line="282" w:lineRule="auto"/>
        <w:rPr>
          <w:sz w:val="20"/>
          <w:szCs w:val="20"/>
          <w:color w:val="auto"/>
        </w:rPr>
      </w:pPr>
      <w:r>
        <w:rPr>
          <w:rFonts w:ascii="Times New Roman" w:cs="Times New Roman" w:eastAsia="Times New Roman" w:hAnsi="Times New Roman"/>
          <w:sz w:val="18"/>
          <w:szCs w:val="18"/>
          <w:color w:val="auto"/>
        </w:rPr>
        <w:t>The weighted average effective interest rate includes coupon interest rates, paid-in-kind interest, the amortization of debt financing costs, and the amortization of the discount for warrants issued to lenders.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Agreement</w:t>
      </w:r>
    </w:p>
    <w:p>
      <w:pPr>
        <w:spacing w:after="0" w:line="227"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On June 6, 2025, the Company entered into a new five-year senior secured credit agreement, due June 6, 2030, (the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The Financing Agreement provides for a $150 million term loan (the “Term Loan Facility”), a $20 million delayed draw term loan facility (the “Delayed Draw Facility”), and a $20 million revolving credit facility (the “Revolving Credit Facility” and, together with the Term Loan Facility and Delayed Draw Facility, the “Facilities”). The Financing Agreement contains restrictions and covenants applicable to the Company and its subsidiaries.</w:t>
      </w:r>
    </w:p>
    <w:p>
      <w:pPr>
        <w:spacing w:after="0" w:line="192" w:lineRule="exact"/>
        <w:rPr>
          <w:sz w:val="20"/>
          <w:szCs w:val="20"/>
          <w:color w:val="auto"/>
        </w:rPr>
      </w:pPr>
    </w:p>
    <w:p>
      <w:pPr>
        <w:ind w:right="100" w:firstLine="234"/>
        <w:spacing w:after="0" w:line="255" w:lineRule="auto"/>
        <w:rPr>
          <w:sz w:val="20"/>
          <w:szCs w:val="20"/>
          <w:color w:val="auto"/>
        </w:rPr>
      </w:pPr>
      <w:r>
        <w:rPr>
          <w:rFonts w:ascii="Times New Roman" w:cs="Times New Roman" w:eastAsia="Times New Roman" w:hAnsi="Times New Roman"/>
          <w:sz w:val="18"/>
          <w:szCs w:val="18"/>
          <w:color w:val="auto"/>
        </w:rPr>
        <w:t>In December 2025, the Company entered into amendments to the Financing Agreement. The first amendment to the Financing Agreement ("First Amendment") provided for the inclusion of certain restricted cash balances in the liquidity covenant in the Financing Agreement. The second amendment to the Financing Agreement ("Second Amendment") and the Financing Agreement as amended by the First Amendment and Second Amendment (the “Amended Financing Agreement”) provide for (i) removal of the leverage condition the Company must meet to draw down on the Delayed Draw Facility;</w:t>
      </w:r>
    </w:p>
    <w:p>
      <w:pPr>
        <w:spacing w:after="0" w:line="3" w:lineRule="exact"/>
        <w:rPr>
          <w:sz w:val="20"/>
          <w:szCs w:val="20"/>
          <w:color w:val="auto"/>
        </w:rPr>
      </w:pPr>
    </w:p>
    <w:p>
      <w:pPr>
        <w:jc w:val="both"/>
        <w:ind w:right="80" w:firstLine="8"/>
        <w:spacing w:after="0" w:line="255"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the capacity of the Delayed Draw Facility to $18.25 million; and (iii) the delay of the commencement of the requirement for the Company to meet the fixed charge coverage ratio and leverage ratio to December 31, 2026. In addition, the Company agreed to pay an additional $2.4 million in fees and amounts available to be drawn under the revolving credit facility were reduced to $15.0 million through December 31, 2026.</w:t>
      </w:r>
    </w:p>
    <w:p>
      <w:pPr>
        <w:spacing w:after="0" w:line="186" w:lineRule="exact"/>
        <w:rPr>
          <w:sz w:val="20"/>
          <w:szCs w:val="20"/>
          <w:color w:val="auto"/>
        </w:rPr>
      </w:pPr>
    </w:p>
    <w:p>
      <w:pPr>
        <w:ind w:firstLine="234"/>
        <w:spacing w:after="0" w:line="257" w:lineRule="auto"/>
        <w:rPr>
          <w:sz w:val="20"/>
          <w:szCs w:val="20"/>
          <w:color w:val="auto"/>
        </w:rPr>
      </w:pPr>
      <w:r>
        <w:rPr>
          <w:rFonts w:ascii="Times New Roman" w:cs="Times New Roman" w:eastAsia="Times New Roman" w:hAnsi="Times New Roman"/>
          <w:sz w:val="18"/>
          <w:szCs w:val="18"/>
          <w:color w:val="auto"/>
        </w:rPr>
        <w:t>Among other requirements, the Company may not permit (i) the total leverage ratio (as defined in the Amended Financing Agreement) to be greater than a certain specified ratio for each fiscal quarter during the term of the Amended Financing Agreement, (ii) the fixed charge coverage ratio (as defined in the Amended Financing Agreement) to be less than a certain specified ratio for each fiscal quarter during the term of the Amended Financing Agreement or</w:t>
      </w:r>
    </w:p>
    <w:p>
      <w:pPr>
        <w:spacing w:after="0" w:line="1" w:lineRule="exact"/>
        <w:rPr>
          <w:sz w:val="20"/>
          <w:szCs w:val="20"/>
          <w:color w:val="auto"/>
        </w:rPr>
      </w:pPr>
    </w:p>
    <w:p>
      <w:pPr>
        <w:ind w:right="180" w:firstLine="8"/>
        <w:spacing w:after="0" w:line="25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(as defined in the Amended Financing Agreement) to be less than a certain specified threshold for each month during the term of the Amended Financing Agreement. The Company was in compliance with its covenants and other requirements of the Amended Financing Agreement as of March 31, 2026.</w:t>
      </w:r>
    </w:p>
    <w:p>
      <w:pPr>
        <w:spacing w:after="0" w:line="186" w:lineRule="exact"/>
        <w:rPr>
          <w:sz w:val="20"/>
          <w:szCs w:val="20"/>
          <w:color w:val="auto"/>
        </w:rPr>
      </w:pPr>
    </w:p>
    <w:p>
      <w:pPr>
        <w:ind w:firstLine="234"/>
        <w:spacing w:after="0" w:line="266" w:lineRule="auto"/>
        <w:rPr>
          <w:sz w:val="20"/>
          <w:szCs w:val="20"/>
          <w:color w:val="auto"/>
        </w:rPr>
      </w:pPr>
      <w:r>
        <w:rPr>
          <w:rFonts w:ascii="Times New Roman" w:cs="Times New Roman" w:eastAsia="Times New Roman" w:hAnsi="Times New Roman"/>
          <w:sz w:val="18"/>
          <w:szCs w:val="18"/>
          <w:color w:val="auto"/>
        </w:rPr>
        <w:t>The Borrower’s obligations under the Amended Financing Agreement are secured by first-priority liens on substantially all assets of the Borrower, subject to certain exceptions. The Amended Financing Agreement required the Borrower to cause certain of its direct and indirect subsidiaries to grant first-priority liens on substantially all of their assets, in each case, subject to certain exceptions.</w:t>
      </w:r>
    </w:p>
    <w:p>
      <w:pPr>
        <w:spacing w:after="0" w:line="176" w:lineRule="exact"/>
        <w:rPr>
          <w:sz w:val="20"/>
          <w:szCs w:val="20"/>
          <w:color w:val="auto"/>
        </w:rPr>
      </w:pPr>
    </w:p>
    <w:p>
      <w:pPr>
        <w:ind w:firstLine="234"/>
        <w:spacing w:after="0" w:line="235" w:lineRule="auto"/>
        <w:rPr>
          <w:sz w:val="20"/>
          <w:szCs w:val="20"/>
          <w:color w:val="auto"/>
        </w:rPr>
      </w:pPr>
      <w:r>
        <w:rPr>
          <w:rFonts w:ascii="Times New Roman" w:cs="Times New Roman" w:eastAsia="Times New Roman" w:hAnsi="Times New Roman"/>
          <w:sz w:val="18"/>
          <w:szCs w:val="18"/>
          <w:color w:val="auto"/>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8.50%, per annum or (ii) a reference rate (subject to a 3.00%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7.50% per annum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agreement provides the option for payment-in-kind interest (“PIK”) up to 6.00% per annum (subject to an increase in applicable margin of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1.00% per annum for each 1.00% per annum of interest elected to be paid in kind which PIK interest will be capitalized on the applicable interest payment date and will be added to the then-outstanding principal amount of the term loans). The Amended Financing Agreement requires the Borrower to pay the lenders with commitments under the Revolving Credit Facility an unused commitment fee equal to 0.50% per annum of the average unused portion of the Revolving Credit Facility.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right="20" w:firstLine="234"/>
        <w:spacing w:after="0" w:line="258" w:lineRule="auto"/>
        <w:rPr>
          <w:sz w:val="20"/>
          <w:szCs w:val="20"/>
          <w:color w:val="auto"/>
        </w:rPr>
      </w:pPr>
      <w:r>
        <w:rPr>
          <w:rFonts w:ascii="Times New Roman" w:cs="Times New Roman" w:eastAsia="Times New Roman" w:hAnsi="Times New Roman"/>
          <w:sz w:val="18"/>
          <w:szCs w:val="18"/>
          <w:color w:val="auto"/>
        </w:rPr>
        <w:t>On June 6, 2025, concurrently with its entry into the Financing Agreement, the Company issued detachable warrants to purchase the Company’s common stock to certain of its lenders (the “Warrant Holders”) under the Financing Agreement. The Warrant Holders were issued warrants to purchase (i) 17,180,710 shares of common stock with an exercise price of $1.68 per share, exercisable on and after December 7, 2025 and expiring on June 6, 2032 (the “June 2025 Premium Warrants”) and (ii) 6,247,531 shares of common stock with an exercise price of $0.01 per share, which are exercisable immediately and expire June 6, 2032 (the “ June 2025 Penny Warrants”).</w:t>
      </w:r>
    </w:p>
    <w:p>
      <w:pPr>
        <w:spacing w:after="0" w:line="183" w:lineRule="exact"/>
        <w:rPr>
          <w:sz w:val="20"/>
          <w:szCs w:val="20"/>
          <w:color w:val="auto"/>
        </w:rPr>
      </w:pPr>
    </w:p>
    <w:p>
      <w:pPr>
        <w:ind w:right="60" w:firstLine="162"/>
        <w:spacing w:after="0" w:line="257" w:lineRule="auto"/>
        <w:rPr>
          <w:sz w:val="20"/>
          <w:szCs w:val="20"/>
          <w:color w:val="auto"/>
        </w:rPr>
      </w:pPr>
      <w:r>
        <w:rPr>
          <w:rFonts w:ascii="Times New Roman" w:cs="Times New Roman" w:eastAsia="Times New Roman" w:hAnsi="Times New Roman"/>
          <w:sz w:val="18"/>
          <w:szCs w:val="18"/>
          <w:color w:val="auto"/>
        </w:rPr>
        <w:t>On December 15, 2025, concurrently with its entry into the Second Amendment, the Company issued detachable warrants to purchase the Company’s common stock to the Warrant Holders. The Warrant Holders were issued warrants to purchase (i) 3,062,726 shares of common stock with an exercise price of $1.50 per share, exercisable on and after June 16, 2026 and expiring on December 15, 2032 (the “December 2025 Super Premium Warrants”),</w:t>
      </w:r>
    </w:p>
    <w:p>
      <w:pPr>
        <w:spacing w:after="0" w:line="1" w:lineRule="exact"/>
        <w:rPr>
          <w:sz w:val="20"/>
          <w:szCs w:val="20"/>
          <w:color w:val="auto"/>
        </w:rPr>
      </w:pPr>
    </w:p>
    <w:p>
      <w:pPr>
        <w:ind w:firstLine="8"/>
        <w:spacing w:after="0" w:line="265" w:lineRule="auto"/>
        <w:tabs>
          <w:tab w:leader="none" w:pos="2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2,187,661 shares of common stock with an exercise price of $1.25 per share, exercisable on and after June 16, 2026 and expiring on December 15, 2032 (the “December 2025 Premium Warrants”), and (iii)1,750,129 shares of common stock with an exercise price of $0.01 per share, which are exercisable immediately and expire on December 15, 2032 (the “December 2025 Penny Warrants”). If the Company accesses the Delayed Draw Facility, the Company will issue up to 7.0 million in additional warrants to the Warrant Holders under the Amended Financing Agreement. As of March 31, 2026, no warrants have been exercised. On February 12, 2026, the Company received a waiver from the Warrant Holders to extend the due date to file a registration statement related to registering the underlying shares of the December 2025 Super Premium Warrants, the December 2025 Premium Warrants and the December</w:t>
      </w: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2025 Penny Warrants to allow the Company time to complete the filing of its Form 10-K/A for the fiscal year ended June 30, 2025, Form 10-Q/A for the quarter ended September 30, 2025, and Form 10-Q for the quarter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 Convertible Senior Notes due June 1, 2026</w:t>
      </w:r>
    </w:p>
    <w:p>
      <w:pPr>
        <w:spacing w:after="0" w:line="227" w:lineRule="exact"/>
        <w:rPr>
          <w:sz w:val="20"/>
          <w:szCs w:val="20"/>
          <w:color w:val="auto"/>
        </w:rPr>
      </w:pPr>
    </w:p>
    <w:p>
      <w:pPr>
        <w:ind w:firstLine="234"/>
        <w:spacing w:after="0" w:line="258" w:lineRule="auto"/>
        <w:rPr>
          <w:sz w:val="20"/>
          <w:szCs w:val="20"/>
          <w:color w:val="auto"/>
        </w:rPr>
      </w:pPr>
      <w:r>
        <w:rPr>
          <w:rFonts w:ascii="Times New Roman" w:cs="Times New Roman" w:eastAsia="Times New Roman" w:hAnsi="Times New Roman"/>
          <w:sz w:val="18"/>
          <w:szCs w:val="18"/>
          <w:color w:val="auto"/>
        </w:rPr>
        <w:t>In May 2021, the Company issued $100.0 million aggregate principal amount of its 2026 Notes under an indenture between the Company and The Bank of New York Mellon Trust Company, N.A., as trustee. On June 5, 2025, the Company entered into separate, privately-negotiated exchange agreements with a limited number of existing holders of the 2026 Notes (the “2026 Noteholders'”) to exchange (the “Exchange”) approximately $82.0 million aggregate principal amount of the 2026 Noteholders' existing 2026 Notes. Holders of the remaining $18.0 million aggregate principal amount of the 2026 Notes did not receive cash or shares of common stock in the Exchange mentioned above and the original terms of such 2026 Notes were not modified.</w:t>
      </w:r>
    </w:p>
    <w:p>
      <w:pPr>
        <w:spacing w:after="0" w:line="183" w:lineRule="exact"/>
        <w:rPr>
          <w:sz w:val="20"/>
          <w:szCs w:val="20"/>
          <w:color w:val="auto"/>
        </w:rPr>
      </w:pPr>
    </w:p>
    <w:p>
      <w:pPr>
        <w:ind w:firstLine="234"/>
        <w:spacing w:after="0" w:line="256" w:lineRule="auto"/>
        <w:rPr>
          <w:sz w:val="20"/>
          <w:szCs w:val="20"/>
          <w:color w:val="auto"/>
        </w:rPr>
      </w:pPr>
      <w:r>
        <w:rPr>
          <w:rFonts w:ascii="Times New Roman" w:cs="Times New Roman" w:eastAsia="Times New Roman" w:hAnsi="Times New Roman"/>
          <w:sz w:val="18"/>
          <w:szCs w:val="18"/>
          <w:color w:val="auto"/>
        </w:rPr>
        <w:t>Holders of the remaining 2026 Notes may convert their notes at any time on or after March 6, 2026 until the close of the business day immediately preceding the maturity date. Prior to June 1, 2026, the remaining holders of the 2026 Notes may convert their notes only under certain circumstances. Upon conversion, the Company will have the right to pay cash, or deliver shares of common stock of the Company or a combination thereof, at the Company’s election. The initial conversion rate is 170.5611 shares of the Company’s common stock per $1,000 principal amount (which represents an initial conversion price of approximately $5.86 per share of the Company’s common stock). The conversion rate, and therefore, the conversion price, is subject to adjustment, as further described below.</w:t>
      </w:r>
    </w:p>
    <w:p>
      <w:pPr>
        <w:spacing w:after="0" w:line="187" w:lineRule="exact"/>
        <w:rPr>
          <w:sz w:val="20"/>
          <w:szCs w:val="20"/>
          <w:color w:val="auto"/>
        </w:rPr>
      </w:pPr>
    </w:p>
    <w:p>
      <w:pPr>
        <w:ind w:right="60" w:firstLine="234"/>
        <w:spacing w:after="0" w:line="256" w:lineRule="auto"/>
        <w:rPr>
          <w:sz w:val="20"/>
          <w:szCs w:val="20"/>
          <w:color w:val="auto"/>
        </w:rPr>
      </w:pPr>
      <w:r>
        <w:rPr>
          <w:rFonts w:ascii="Times New Roman" w:cs="Times New Roman" w:eastAsia="Times New Roman" w:hAnsi="Times New Roman"/>
          <w:sz w:val="18"/>
          <w:szCs w:val="18"/>
          <w:color w:val="auto"/>
        </w:rPr>
        <w:t>Holders of the remaining 2026 Notes who convert their notes in connection with a “make-whole fundamental change,” as defined in the indenture, may be entitled to a make-whole premium in the form of an increase in the conversion rate. Additionally, in the event of a “fundamental change,” as defined in the indenture, holders of the remaining 2026 Notes may require the Company to purchase all or a portion of their note at a fundamental change repurchase price equal to 100% of the principal amount of the 2026 Notes, plus accrued and unpaid interest, if any, to, but not including, the fundamental change repurchase date. As of March 31, 2026 and June 30, 2025, the if-converted value of the remaining 2026 Notes did not exceed the outstanding principal amount.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Incentive Plans</w:t>
      </w:r>
    </w:p>
    <w:p>
      <w:pPr>
        <w:spacing w:after="0" w:line="229" w:lineRule="exact"/>
        <w:rPr>
          <w:sz w:val="20"/>
          <w:szCs w:val="20"/>
          <w:color w:val="auto"/>
        </w:rPr>
      </w:pPr>
    </w:p>
    <w:p>
      <w:pPr>
        <w:ind w:right="220" w:firstLine="23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share-based compensation expenses, by functional line item, noted within the Company's unaudited condensed consolidated statements of operations and comprehensive loss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services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234"/>
        <w:spacing w:after="0" w:line="261" w:lineRule="auto"/>
        <w:rPr>
          <w:sz w:val="20"/>
          <w:szCs w:val="20"/>
          <w:color w:val="auto"/>
        </w:rPr>
      </w:pPr>
      <w:r>
        <w:rPr>
          <w:rFonts w:ascii="Times New Roman" w:cs="Times New Roman" w:eastAsia="Times New Roman" w:hAnsi="Times New Roman"/>
          <w:sz w:val="18"/>
          <w:szCs w:val="18"/>
          <w:color w:val="auto"/>
        </w:rPr>
        <w:t>In November 2025, the Company’s stockholders approved the 2026 Equity Incentive Plan (the "2026 Plan") whereby a maximum of 3,896,000 shares of common stock were reserved for issuance, plus the shares remaining in the share reserve under the Company’s 2016 Equity Incentive Plan (the “2016 Equity Incentive Plan”) immediately before the effective date of the 2026 Plan and shares subject to outstanding awards granted under the 2016 Plan that would be added to the 2026 Plan on or after the effective date of the 2026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Common Share</w:t>
      </w:r>
    </w:p>
    <w:p>
      <w:pPr>
        <w:spacing w:after="0" w:line="229" w:lineRule="exact"/>
        <w:rPr>
          <w:sz w:val="20"/>
          <w:szCs w:val="20"/>
          <w:color w:val="auto"/>
        </w:rPr>
      </w:pPr>
    </w:p>
    <w:p>
      <w:pPr>
        <w:jc w:val="both"/>
        <w:ind w:right="260" w:firstLine="234"/>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shares of common stock and warrants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Potentially dilutive shares of the Company’s common stock are excluded from the computation of diluted net loss per share for loss periods presented because including them would have been anti-dilutive. Dilutive earnings per share is the same as basic earnings per share for the periods in which the Company had a net loss because the inclusion of outstanding common stock would be anti-dilutive.</w:t>
      </w:r>
    </w:p>
    <w:p>
      <w:pPr>
        <w:spacing w:after="0" w:line="187" w:lineRule="exact"/>
        <w:rPr>
          <w:sz w:val="20"/>
          <w:szCs w:val="20"/>
          <w:color w:val="auto"/>
        </w:rPr>
      </w:pPr>
    </w:p>
    <w:p>
      <w:pPr>
        <w:ind w:right="360" w:firstLine="234"/>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(loss) per common share is as follows (in thousands, except for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(11,805)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(47,253)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124,304</w:t>
            </w:r>
          </w:p>
        </w:tc>
        <w:tc>
          <w:tcPr>
            <w:tcW w:w="320" w:type="dxa"/>
            <w:vAlign w:val="bottom"/>
          </w:tcPr>
          <w:p>
            <w:pPr>
              <w:spacing w:after="0"/>
              <w:rPr>
                <w:sz w:val="24"/>
                <w:szCs w:val="24"/>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102,825</w:t>
            </w:r>
          </w:p>
        </w:tc>
        <w:tc>
          <w:tcPr>
            <w:tcW w:w="24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121,396</w:t>
            </w:r>
          </w:p>
        </w:tc>
        <w:tc>
          <w:tcPr>
            <w:tcW w:w="340" w:type="dxa"/>
            <w:vAlign w:val="bottom"/>
          </w:tcPr>
          <w:p>
            <w:pPr>
              <w:spacing w:after="0"/>
              <w:rPr>
                <w:sz w:val="24"/>
                <w:szCs w:val="24"/>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101,462</w:t>
            </w: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share-based awards, excluded</w:t>
            </w: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12,188</w:t>
            </w:r>
          </w:p>
        </w:tc>
        <w:tc>
          <w:tcPr>
            <w:tcW w:w="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12,812</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12,188</w:t>
            </w:r>
          </w:p>
        </w:tc>
        <w:tc>
          <w:tcPr>
            <w:tcW w:w="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warrants, excluded</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22,431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Warrants Issued in Connection with the Long-term Debt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The Company has issued warrants to the lenders of its long-term debt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Accounting guidance dictates that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issuable for little or no cash consideration upon the satisfaction of certain conditions shall be considered outstanding common shares and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earnings per share. The June 2025 Penny Warrants and December 2025 Penny Warrants (the "Penny Warrants") are</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considered shares issuable for little or no cash consideration upon the satisfaction of certain conditions and are considered outstanding common shares to be included in the computation of basic and diluted earnings per share. Approximately 8.0 million and 6.9 million Penny Warrant shares are included in the weighted average shares to calculate basic and diluted earnings per share during the three and nine months ended March 31, 2026, respectively. As of March 31, 2026, no warrants have been exercised.</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Outstanding Convertible Senior Notes</w:t>
      </w:r>
    </w:p>
    <w:p>
      <w:pPr>
        <w:spacing w:after="0" w:line="227" w:lineRule="exact"/>
        <w:rPr>
          <w:sz w:val="20"/>
          <w:szCs w:val="20"/>
          <w:color w:val="auto"/>
        </w:rPr>
      </w:pPr>
    </w:p>
    <w:p>
      <w:pPr>
        <w:ind w:right="40" w:firstLine="234"/>
        <w:spacing w:after="0" w:line="256" w:lineRule="auto"/>
        <w:rPr>
          <w:sz w:val="20"/>
          <w:szCs w:val="20"/>
          <w:color w:val="auto"/>
        </w:rPr>
      </w:pPr>
      <w:r>
        <w:rPr>
          <w:rFonts w:ascii="Times New Roman" w:cs="Times New Roman" w:eastAsia="Times New Roman" w:hAnsi="Times New Roman"/>
          <w:sz w:val="18"/>
          <w:szCs w:val="18"/>
          <w:color w:val="auto"/>
        </w:rPr>
        <w:t>Due to the optional cash settlement feature and management’s intent to settle the principal amount thereof, in cash, the shares of common stock issuable upon conversion of the outstanding principal amount of the 2026 Notes are included in the calculation of diluted net income (loss) per share only if their inclusion is dilutive for periods during which the 2026 Notes were outstanding. The shares of common stock issuable upon conversion of the outstanding principal amount of the 2026 Notes was 3.1 million shares for the three and nine months ended March 31, 2026, and 17.1 million for three and nine months ended March 31, 2025 and such shares were not included in the basic and diluted net loss per common share as the effect of adding the shares were anti-dilutive.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ind w:right="100" w:firstLine="234"/>
        <w:spacing w:after="0" w:line="221" w:lineRule="exact"/>
        <w:rPr>
          <w:sz w:val="20"/>
          <w:szCs w:val="20"/>
          <w:color w:val="auto"/>
        </w:rPr>
      </w:pPr>
      <w:r>
        <w:rPr>
          <w:rFonts w:ascii="Times New Roman" w:cs="Times New Roman" w:eastAsia="Times New Roman" w:hAnsi="Times New Roman"/>
          <w:sz w:val="18"/>
          <w:szCs w:val="18"/>
          <w:color w:val="auto"/>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(“CODM”), assesses financial performance by reviewing a reporting package based on consolidated results of the Company when making decisions about allocating resources and assessing performance. The CODM evaluates performance based on net revenues, gross profit, and operating income which are consistent with what is reported in the unaudited condensed consolidated statements of comprehensive loss. Significant segment expenses regularly provided to the CODM are consolidated research and development expenses, sales and marketing, and general and administrative expenses as reported on the consolidated financial statements. In addition, the CODM regularly reviews the budget and forecast-to-actual variances to evaluate performance and to make decisions about allocating capital and other resources. The Company does not assess the performance of its individual product lines on measures of profit or loss, or asset-based metrics. Therefore, the information below is presented only for revenues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tangible assets by geographic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firstLine="234"/>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w:t>
      </w:r>
    </w:p>
    <w:p>
      <w:pPr>
        <w:spacing w:after="0" w:line="180" w:lineRule="exact"/>
        <w:rPr>
          <w:sz w:val="20"/>
          <w:szCs w:val="20"/>
          <w:color w:val="auto"/>
        </w:rPr>
      </w:pPr>
    </w:p>
    <w:p>
      <w:pPr>
        <w:ind w:right="80" w:firstLine="234"/>
        <w:spacing w:after="0" w:line="266" w:lineRule="auto"/>
        <w:rPr>
          <w:sz w:val="20"/>
          <w:szCs w:val="20"/>
          <w:color w:val="auto"/>
        </w:rPr>
      </w:pPr>
      <w:r>
        <w:rPr>
          <w:rFonts w:ascii="Times New Roman" w:cs="Times New Roman" w:eastAsia="Times New Roman" w:hAnsi="Times New Roman"/>
          <w:sz w:val="18"/>
          <w:szCs w:val="18"/>
          <w:color w:val="auto"/>
        </w:rPr>
        <w:t>The Company reports its customer revenues in five geographic regions: the Americas, EIMEA, Japan, China and Asia Pacific. The Americas region primarily includes the United States, Canada and Latin America. The EIMEA region includes Europe, India, the Middle East, and Africa. The Asia Pacific region consists of Asia (excluding Japan and China), Australia and New Zealand.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following summarizes net revenue by geographic region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24,450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58,427</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EIMEA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40,569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118,187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105,316</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18,322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93,877</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12,183</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32,928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38,220</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35,122</w:t>
            </w: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104,845</w:t>
            </w:r>
          </w:p>
        </w:tc>
        <w:tc>
          <w:tcPr>
            <w:tcW w:w="26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301,028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330,962</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Long-Lived Assets</w:t>
      </w:r>
    </w:p>
    <w:p>
      <w:pPr>
        <w:spacing w:after="0" w:line="229" w:lineRule="exact"/>
        <w:rPr>
          <w:sz w:val="20"/>
          <w:szCs w:val="20"/>
          <w:color w:val="auto"/>
        </w:rPr>
      </w:pPr>
    </w:p>
    <w:p>
      <w:pPr>
        <w:jc w:val="both"/>
        <w:ind w:firstLine="234"/>
        <w:spacing w:after="0" w:line="282" w:lineRule="auto"/>
        <w:rPr>
          <w:sz w:val="20"/>
          <w:szCs w:val="20"/>
          <w:color w:val="auto"/>
        </w:rPr>
      </w:pPr>
      <w:r>
        <w:rPr>
          <w:rFonts w:ascii="Times New Roman" w:cs="Times New Roman" w:eastAsia="Times New Roman" w:hAnsi="Times New Roman"/>
          <w:sz w:val="18"/>
          <w:szCs w:val="18"/>
          <w:color w:val="auto"/>
        </w:rPr>
        <w:t>Information regarding geographic areas in which the Company has long-lived assets, which consists of property, plant and equipment, net, and operating lease right-of-use assets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EIMEA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61,773</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long-lived assets in the Americas region are located in the United States as of March 31, 2026, and June 30,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Joint Venture</w:t>
      </w:r>
    </w:p>
    <w:p>
      <w:pPr>
        <w:spacing w:after="0" w:line="229" w:lineRule="exact"/>
        <w:rPr>
          <w:sz w:val="20"/>
          <w:szCs w:val="20"/>
          <w:color w:val="auto"/>
        </w:rPr>
      </w:pPr>
    </w:p>
    <w:p>
      <w:pPr>
        <w:ind w:right="100" w:firstLine="234"/>
        <w:spacing w:after="0" w:line="258" w:lineRule="auto"/>
        <w:rPr>
          <w:sz w:val="20"/>
          <w:szCs w:val="20"/>
          <w:color w:val="auto"/>
        </w:rPr>
      </w:pPr>
      <w:r>
        <w:rPr>
          <w:rFonts w:ascii="Times New Roman" w:cs="Times New Roman" w:eastAsia="Times New Roman" w:hAnsi="Times New Roman"/>
          <w:sz w:val="18"/>
          <w:szCs w:val="18"/>
          <w:color w:val="auto"/>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March 31, 2026, the Company owned a 49% interest in the JV, which is reported as an investment in joint venture on the Company’s unaudited condensed consolidated balance sheets.</w:t>
      </w:r>
    </w:p>
    <w:p>
      <w:pPr>
        <w:spacing w:after="0" w:line="183" w:lineRule="exact"/>
        <w:rPr>
          <w:sz w:val="20"/>
          <w:szCs w:val="20"/>
          <w:color w:val="auto"/>
        </w:rPr>
      </w:pPr>
    </w:p>
    <w:p>
      <w:pPr>
        <w:ind w:right="120" w:firstLine="234"/>
        <w:spacing w:after="0" w:line="254"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or loss on a one-quarter lag due to the timing of the availability of the JV’s financial records. The Company recognizes revenue on sales to the JV in the current period of control transfer, eliminating a portion of profit to the extent goods sold have not been sold through by the JV to an end customer by the end of each reporting period. With the receipt of the necessary permits and licenses to operate, the JV has begun to manufacture and sell a locally branded “Made in China” radiotherapy device, the Tomo C radiation therapy system, in the Class B license category. The JV also distributes other Accuray treatment delivery systems like the Radixact and CyberKnife treatment delivery systems, including the Radixact SynC and CyberKnife S7 Systems, which received NMPA approval in January 2025.</w:t>
      </w:r>
    </w:p>
    <w:p>
      <w:pPr>
        <w:spacing w:after="0" w:line="192" w:lineRule="exact"/>
        <w:rPr>
          <w:sz w:val="20"/>
          <w:szCs w:val="20"/>
          <w:color w:val="auto"/>
        </w:rPr>
      </w:pPr>
    </w:p>
    <w:p>
      <w:pPr>
        <w:ind w:right="620" w:firstLine="234"/>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reconciliation between the carrying value of the Company's investment in the JV and its proportional share of the underlying equity in net assets of the JV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investment in joint venture</w:t>
            </w:r>
          </w:p>
        </w:tc>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intra-entity gross profit</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17,457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goodwill</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(4,720)</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Proportional share of equity investment in joint venture</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1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234"/>
        <w:spacing w:after="0" w:line="266" w:lineRule="auto"/>
        <w:rPr>
          <w:sz w:val="20"/>
          <w:szCs w:val="20"/>
          <w:color w:val="auto"/>
        </w:rPr>
      </w:pPr>
      <w:r>
        <w:rPr>
          <w:rFonts w:ascii="Times New Roman" w:cs="Times New Roman" w:eastAsia="Times New Roman" w:hAnsi="Times New Roman"/>
          <w:sz w:val="18"/>
          <w:szCs w:val="18"/>
          <w:color w:val="auto"/>
        </w:rPr>
        <w:t>As of March 31, 2026, and June 30, 2025, the Company’s carrying value of the investment in the JV was decreased for the Company's proportional share of the JV's currency translation adjustment by $0.1 million and $0.4 million, respectively. In June 2025, the JV declared a $2.5 million dividend to the Company which was paid in July 2025. There were no dividends declared as of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Summarized financial information of the JV is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24"/>
                <w:szCs w:val="24"/>
                <w:color w:val="auto"/>
              </w:rPr>
            </w:pPr>
          </w:p>
        </w:tc>
        <w:tc>
          <w:tcPr>
            <w:tcW w:w="240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2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40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41,566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90,882</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78,299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146,298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8,425</w:t>
            </w:r>
          </w:p>
        </w:tc>
        <w:tc>
          <w:tcPr>
            <w:tcW w:w="32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13,309</w:t>
            </w:r>
          </w:p>
        </w:tc>
        <w:tc>
          <w:tcPr>
            <w:tcW w:w="140" w:type="dxa"/>
            <w:vAlign w:val="bottom"/>
          </w:tcPr>
          <w:p>
            <w:pPr>
              <w:spacing w:after="0"/>
              <w:rPr>
                <w:sz w:val="18"/>
                <w:szCs w:val="18"/>
                <w:color w:val="auto"/>
              </w:rPr>
            </w:pPr>
          </w:p>
        </w:tc>
        <w:tc>
          <w:tcPr>
            <w:tcW w:w="118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19,192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20"/>
                <w:szCs w:val="20"/>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140" w:type="dxa"/>
            <w:vAlign w:val="bottom"/>
          </w:tcPr>
          <w:p>
            <w:pPr>
              <w:spacing w:after="0"/>
              <w:rPr>
                <w:sz w:val="20"/>
                <w:szCs w:val="20"/>
                <w:color w:val="auto"/>
              </w:rPr>
            </w:pPr>
          </w:p>
        </w:tc>
        <w:tc>
          <w:tcPr>
            <w:tcW w:w="118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1,318</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607"/>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180" w:type="dxa"/>
            <w:vAlign w:val="bottom"/>
          </w:tcPr>
          <w:p>
            <w:pPr>
              <w:spacing w:after="0"/>
              <w:rPr>
                <w:sz w:val="24"/>
                <w:szCs w:val="24"/>
                <w:color w:val="auto"/>
              </w:rPr>
            </w:pPr>
          </w:p>
        </w:tc>
        <w:tc>
          <w:tcPr>
            <w:tcW w:w="1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0" w:type="dxa"/>
            <w:vAlign w:val="bottom"/>
          </w:tcPr>
          <w:p>
            <w:pPr>
              <w:spacing w:after="0"/>
              <w:rPr>
                <w:sz w:val="1"/>
                <w:szCs w:val="1"/>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Summarized Balance Sheet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171,658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143,010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159,013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119,698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0360" w:type="dxa"/>
            <w:vAlign w:val="bottom"/>
            <w:gridSpan w:val="17"/>
          </w:tcPr>
          <w:p>
            <w:pPr>
              <w:ind w:left="240"/>
              <w:spacing w:after="0"/>
              <w:rPr>
                <w:sz w:val="20"/>
                <w:szCs w:val="20"/>
                <w:color w:val="auto"/>
              </w:rPr>
            </w:pPr>
            <w:r>
              <w:rPr>
                <w:rFonts w:ascii="Times New Roman" w:cs="Times New Roman" w:eastAsia="Times New Roman" w:hAnsi="Times New Roman"/>
                <w:sz w:val="18"/>
                <w:szCs w:val="18"/>
                <w:color w:val="auto"/>
              </w:rPr>
              <w:t>The following table shows the activity of the Company’s net revenue recognized from intra-entity gross profit from sales (in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24"/>
                <w:szCs w:val="24"/>
                <w:color w:val="auto"/>
              </w:rPr>
            </w:pPr>
          </w:p>
        </w:tc>
        <w:tc>
          <w:tcPr>
            <w:tcW w:w="240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gross profit recognized on sales to the JV</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gross profit on sales to the JV</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1,847</w:t>
            </w:r>
          </w:p>
        </w:tc>
        <w:tc>
          <w:tcPr>
            <w:tcW w:w="320" w:type="dxa"/>
            <w:vAlign w:val="bottom"/>
          </w:tcPr>
          <w:p>
            <w:pPr>
              <w:spacing w:after="0"/>
              <w:rPr>
                <w:sz w:val="19"/>
                <w:szCs w:val="19"/>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5,515</w:t>
            </w:r>
          </w:p>
        </w:tc>
        <w:tc>
          <w:tcPr>
            <w:tcW w:w="140" w:type="dxa"/>
            <w:vAlign w:val="bottom"/>
          </w:tcPr>
          <w:p>
            <w:pPr>
              <w:spacing w:after="0"/>
              <w:rPr>
                <w:sz w:val="19"/>
                <w:szCs w:val="19"/>
                <w:color w:val="auto"/>
              </w:rPr>
            </w:pPr>
          </w:p>
        </w:tc>
        <w:tc>
          <w:tcPr>
            <w:tcW w:w="118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5,412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(recognized) gross profit on sales to the JV (1)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260" w:hanging="332"/>
        <w:spacing w:after="0" w:line="26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Profits are deferred by the Company from the JV and are eliminated through cost of goods sold until it is realized. When profits are realized they are credited through cost of goods sold. Profits are considered realized when the inventory has been sold through to third parties.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Income Tax</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following summarizes the provision for income taxes (in thousands):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18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468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80" w:firstLine="234"/>
        <w:spacing w:after="0" w:line="282" w:lineRule="auto"/>
        <w:rPr>
          <w:sz w:val="20"/>
          <w:szCs w:val="20"/>
          <w:color w:val="auto"/>
        </w:rPr>
      </w:pPr>
      <w:r>
        <w:rPr>
          <w:rFonts w:ascii="Times New Roman" w:cs="Times New Roman" w:eastAsia="Times New Roman" w:hAnsi="Times New Roman"/>
          <w:sz w:val="18"/>
          <w:szCs w:val="18"/>
          <w:color w:val="auto"/>
        </w:rPr>
        <w:t>On a quarterly basis, the Company provides for income taxes based upon an estimated annual effective income tax rate. The Company's income tax expense during three and nine months ended March 31, 2026 and 2025, was primarily related to foreign taxes.</w:t>
      </w:r>
    </w:p>
    <w:p>
      <w:pPr>
        <w:spacing w:after="0" w:line="162"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On July 4, 2025, new federal tax legislation was enacted, introducing significant changes to U.S. corporate income tax law. Key provisions include the optional expensing of domestic research and development costs under Section 174, modifications to business interest deductions under Section 163(j), and changes to international tax rules such as GILTI. Some provisions are effective retroactively to January 1, 2025, while others phase in through 2027. Due to the full valuation allowance maintained against the Company’s U.S. deferred tax assets, the enactment of this legislation did not have a material impact on the Company’s income tax provision for the quarter ended March 31, 2026. Any required updates to deferred tax balances or related disclosures will be reflected in the Company’s annual financial statements, as applicable. At June 30, 2025, the Company’s gross unrecognized tax benefits were</w:t>
      </w:r>
    </w:p>
    <w:p>
      <w:pPr>
        <w:spacing w:after="0" w:line="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$22.6 million, of which $21.8 million would not affect income tax expense before consideration of any valuation allowance. The Company does not expect its unrecognized tax benefits to change significantly during fiscal year 2026. Interest and penalties accrued on unrecognized tax benefits are recorded as a component of income tax expense.</w:t>
      </w: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ind w:right="40" w:firstLine="234"/>
        <w:spacing w:after="0" w:line="256" w:lineRule="auto"/>
        <w:rPr>
          <w:sz w:val="20"/>
          <w:szCs w:val="20"/>
          <w:color w:val="auto"/>
        </w:rPr>
      </w:pPr>
      <w:r>
        <w:rPr>
          <w:rFonts w:ascii="Times New Roman" w:cs="Times New Roman" w:eastAsia="Times New Roman" w:hAnsi="Times New Roman"/>
          <w:sz w:val="18"/>
          <w:szCs w:val="18"/>
          <w:color w:val="auto"/>
        </w:rPr>
        <w:t>On October 18, 2025, the Company entered into a consulting agreement (the “Agreement”) with Dedication Capital, LLC (“Dedication Capital”), an affiliate of Steven F. Mayer, a member of the board of directors (the “Board”) of the Company. Pursuant to the Agreement, Mr. Mayer, the chief executive officer of Dedication Capital, was appointed as Transformation Board Sponsor, providing consulting services to the Company over a period of one year. Mr. Mayer’s services will include, among other things, responsibility for leading the Company’s planning and execution of certain strategic, organizational, cultural, and operational initiatives and transformation in consultation with the Company’s Chief Executive Officer (“CEO”), onboarding the CEO and consulting with the CEO on other matters, and establishing the composition and duties of a transformation office.</w:t>
      </w:r>
    </w:p>
    <w:p>
      <w:pPr>
        <w:spacing w:after="0" w:line="187" w:lineRule="exact"/>
        <w:rPr>
          <w:sz w:val="20"/>
          <w:szCs w:val="20"/>
          <w:color w:val="auto"/>
        </w:rPr>
      </w:pPr>
    </w:p>
    <w:p>
      <w:pPr>
        <w:ind w:right="20" w:firstLine="234"/>
        <w:spacing w:after="0" w:line="256" w:lineRule="auto"/>
        <w:rPr>
          <w:sz w:val="20"/>
          <w:szCs w:val="20"/>
          <w:color w:val="auto"/>
        </w:rPr>
      </w:pPr>
      <w:r>
        <w:rPr>
          <w:rFonts w:ascii="Times New Roman" w:cs="Times New Roman" w:eastAsia="Times New Roman" w:hAnsi="Times New Roman"/>
          <w:sz w:val="18"/>
          <w:szCs w:val="18"/>
          <w:color w:val="auto"/>
        </w:rPr>
        <w:t>In consideration for the services to be provided to the Company, Dedication Capital and Mr. Mayer will receive (i) a base consulting fee of $600,000 per year (ii) a cash incentive award for fiscal year 2026 and the first 3 ½ months of fiscal 2027 totaling up to $750,000, where $375,000 is guaranteed, and (iii) equity awards granted to Mr. Mayer consisting of (a) 1.25 million restricted stock awards (“RSAs”) with a grant date fair value of $1.5 million and (b) 1.25 million performance-based stock awards (“PRSA”) with a grant date fair value of $0.9 million. The RSAs will vest one year from the grant date and no later than November 28, 2026, and the PRSAs will be eligible to vest based on the Company’s stock price performance over an approximately six-year performance period ending on September 30, 2031.</w:t>
      </w:r>
    </w:p>
    <w:p>
      <w:pPr>
        <w:spacing w:after="0" w:line="187" w:lineRule="exact"/>
        <w:rPr>
          <w:sz w:val="20"/>
          <w:szCs w:val="20"/>
          <w:color w:val="auto"/>
        </w:rPr>
      </w:pPr>
    </w:p>
    <w:p>
      <w:pPr>
        <w:ind w:right="60" w:firstLine="234"/>
        <w:spacing w:after="0" w:line="258" w:lineRule="auto"/>
        <w:rPr>
          <w:sz w:val="20"/>
          <w:szCs w:val="20"/>
          <w:color w:val="auto"/>
        </w:rPr>
      </w:pPr>
      <w:r>
        <w:rPr>
          <w:rFonts w:ascii="Times New Roman" w:cs="Times New Roman" w:eastAsia="Times New Roman" w:hAnsi="Times New Roman"/>
          <w:sz w:val="18"/>
          <w:szCs w:val="18"/>
          <w:color w:val="auto"/>
        </w:rPr>
        <w:t>The Company recorded $0.2 million and $0.4 million for consulting fees and the incentive target bonus for services provided by Dedication Capital and Mr. Mayer during the three and nine months ended March 31, 2026. The Company recorded $0.5 million and $0.7 million in stock compensation expense during the three and nine months ended March 31, 2026, respectively, for the RSA and PRSAs. The Company includes the consulting fees and incentive target bonus provided by Mr. Mayer in restructuring expenses as these expenses are directly tied to the execution of the FY26 Restructuring Plan (as defined in Note 7). The Company includes expenses for the RSAs and PRSAs in stock-based compensation expenses.</w:t>
      </w:r>
    </w:p>
    <w:p>
      <w:pPr>
        <w:spacing w:after="0" w:line="183" w:lineRule="exact"/>
        <w:rPr>
          <w:sz w:val="20"/>
          <w:szCs w:val="20"/>
          <w:color w:val="auto"/>
        </w:rPr>
      </w:pPr>
    </w:p>
    <w:p>
      <w:pPr>
        <w:ind w:right="160" w:firstLine="234"/>
        <w:spacing w:after="0" w:line="261" w:lineRule="auto"/>
        <w:rPr>
          <w:sz w:val="20"/>
          <w:szCs w:val="20"/>
          <w:color w:val="auto"/>
        </w:rPr>
      </w:pPr>
      <w:r>
        <w:rPr>
          <w:rFonts w:ascii="Times New Roman" w:cs="Times New Roman" w:eastAsia="Times New Roman" w:hAnsi="Times New Roman"/>
          <w:sz w:val="18"/>
          <w:szCs w:val="18"/>
          <w:color w:val="auto"/>
        </w:rPr>
        <w:t>On April 1, 2026, the Company amended the Agreement (the “Amended Agreement”). The Amended Agreement reduced the following by fifty percent: (1) the base consulting fee for the period of March 31, 2026 through October 31, 2026, (2) the minimum amount payable under the guaranteed cash incentive award for the period ended June 30, 2026, and (3) the minimum guaranteed mid-year cash incentive award for the period ended September 30, 2026. In addition, the Company accelerated 0.9 million of the RSAs to vest on April 1, 2026, and the remaining shares will vest on October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firstLine="23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as of March 31, 2026, and results of operations for the three and nine months ended March 31, 2026 and 2025 should be read together with our unaudited condensed consolidated financial statements and related notes included in this report. Statements made in this Form 10-Q report that are not statements of historical fact are forward-looking statements that are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our expectations regarding backlog, age-ins and age-outs, cancellations of contracts and foreign currency impacts; the anticipated drivers of our future capital requirements; expectations regarding our strategy in China and our China joint venture as well as its expected impact on our business; expectations regarding the market in China for radiation oncology systems; expectations regarding the effects of the global macroeconomic conditions on our financial results and business as well as the business of our customers and suppliers; expectations regarding the impact of changes in government administration policy positions;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our expectations regarding the adequacy of our manufacturing facilities; the anticipated risks associated with our foreign operations and fluctuations in the U.S. Dollar and foreign currencies as well as our ability to mitigate such risks; potential changes in tariffs export controls, trade sanctions, and other trade policies; expectations related to the effect of the GILTI tax and the One Big Beautiful Bill Act on the company; expectations related to our convertible notes and credit facilities;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will be,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 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 likely result,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These forward-looking statements involve risks and uncertainties. If any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II, Item 1A, and other filings we make with the Securities and Exchange Commission. Forward-looking statements speak only as of the date the statements are made and are based on information available to us at the time those statements are made and/or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In this report,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Accuray,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Accuray Incorporated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183"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Our innovative technologies, the CyberKnife® and TomoTherapy® platforms, including the Radixact®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right="80" w:firstLine="234"/>
        <w:spacing w:after="0" w:line="254" w:lineRule="auto"/>
        <w:rPr>
          <w:sz w:val="20"/>
          <w:szCs w:val="20"/>
          <w:color w:val="auto"/>
        </w:rPr>
      </w:pPr>
      <w:r>
        <w:rPr>
          <w:rFonts w:ascii="Times New Roman" w:cs="Times New Roman" w:eastAsia="Times New Roman" w:hAnsi="Times New Roman"/>
          <w:sz w:val="18"/>
          <w:szCs w:val="18"/>
          <w:color w:val="auto"/>
        </w:rPr>
        <w:t>We are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the recent escalation of conflict in Iran, the Middle East and Southwest Asia, including the impact on global supply chains and oil prices, as well as other geopolitical concerns, such as the Russia-Ukraine conflict, and tension between China and the U.S., including with respect to Taiwan; uncertainty caused by the China anti-corruption campaign and timing of the China stimulus program; changes in government administration policy positions; new tariffs on global imports and uncertainties regarding impact, retaliations and further escalation, including against other countries; and other factors that may emerge. We are also continuing to navigate supply chain and inflation challenges, both of which continue to be a significant headwind that affects the Company’s results of operations.</w:t>
      </w:r>
    </w:p>
    <w:p>
      <w:pPr>
        <w:spacing w:after="0" w:line="192"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We expect that the business of our customers and our own business will continue to be adversely impacted, directly or indirectly, by these macroeconomic and geopolitical issues. For example, we had product shipments planned in the third quarter of fiscal year 2026 to certain customers in the Middle East, North Africa and Pakistan that have been delayed indefinitely due to geopolitical disruption in the Middle East and continued pressure in China, which is also impacting our service revenue in those regions. In addition, ongoing supply chain challenges and logistics costs, including difficulties in obtaining a sufficient supply of component materials and increased component costs, have adversely affected our gross margins and net income (loss), and we currently expects that gross margins and net income (loss) will continue to be adversely affected by increased material costs and freight and logistics expenses through at least fiscal year 2026, and potentially longer. In addition, we expect inflation and the ongoing supply chain challenges and logistics costs to impact our cash from operations through at least fiscal year 2026.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w:t>
      </w:r>
    </w:p>
    <w:p>
      <w:pPr>
        <w:spacing w:after="0" w:line="190" w:lineRule="exact"/>
        <w:rPr>
          <w:sz w:val="20"/>
          <w:szCs w:val="20"/>
          <w:color w:val="auto"/>
        </w:rPr>
      </w:pPr>
    </w:p>
    <w:p>
      <w:pPr>
        <w:ind w:firstLine="234"/>
        <w:spacing w:after="0" w:line="256" w:lineRule="auto"/>
        <w:rPr>
          <w:sz w:val="20"/>
          <w:szCs w:val="20"/>
          <w:color w:val="auto"/>
        </w:rPr>
      </w:pPr>
      <w:r>
        <w:rPr>
          <w:rFonts w:ascii="Times New Roman" w:cs="Times New Roman" w:eastAsia="Times New Roman" w:hAnsi="Times New Roman"/>
          <w:sz w:val="18"/>
          <w:szCs w:val="18"/>
          <w:color w:val="auto"/>
        </w:rPr>
        <w:t>As a global company, approximately 70% of our raw materials and product components are sourced within the U.S. and finished products are assembled and manufactured within the U.S. with over 80% exported throughout the world. There remains significant tariff uncertainty, including related to existing tariffs associated with U.S.-China trade, which we expect will continue to have incremental costs to the company. If existing tariffs increase, we would expect minimal shipments to China despite customer demand. We continue to work to implement mitigations to the tariff policy impacts, however, we cannot predict the full impact or timing of such efforts and expect that sales to China will be adversely impacted, and our financial results have been adversely impacted in the past and may continue to be adversely impacted in the future.</w:t>
      </w:r>
    </w:p>
    <w:p>
      <w:pPr>
        <w:spacing w:after="0" w:line="187" w:lineRule="exact"/>
        <w:rPr>
          <w:sz w:val="20"/>
          <w:szCs w:val="20"/>
          <w:color w:val="auto"/>
        </w:rPr>
      </w:pPr>
    </w:p>
    <w:p>
      <w:pPr>
        <w:ind w:right="100" w:firstLine="234"/>
        <w:spacing w:after="0" w:line="254" w:lineRule="auto"/>
        <w:rPr>
          <w:sz w:val="20"/>
          <w:szCs w:val="20"/>
          <w:color w:val="auto"/>
        </w:rPr>
      </w:pPr>
      <w:r>
        <w:rPr>
          <w:rFonts w:ascii="Times New Roman" w:cs="Times New Roman" w:eastAsia="Times New Roman" w:hAnsi="Times New Roman"/>
          <w:sz w:val="18"/>
          <w:szCs w:val="18"/>
          <w:color w:val="auto"/>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to conserve cash in light of the uncertain macroeconomic environment due to tariffs, and to evaluate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on our business, are further described in the section titled “Risk Factors” in Part II, Item 1A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Products</w:t>
      </w:r>
    </w:p>
    <w:p>
      <w:pPr>
        <w:spacing w:after="0" w:line="229" w:lineRule="exact"/>
        <w:rPr>
          <w:sz w:val="20"/>
          <w:szCs w:val="20"/>
          <w:color w:val="auto"/>
        </w:rPr>
      </w:pPr>
    </w:p>
    <w:p>
      <w:pPr>
        <w:ind w:right="140" w:firstLine="234"/>
        <w:spacing w:after="0" w:line="256" w:lineRule="auto"/>
        <w:rPr>
          <w:sz w:val="20"/>
          <w:szCs w:val="20"/>
          <w:color w:val="auto"/>
        </w:rPr>
      </w:pPr>
      <w:r>
        <w:rPr>
          <w:rFonts w:ascii="Times New Roman" w:cs="Times New Roman" w:eastAsia="Times New Roman" w:hAnsi="Times New Roman"/>
          <w:sz w:val="18"/>
          <w:szCs w:val="18"/>
          <w:color w:val="auto"/>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five geographic regions: the Americas, EIMEA, Japan, China and Asia Pacific. The Americas region includes the United States, Canada and Latin America. The EIMEA region includes Europe, India, the Middle East and Africa. The Asia Pacific region consists of Asia (excluding Japan and China), Australia and New Zealand.</w:t>
      </w:r>
    </w:p>
    <w:p>
      <w:pPr>
        <w:spacing w:after="0" w:line="187" w:lineRule="exact"/>
        <w:rPr>
          <w:sz w:val="20"/>
          <w:szCs w:val="20"/>
          <w:color w:val="auto"/>
        </w:rPr>
      </w:pPr>
    </w:p>
    <w:p>
      <w:pPr>
        <w:ind w:right="120" w:firstLine="234"/>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229" w:lineRule="exact"/>
        <w:rPr>
          <w:sz w:val="20"/>
          <w:szCs w:val="20"/>
          <w:color w:val="auto"/>
        </w:rPr>
      </w:pPr>
    </w:p>
    <w:p>
      <w:pPr>
        <w:ind w:right="260" w:firstLine="234"/>
        <w:spacing w:after="0" w:line="258" w:lineRule="auto"/>
        <w:rPr>
          <w:sz w:val="20"/>
          <w:szCs w:val="20"/>
          <w:color w:val="auto"/>
        </w:rPr>
      </w:pPr>
      <w:r>
        <w:rPr>
          <w:rFonts w:ascii="Times New Roman" w:cs="Times New Roman" w:eastAsia="Times New Roman" w:hAnsi="Times New Roman"/>
          <w:sz w:val="18"/>
          <w:szCs w:val="18"/>
          <w:color w:val="auto"/>
        </w:rPr>
        <w:t>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w:t>
      </w:r>
    </w:p>
    <w:p>
      <w:pPr>
        <w:spacing w:after="0" w:line="183" w:lineRule="exact"/>
        <w:rPr>
          <w:sz w:val="20"/>
          <w:szCs w:val="20"/>
          <w:color w:val="auto"/>
        </w:rPr>
      </w:pPr>
    </w:p>
    <w:p>
      <w:pPr>
        <w:ind w:right="60" w:firstLine="234"/>
        <w:spacing w:after="0" w:line="256" w:lineRule="auto"/>
        <w:rPr>
          <w:sz w:val="20"/>
          <w:szCs w:val="20"/>
          <w:color w:val="auto"/>
        </w:rPr>
      </w:pPr>
      <w:r>
        <w:rPr>
          <w:rFonts w:ascii="Times New Roman" w:cs="Times New Roman" w:eastAsia="Times New Roman" w:hAnsi="Times New Roman"/>
          <w:sz w:val="18"/>
          <w:szCs w:val="18"/>
          <w:color w:val="auto"/>
        </w:rPr>
        <w:t>The JV sells our products in China, much like a distributor and also manufactures and sells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spacing w:after="0" w:line="187" w:lineRule="exact"/>
        <w:rPr>
          <w:sz w:val="20"/>
          <w:szCs w:val="20"/>
          <w:color w:val="auto"/>
        </w:rPr>
      </w:pPr>
    </w:p>
    <w:p>
      <w:pPr>
        <w:ind w:right="20" w:firstLine="234"/>
        <w:spacing w:after="0" w:line="261" w:lineRule="auto"/>
        <w:rPr>
          <w:sz w:val="20"/>
          <w:szCs w:val="20"/>
          <w:color w:val="auto"/>
        </w:rPr>
      </w:pPr>
      <w:r>
        <w:rPr>
          <w:rFonts w:ascii="Times New Roman" w:cs="Times New Roman" w:eastAsia="Times New Roman" w:hAnsi="Times New Roman"/>
          <w:sz w:val="18"/>
          <w:szCs w:val="18"/>
          <w:color w:val="auto"/>
        </w:rPr>
        <w:t>There remains significant tariff uncertainty, including related to existing tariffs associated with U.S.-China trade, which we expect will continue to have incremental costs to the company. We continue to work to implement mitigations to the tariff policy impacts, however, we cannot predict the full impact or timing of such efforts and expect that sales to China will be adversely impacted, and our financial results are expected to be adversely impacted through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Transformation Plan and Restructuring</w:t>
      </w:r>
    </w:p>
    <w:p>
      <w:pPr>
        <w:spacing w:after="0" w:line="229"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In fiscal year 2026, the Company announced a comprehensive strategic, operational, and organizational, transformation plan (the "Transformation Plan”). The Transformational Plan initiatives are designed to increase operating margins, enhance organizational responsiveness and agility, and position the Company for sustainable, profitable growth. In connection with the Transformation Plan, in December 2025, the Company announced the first phase of the Transformation Plan, which is designed to realign its organization to produce sharper accountability, tighter cost control, and faster execution. The actions taken by the Company are intended to right-size the Company’s cost structure, outsource selected non-core activities while building internal global centers of excellence, reallocate engineering resources, and better position the commercial organization to drive sales growth and enhance competitiveness. The organizational realignment element of the plan focuses on four major areas: streamlining the Company’s commercial structure, centralizing and globalizing core functions, elevating the global heads of service and product development to report directly to the CEO, and optimizing the Company's workforce and footprint. In parallel, the Company is also outsourcing selected non-core activities, rationalizing facilities, implementing programs to improve direct and indirect spend efficiency, and reallocating engineering resources to focus on high ROI programs and integration of third party solutions.</w:t>
      </w:r>
    </w:p>
    <w:p>
      <w:pPr>
        <w:spacing w:after="0" w:line="192" w:lineRule="exact"/>
        <w:rPr>
          <w:sz w:val="20"/>
          <w:szCs w:val="20"/>
          <w:color w:val="auto"/>
        </w:rPr>
      </w:pPr>
    </w:p>
    <w:p>
      <w:pPr>
        <w:ind w:right="60" w:firstLine="162"/>
        <w:spacing w:after="0" w:line="254" w:lineRule="auto"/>
        <w:rPr>
          <w:sz w:val="20"/>
          <w:szCs w:val="20"/>
          <w:color w:val="auto"/>
        </w:rPr>
      </w:pPr>
      <w:r>
        <w:rPr>
          <w:rFonts w:ascii="Times New Roman" w:cs="Times New Roman" w:eastAsia="Times New Roman" w:hAnsi="Times New Roman"/>
          <w:sz w:val="18"/>
          <w:szCs w:val="18"/>
          <w:color w:val="auto"/>
        </w:rPr>
        <w:t>The actions also included a restructuring of the Company’s workforce (the “FY26 Restructuring Plan”) that resulted in the elimination of approximately 3% of the global workforce during the three months ended September 30, 2025, and the elimination of approximately 15% of the global workforce during three months ended December 31, 2025. Certain employees notified during the three months ended December 31, 2025, have various termination dates during the quarterly periods ended March 31, 2026, and June 30, 2026. Restructuring charges also include third-party implementation and other costs that were directly tied to the execution of the FY26 Restructuring Plan, as well as asset impairments for certain capitalized assets as a result of the FY26 Restructuring Plan. Total restructuring charges during the three and nine months ended March 31, 2026, were $6.5 million and $15.4 million respectively. Restructuring charges for the FY26 Restructuring Plan are expec</w:t>
      </w:r>
      <w:r>
        <w:rPr>
          <w:rFonts w:ascii="Times New Roman" w:cs="Times New Roman" w:eastAsia="Times New Roman" w:hAnsi="Times New Roman"/>
          <w:sz w:val="18"/>
          <w:szCs w:val="18"/>
          <w:color w:val="333333"/>
        </w:rPr>
        <w:t>ted to be approximately $17 million in fiscal year 2026.</w:t>
      </w:r>
      <w:r>
        <w:rPr>
          <w:rFonts w:ascii="Times New Roman" w:cs="Times New Roman" w:eastAsia="Times New Roman" w:hAnsi="Times New Roman"/>
          <w:sz w:val="18"/>
          <w:szCs w:val="18"/>
          <w:color w:val="auto"/>
        </w:rPr>
        <w:t xml:space="preserve"> The FY26 Restructuring Plan is expected to be substantially completed by June 30, 2026.</w:t>
      </w:r>
    </w:p>
    <w:p>
      <w:pPr>
        <w:spacing w:after="0" w:line="192" w:lineRule="exact"/>
        <w:rPr>
          <w:sz w:val="20"/>
          <w:szCs w:val="20"/>
          <w:color w:val="auto"/>
        </w:rPr>
      </w:pPr>
    </w:p>
    <w:p>
      <w:pPr>
        <w:ind w:right="540" w:firstLine="234"/>
        <w:spacing w:after="0" w:line="282" w:lineRule="auto"/>
        <w:rPr>
          <w:sz w:val="20"/>
          <w:szCs w:val="20"/>
          <w:color w:val="auto"/>
        </w:rPr>
      </w:pPr>
      <w:r>
        <w:rPr>
          <w:rFonts w:ascii="Times New Roman" w:cs="Times New Roman" w:eastAsia="Times New Roman" w:hAnsi="Times New Roman"/>
          <w:sz w:val="18"/>
          <w:szCs w:val="18"/>
          <w:color w:val="auto"/>
        </w:rPr>
        <w:t>In March 2026, as part of the Company’s cost-management efforts under the Transformation Plan, the Compensation Committee of the Board of Directors approved the discontinuation of cash compensation for non-employee directors during the fourth quarter of fiscal year 2026.</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order for the product portion of a system sales agreement to be included in backlog, it must meet the following criteria:</w:t>
      </w:r>
    </w:p>
    <w:p>
      <w:pPr>
        <w:spacing w:after="0" w:line="225" w:lineRule="exact"/>
        <w:rPr>
          <w:sz w:val="20"/>
          <w:szCs w:val="20"/>
          <w:color w:val="auto"/>
        </w:rPr>
      </w:pPr>
    </w:p>
    <w:p>
      <w:pPr>
        <w:ind w:left="780" w:right="120" w:hanging="327"/>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spacing w:after="0" w:line="175" w:lineRule="exact"/>
        <w:rPr>
          <w:rFonts w:ascii="Times New Roman" w:cs="Times New Roman" w:eastAsia="Times New Roman" w:hAnsi="Times New Roman"/>
          <w:sz w:val="18"/>
          <w:szCs w:val="18"/>
          <w:color w:val="auto"/>
        </w:rPr>
      </w:pPr>
    </w:p>
    <w:p>
      <w:pPr>
        <w:jc w:val="both"/>
        <w:ind w:left="780" w:right="40" w:hanging="327"/>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end-customer site has been identified by the customer in the written contract or written amendment; and</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30 months have passed since the contract met all the criteria above.</w:t>
      </w:r>
    </w:p>
    <w:p>
      <w:pPr>
        <w:spacing w:after="0" w:line="225" w:lineRule="exact"/>
        <w:rPr>
          <w:sz w:val="20"/>
          <w:szCs w:val="20"/>
          <w:color w:val="auto"/>
        </w:rPr>
      </w:pPr>
    </w:p>
    <w:p>
      <w:pPr>
        <w:ind w:right="40" w:firstLine="234"/>
        <w:spacing w:after="0" w:line="261" w:lineRule="auto"/>
        <w:rPr>
          <w:sz w:val="20"/>
          <w:szCs w:val="20"/>
          <w:color w:val="auto"/>
        </w:rPr>
      </w:pPr>
      <w:r>
        <w:rPr>
          <w:rFonts w:ascii="Times New Roman" w:cs="Times New Roman" w:eastAsia="Times New Roman" w:hAnsi="Times New Roman"/>
          <w:sz w:val="18"/>
          <w:szCs w:val="18"/>
          <w:color w:val="auto"/>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spacing w:after="0" w:line="180" w:lineRule="exact"/>
        <w:rPr>
          <w:sz w:val="20"/>
          <w:szCs w:val="20"/>
          <w:color w:val="auto"/>
        </w:rPr>
      </w:pPr>
    </w:p>
    <w:p>
      <w:pPr>
        <w:jc w:val="both"/>
        <w:ind w:left="780" w:right="40" w:hanging="327"/>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p>
      <w:pPr>
        <w:spacing w:after="0" w:line="175" w:lineRule="exact"/>
        <w:rPr>
          <w:rFonts w:ascii="Times New Roman" w:cs="Times New Roman" w:eastAsia="Times New Roman" w:hAnsi="Times New Roman"/>
          <w:sz w:val="18"/>
          <w:szCs w:val="18"/>
          <w:color w:val="auto"/>
        </w:rPr>
      </w:pPr>
    </w:p>
    <w:p>
      <w:pPr>
        <w:ind w:left="780" w:right="140" w:hanging="327"/>
        <w:spacing w:after="0" w:line="258"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p>
      <w:pPr>
        <w:spacing w:after="0" w:line="183" w:lineRule="exact"/>
        <w:rPr>
          <w:rFonts w:ascii="Times New Roman" w:cs="Times New Roman" w:eastAsia="Times New Roman" w:hAnsi="Times New Roman"/>
          <w:sz w:val="18"/>
          <w:szCs w:val="18"/>
          <w:color w:val="auto"/>
        </w:rPr>
      </w:pPr>
    </w:p>
    <w:p>
      <w:pPr>
        <w:ind w:left="780" w:right="200" w:hanging="327"/>
        <w:spacing w:after="0" w:line="289" w:lineRule="auto"/>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include amounts not denominated in U.S. Dollars and therefore, fluctuations in the U.S. Dollar as compared to other currencies will impact revenue. Generally, the strengthening of the U.S. Dollar will negatively impact revenue. Backlog is stated at historical foreign currency exchange rates, and revenue is released from backlog at current exchange rates, with any difference recorded as a backlog adjustment.</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gross orders, net orders, and order backlog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orders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Age-ins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Age-outs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(84,271)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 and other</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orders</w:t>
            </w:r>
          </w:p>
        </w:tc>
        <w:tc>
          <w:tcPr>
            <w:tcW w:w="18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Order backlog at the end of the period</w:t>
            </w:r>
          </w:p>
        </w:tc>
        <w:tc>
          <w:tcPr>
            <w:tcW w:w="1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356,235</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452,392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356,235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452,392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Orders and Book to Bill Ratio</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Gross orders are defined as the sum of new orders recorded during the period, adjusted for any revisions to existing orders during the period.</w:t>
      </w:r>
    </w:p>
    <w:p>
      <w:pPr>
        <w:spacing w:after="0" w:line="225" w:lineRule="exact"/>
        <w:rPr>
          <w:sz w:val="20"/>
          <w:szCs w:val="20"/>
          <w:color w:val="auto"/>
        </w:rPr>
      </w:pPr>
    </w:p>
    <w:p>
      <w:pPr>
        <w:ind w:right="300" w:firstLine="234"/>
        <w:spacing w:after="0" w:line="282" w:lineRule="auto"/>
        <w:rPr>
          <w:sz w:val="20"/>
          <w:szCs w:val="20"/>
          <w:color w:val="auto"/>
        </w:rPr>
      </w:pPr>
      <w:r>
        <w:rPr>
          <w:rFonts w:ascii="Times New Roman" w:cs="Times New Roman" w:eastAsia="Times New Roman" w:hAnsi="Times New Roman"/>
          <w:sz w:val="18"/>
          <w:szCs w:val="18"/>
          <w:color w:val="auto"/>
        </w:rPr>
        <w:t>Gross orders decreased by $22.6 million and $49.1 million during the three and nine months ended March 31, 2026, respectively, as compared to the same periods in the prior fiscal year, primarily due to a decrease in orders for our TomoTherapy Systems.</w:t>
      </w:r>
    </w:p>
    <w:p>
      <w:pPr>
        <w:spacing w:after="0" w:line="162" w:lineRule="exact"/>
        <w:rPr>
          <w:sz w:val="20"/>
          <w:szCs w:val="20"/>
          <w:color w:val="auto"/>
        </w:rPr>
      </w:pPr>
    </w:p>
    <w:p>
      <w:pPr>
        <w:ind w:firstLine="234"/>
        <w:spacing w:after="0" w:line="256" w:lineRule="auto"/>
        <w:rPr>
          <w:sz w:val="20"/>
          <w:szCs w:val="20"/>
          <w:color w:val="auto"/>
        </w:rPr>
      </w:pPr>
      <w:r>
        <w:rPr>
          <w:rFonts w:ascii="Times New Roman" w:cs="Times New Roman" w:eastAsia="Times New Roman" w:hAnsi="Times New Roman"/>
          <w:sz w:val="18"/>
          <w:szCs w:val="18"/>
          <w:color w:val="auto"/>
        </w:rPr>
        <w:t>Our book-to-bill ratio is defined as gross orders for the period divided by product revenue for the period. Our book-to-bill ratio was 1.0 and 1.2 for the three and nine months ended March 31, 2026, respectively, as compared to 1.2 and 1.2 for the three and nine months ended March 31, 2025, respectively. A book-to-bill ratio greater than 1.2 generally indicates strong demand for our products. This metric allows management to monitor our business development efforts to ensure we grow our backlog and our business over time. Given that book-to-bill ratio is an operational measure and that our methodology for calculating book-to-bill ratio does not meet the definition of a non-GAAP measure, as that term is defined by the Securities and Exchange Commission, a quantitative reconciliation for book-to-bill ratio is not required nor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Orders</w:t>
      </w:r>
    </w:p>
    <w:p>
      <w:pPr>
        <w:spacing w:after="0" w:line="229" w:lineRule="exact"/>
        <w:rPr>
          <w:sz w:val="20"/>
          <w:szCs w:val="20"/>
          <w:color w:val="auto"/>
        </w:rPr>
      </w:pPr>
    </w:p>
    <w:p>
      <w:pPr>
        <w:ind w:firstLine="234"/>
        <w:spacing w:after="0" w:line="266" w:lineRule="auto"/>
        <w:rPr>
          <w:sz w:val="20"/>
          <w:szCs w:val="20"/>
          <w:color w:val="auto"/>
        </w:rPr>
      </w:pPr>
      <w:r>
        <w:rPr>
          <w:rFonts w:ascii="Times New Roman" w:cs="Times New Roman" w:eastAsia="Times New Roman" w:hAnsi="Times New Roman"/>
          <w:sz w:val="18"/>
          <w:szCs w:val="18"/>
          <w:color w:val="auto"/>
        </w:rPr>
        <w:t>Net orders are defined as gross orders less cancellations, age-outs net of age-ins, foreign currency impacts and other adjustments during the period. Net orders decreased by $24.1 million and $70.8 million during the three and nine months ended March 31, 2026, respectively, as compared to the same periods in the prior fiscal year, primarily due to a decrease in gross orders, and a decrease in age-ins.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Three and Nine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revenue by sales classification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7"/>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0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0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Products </w:t>
            </w:r>
            <w:r>
              <w:rPr>
                <w:rFonts w:ascii="Times New Roman" w:cs="Times New Roman" w:eastAsia="Times New Roman" w:hAnsi="Times New Roman"/>
                <w:sz w:val="24"/>
                <w:szCs w:val="24"/>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57,320</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(13)</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6"/>
                <w:szCs w:val="26"/>
                <w:color w:val="auto"/>
                <w:vertAlign w:val="superscript"/>
              </w:rPr>
              <w:t>(b)</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55,131</w:t>
            </w: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55,923</w:t>
            </w:r>
          </w:p>
        </w:tc>
        <w:tc>
          <w:tcPr>
            <w:tcW w:w="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169,148</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164,084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330,962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Products revenue as a percentage of net</w:t>
            </w:r>
          </w:p>
        </w:tc>
        <w:tc>
          <w:tcPr>
            <w:tcW w:w="10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580" w:type="dxa"/>
            <w:vAlign w:val="bottom"/>
          </w:tcPr>
          <w:p>
            <w:pPr>
              <w:spacing w:after="0"/>
              <w:rPr>
                <w:sz w:val="15"/>
                <w:szCs w:val="15"/>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76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68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revenue as a percentage of net</w:t>
            </w: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76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268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3" w:lineRule="exact"/>
        <w:rPr>
          <w:sz w:val="20"/>
          <w:szCs w:val="20"/>
          <w:color w:val="auto"/>
        </w:rPr>
      </w:pPr>
    </w:p>
    <w:p>
      <w:pPr>
        <w:ind w:left="500" w:right="1640" w:hanging="317"/>
        <w:spacing w:after="0" w:line="261"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$11,083 and $32,716 during the three and nine months ended March 31, 2026, and $17,967 and $76,333 during the three and nine months ended March 31, 2025, respectively. See Note 12.</w:t>
      </w:r>
    </w:p>
    <w:p>
      <w:pPr>
        <w:spacing w:after="0" w:line="68" w:lineRule="exact"/>
        <w:rPr>
          <w:rFonts w:ascii="Times New Roman" w:cs="Times New Roman" w:eastAsia="Times New Roman" w:hAnsi="Times New Roman"/>
          <w:sz w:val="14"/>
          <w:szCs w:val="14"/>
          <w:color w:val="auto"/>
        </w:rPr>
      </w:pPr>
    </w:p>
    <w:p>
      <w:pPr>
        <w:ind w:left="500" w:right="1060" w:hanging="317"/>
        <w:spacing w:after="0" w:line="261"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$6,358 and $16,795 during the three and nine months ended March 31, 2026, and $5,351 and $14,588 during the three and nine months ended March 31, 2025, respectively. See Note 12.</w:t>
      </w:r>
    </w:p>
    <w:p>
      <w:pPr>
        <w:spacing w:after="0" w:line="167"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8"/>
          <w:szCs w:val="18"/>
          <w:color w:val="auto"/>
        </w:rPr>
        <w:t>Products net revenue decreased by $7.6 million and $35.0 million during the three and nine months ended March 31, 2026, respectively, as compared to the same periods in the prior fiscal year, due to a lower volume of shipments.</w:t>
      </w:r>
    </w:p>
    <w:p>
      <w:pPr>
        <w:spacing w:after="0" w:line="162" w:lineRule="exact"/>
        <w:rPr>
          <w:sz w:val="20"/>
          <w:szCs w:val="20"/>
          <w:color w:val="auto"/>
        </w:rPr>
      </w:pPr>
    </w:p>
    <w:p>
      <w:pPr>
        <w:ind w:right="40" w:firstLine="252"/>
        <w:spacing w:after="0" w:line="258" w:lineRule="auto"/>
        <w:rPr>
          <w:sz w:val="20"/>
          <w:szCs w:val="20"/>
          <w:color w:val="auto"/>
        </w:rPr>
      </w:pPr>
      <w:r>
        <w:rPr>
          <w:rFonts w:ascii="Times New Roman" w:cs="Times New Roman" w:eastAsia="Times New Roman" w:hAnsi="Times New Roman"/>
          <w:sz w:val="18"/>
          <w:szCs w:val="18"/>
          <w:color w:val="auto"/>
        </w:rPr>
        <w:t>Services net revenue decreased by $0.8 million during the three months ended March 31, 2026, as compared to the same period in the prior fiscal year, primarily due to a $1.2 million negative impact to service revenue as a result of the Middle East conflict, partially offset by an increase in contract revenues as a result of an increase in our install base. Services net revenue increased by $5.1 million during the nine months ended March 31, 2026 as compared to the same period in the prior fiscal year, primarily due to higher contract revenues resulting from an increase in our installed base, partially offset by a decrease in demand from customers for the purchase of spare parts.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7280" w:type="dxa"/>
            <w:vAlign w:val="bottom"/>
            <w:gridSpan w:val="10"/>
          </w:tcPr>
          <w:p>
            <w:pPr>
              <w:ind w:left="240"/>
              <w:spacing w:after="0"/>
              <w:rPr>
                <w:sz w:val="20"/>
                <w:szCs w:val="20"/>
                <w:color w:val="auto"/>
              </w:rPr>
            </w:pPr>
            <w:r>
              <w:rPr>
                <w:rFonts w:ascii="Times New Roman" w:cs="Times New Roman" w:eastAsia="Times New Roman" w:hAnsi="Times New Roman"/>
                <w:sz w:val="18"/>
                <w:szCs w:val="18"/>
                <w:color w:val="auto"/>
                <w:w w:val="99"/>
              </w:rPr>
              <w:t>Net revenue by geographic region, based on the shipping location of our customers, is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7"/>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4"/>
                <w:szCs w:val="24"/>
                <w:color w:val="auto"/>
              </w:rPr>
            </w:pPr>
          </w:p>
        </w:tc>
        <w:tc>
          <w:tcPr>
            <w:tcW w:w="3740" w:type="dxa"/>
            <w:vAlign w:val="bottom"/>
            <w:gridSpan w:val="8"/>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r>
      <w:tr>
        <w:trPr>
          <w:trHeight w:val="20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58,427</w:t>
            </w:r>
          </w:p>
        </w:tc>
        <w:tc>
          <w:tcPr>
            <w:tcW w:w="2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EIMEA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40,569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40,498</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118,187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105,316</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51,220</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93,877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32,928</w:t>
            </w:r>
          </w:p>
        </w:tc>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32,531</w:t>
            </w: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113,243</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234"/>
        <w:spacing w:after="0" w:line="266" w:lineRule="auto"/>
        <w:rPr>
          <w:sz w:val="20"/>
          <w:szCs w:val="20"/>
          <w:color w:val="auto"/>
        </w:rPr>
      </w:pPr>
      <w:r>
        <w:rPr>
          <w:rFonts w:ascii="Times New Roman" w:cs="Times New Roman" w:eastAsia="Times New Roman" w:hAnsi="Times New Roman"/>
          <w:sz w:val="18"/>
          <w:szCs w:val="18"/>
          <w:color w:val="auto"/>
        </w:rPr>
        <w:t>Net revenue decreased $8.4 million and $29.9 million during the three and nine months ended March 31, 2026, as compared to the same periods in the prior fiscal year, primarily due to a lower volume of shipments to China and Asia Pacific regions, partially offset by a higher volume of shipments to the Americas region.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7"/>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(20)</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gross profit as a percentage of net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234"/>
        <w:spacing w:after="0" w:line="261" w:lineRule="auto"/>
        <w:rPr>
          <w:sz w:val="20"/>
          <w:szCs w:val="20"/>
          <w:color w:val="auto"/>
        </w:rPr>
      </w:pPr>
      <w:r>
        <w:rPr>
          <w:rFonts w:ascii="Times New Roman" w:cs="Times New Roman" w:eastAsia="Times New Roman" w:hAnsi="Times New Roman"/>
          <w:sz w:val="18"/>
          <w:szCs w:val="18"/>
          <w:color w:val="auto"/>
        </w:rPr>
        <w:t>Gross profit decreased by $6.3 million and $31.6 million during the three and nine months ended March 31, 2026, respectively, as compared to the same periods in the prior fiscal year, primarily due to a decrease in product unit sales and product mix. The decrease in gross profit as a percentage of</w:t>
      </w:r>
    </w:p>
    <w:p>
      <w:pPr>
        <w:ind w:right="180"/>
        <w:spacing w:after="0" w:line="260" w:lineRule="auto"/>
        <w:rPr>
          <w:sz w:val="20"/>
          <w:szCs w:val="20"/>
          <w:color w:val="auto"/>
        </w:rPr>
      </w:pPr>
      <w:r>
        <w:rPr>
          <w:rFonts w:ascii="Times New Roman" w:cs="Times New Roman" w:eastAsia="Times New Roman" w:hAnsi="Times New Roman"/>
          <w:sz w:val="18"/>
          <w:szCs w:val="18"/>
          <w:color w:val="auto"/>
        </w:rPr>
        <w:t>revenue during the three and nine months ended March 31, 2026, as compared to the same periods in the prior fiscal year, was primarily due to higher net parts consumption of $3.2 million, as well as higher than average logistics and duties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2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2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1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10,712</w:t>
            </w:r>
          </w:p>
        </w:tc>
        <w:tc>
          <w:tcPr>
            <w:tcW w:w="8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36,472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9,110</w:t>
            </w:r>
          </w:p>
        </w:tc>
        <w:tc>
          <w:tcPr>
            <w:tcW w:w="8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28,986</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10,758</w:t>
            </w:r>
          </w:p>
        </w:tc>
        <w:tc>
          <w:tcPr>
            <w:tcW w:w="8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33,886</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15,425</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34,381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30,580</w:t>
            </w:r>
          </w:p>
        </w:tc>
        <w:tc>
          <w:tcPr>
            <w:tcW w:w="8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108,343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104,383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Research and development as a</w:t>
            </w:r>
          </w:p>
        </w:tc>
        <w:tc>
          <w:tcPr>
            <w:tcW w:w="1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net revenue</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8%</w:t>
            </w:r>
          </w:p>
        </w:tc>
        <w:tc>
          <w:tcPr>
            <w:tcW w:w="2080" w:type="dxa"/>
            <w:vAlign w:val="bottom"/>
          </w:tcPr>
          <w:p>
            <w:pPr>
              <w:jc w:val="right"/>
              <w:ind w:right="1150"/>
              <w:spacing w:after="0"/>
              <w:rPr>
                <w:sz w:val="20"/>
                <w:szCs w:val="20"/>
                <w:color w:val="auto"/>
              </w:rPr>
            </w:pPr>
            <w:r>
              <w:rPr>
                <w:rFonts w:ascii="Times New Roman" w:cs="Times New Roman" w:eastAsia="Times New Roman" w:hAnsi="Times New Roman"/>
                <w:sz w:val="18"/>
                <w:szCs w:val="18"/>
                <w:i w:val="1"/>
                <w:iCs w:val="1"/>
                <w:color w:val="auto"/>
              </w:rPr>
              <w:t>9%</w:t>
            </w: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10%</w:t>
            </w:r>
          </w:p>
        </w:tc>
        <w:tc>
          <w:tcPr>
            <w:tcW w:w="2280" w:type="dxa"/>
            <w:vAlign w:val="bottom"/>
          </w:tcPr>
          <w:p>
            <w:pPr>
              <w:jc w:val="right"/>
              <w:ind w:right="1330"/>
              <w:spacing w:after="0"/>
              <w:rPr>
                <w:sz w:val="20"/>
                <w:szCs w:val="20"/>
                <w:color w:val="auto"/>
              </w:rPr>
            </w:pPr>
            <w:r>
              <w:rPr>
                <w:rFonts w:ascii="Times New Roman" w:cs="Times New Roman" w:eastAsia="Times New Roman" w:hAnsi="Times New Roman"/>
                <w:sz w:val="18"/>
                <w:szCs w:val="18"/>
                <w:i w:val="1"/>
                <w:iCs w:val="1"/>
                <w:color w:val="auto"/>
              </w:rPr>
              <w:t>11%</w:t>
            </w:r>
          </w:p>
        </w:tc>
      </w:tr>
      <w:tr>
        <w:trPr>
          <w:trHeight w:val="196"/>
        </w:trPr>
        <w:tc>
          <w:tcPr>
            <w:tcW w:w="3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Selling and marketing as a percentage of</w:t>
            </w:r>
          </w:p>
        </w:tc>
        <w:tc>
          <w:tcPr>
            <w:tcW w:w="13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3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8%</w:t>
            </w:r>
          </w:p>
        </w:tc>
        <w:tc>
          <w:tcPr>
            <w:tcW w:w="208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i w:val="1"/>
                <w:iCs w:val="1"/>
                <w:color w:val="auto"/>
              </w:rPr>
              <w:t>8%</w:t>
            </w:r>
          </w:p>
        </w:tc>
        <w:tc>
          <w:tcPr>
            <w:tcW w:w="2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10%</w:t>
            </w:r>
          </w:p>
        </w:tc>
        <w:tc>
          <w:tcPr>
            <w:tcW w:w="228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i w:val="1"/>
                <w:iCs w:val="1"/>
                <w:color w:val="auto"/>
              </w:rPr>
              <w:t>10%</w:t>
            </w:r>
          </w:p>
        </w:tc>
      </w:tr>
      <w:tr>
        <w:trPr>
          <w:trHeight w:val="196"/>
        </w:trPr>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General and administrative as a</w:t>
            </w:r>
          </w:p>
        </w:tc>
        <w:tc>
          <w:tcPr>
            <w:tcW w:w="1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percentage of net revenue</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11%</w:t>
            </w:r>
          </w:p>
        </w:tc>
        <w:tc>
          <w:tcPr>
            <w:tcW w:w="2080" w:type="dxa"/>
            <w:vAlign w:val="bottom"/>
          </w:tcPr>
          <w:p>
            <w:pPr>
              <w:jc w:val="right"/>
              <w:ind w:right="1150"/>
              <w:spacing w:after="0"/>
              <w:rPr>
                <w:sz w:val="20"/>
                <w:szCs w:val="20"/>
                <w:color w:val="auto"/>
              </w:rPr>
            </w:pPr>
            <w:r>
              <w:rPr>
                <w:rFonts w:ascii="Times New Roman" w:cs="Times New Roman" w:eastAsia="Times New Roman" w:hAnsi="Times New Roman"/>
                <w:sz w:val="18"/>
                <w:szCs w:val="18"/>
                <w:i w:val="1"/>
                <w:iCs w:val="1"/>
                <w:color w:val="auto"/>
              </w:rPr>
              <w:t>9%</w:t>
            </w: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11%</w:t>
            </w:r>
          </w:p>
        </w:tc>
        <w:tc>
          <w:tcPr>
            <w:tcW w:w="2280" w:type="dxa"/>
            <w:vAlign w:val="bottom"/>
          </w:tcPr>
          <w:p>
            <w:pPr>
              <w:jc w:val="right"/>
              <w:ind w:right="1330"/>
              <w:spacing w:after="0"/>
              <w:rPr>
                <w:sz w:val="20"/>
                <w:szCs w:val="20"/>
                <w:color w:val="auto"/>
              </w:rPr>
            </w:pPr>
            <w:r>
              <w:rPr>
                <w:rFonts w:ascii="Times New Roman" w:cs="Times New Roman" w:eastAsia="Times New Roman" w:hAnsi="Times New Roman"/>
                <w:sz w:val="18"/>
                <w:szCs w:val="18"/>
                <w:i w:val="1"/>
                <w:iCs w:val="1"/>
                <w:color w:val="auto"/>
              </w:rPr>
              <w:t>11%</w:t>
            </w: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as percentage of net</w:t>
            </w:r>
          </w:p>
        </w:tc>
        <w:tc>
          <w:tcPr>
            <w:tcW w:w="13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208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0%</w:t>
            </w:r>
          </w:p>
        </w:tc>
      </w:tr>
      <w:tr>
        <w:trPr>
          <w:trHeight w:val="196"/>
        </w:trPr>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Total operating expenses as a percentage</w:t>
            </w:r>
          </w:p>
        </w:tc>
        <w:tc>
          <w:tcPr>
            <w:tcW w:w="1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 net revenue</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33%</w:t>
            </w:r>
          </w:p>
        </w:tc>
        <w:tc>
          <w:tcPr>
            <w:tcW w:w="2080" w:type="dxa"/>
            <w:vAlign w:val="bottom"/>
          </w:tcPr>
          <w:p>
            <w:pPr>
              <w:jc w:val="right"/>
              <w:ind w:right="1150"/>
              <w:spacing w:after="0"/>
              <w:rPr>
                <w:sz w:val="20"/>
                <w:szCs w:val="20"/>
                <w:color w:val="auto"/>
              </w:rPr>
            </w:pPr>
            <w:r>
              <w:rPr>
                <w:rFonts w:ascii="Times New Roman" w:cs="Times New Roman" w:eastAsia="Times New Roman" w:hAnsi="Times New Roman"/>
                <w:sz w:val="18"/>
                <w:szCs w:val="18"/>
                <w:i w:val="1"/>
                <w:iCs w:val="1"/>
                <w:color w:val="auto"/>
              </w:rPr>
              <w:t>27%</w:t>
            </w: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36%</w:t>
            </w:r>
          </w:p>
        </w:tc>
        <w:tc>
          <w:tcPr>
            <w:tcW w:w="2280" w:type="dxa"/>
            <w:vAlign w:val="bottom"/>
          </w:tcPr>
          <w:p>
            <w:pPr>
              <w:jc w:val="right"/>
              <w:ind w:right="1330"/>
              <w:spacing w:after="0"/>
              <w:rPr>
                <w:sz w:val="20"/>
                <w:szCs w:val="20"/>
                <w:color w:val="auto"/>
              </w:rPr>
            </w:pPr>
            <w:r>
              <w:rPr>
                <w:rFonts w:ascii="Times New Roman" w:cs="Times New Roman" w:eastAsia="Times New Roman" w:hAnsi="Times New Roman"/>
                <w:sz w:val="18"/>
                <w:szCs w:val="18"/>
                <w:i w:val="1"/>
                <w:iCs w:val="1"/>
                <w:color w:val="auto"/>
              </w:rPr>
              <w:t>32%</w:t>
            </w:r>
          </w:p>
        </w:tc>
      </w:tr>
      <w:tr>
        <w:trPr>
          <w:trHeight w:val="432"/>
        </w:trPr>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35</w:t>
            </w:r>
          </w:p>
        </w:tc>
        <w:tc>
          <w:tcPr>
            <w:tcW w:w="20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23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$2.5 million and $6.4 million during the three and nine months ended March 31, 2026, respectively, as compared to the same periods in the prior fiscal year primarily due to a $1.9 million and $5.8 million decrease in compensation and benefit costs as part of the FY26 Restructuring Plan for the three and nine months ended March 31, 2026, respectively, and lower spending for research and development projects in fiscal year 2026. In addition, the decrease in compensation and benefit costs expense during the nine months ended March 31, 2026, includes $2.9 million in labor costs that were capitalized for software development projects as compared to the prior year period.</w:t>
      </w:r>
    </w:p>
    <w:p>
      <w:pPr>
        <w:spacing w:after="0" w:line="183" w:lineRule="exact"/>
        <w:rPr>
          <w:sz w:val="20"/>
          <w:szCs w:val="20"/>
          <w:color w:val="auto"/>
        </w:rPr>
      </w:pPr>
    </w:p>
    <w:p>
      <w:pPr>
        <w:jc w:val="both"/>
        <w:ind w:right="280" w:firstLine="23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$0.7 million and $2.9 million during the three and nine months ended March 31, 2026, respectively, as compared to the same periods in the prior fiscal year, primarily due to lower compensation and benefit costs as part of the FY26 Restructuring Plan, and reduced spending on travel and trade shows in connection with ongoing cost-saving initiatives.</w:t>
      </w:r>
    </w:p>
    <w:p>
      <w:pPr>
        <w:spacing w:after="0" w:line="176" w:lineRule="exact"/>
        <w:rPr>
          <w:sz w:val="20"/>
          <w:szCs w:val="20"/>
          <w:color w:val="auto"/>
        </w:rPr>
      </w:pPr>
    </w:p>
    <w:p>
      <w:pPr>
        <w:ind w:right="60" w:firstLine="23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and during the three months ended March 31, 2026 as compared to the same period in the prior fiscal year primarily due to higher consulting and legal costs, partially offset by lower compensation and benefit costs as part of the FY26 Restructuring Plan. General and administrative expenses decreased by $2.1 million during the nine months ended March 31, 2026 as compared to the same periods in the prior fiscal year primarily due to $3.1 million in lower compensation and benefits costs as part of the FY26 Restructuring Plan, partially offset by higher bad debt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employee related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4,456</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Third-party implementation and other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8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w:t>
            </w:r>
          </w:p>
        </w:tc>
        <w:tc>
          <w:tcPr>
            <w:tcW w:w="34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1,163</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6,539</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8"/>
        </w:trPr>
        <w:tc>
          <w:tcPr>
            <w:tcW w:w="3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equity method investment,</w:t>
            </w: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8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from equity method investment, which relates to our JV, decreased by $1.9 million and $2.5 million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respectively, as compared to the same periods in the prior fiscal year, primarily due to decrease in revenue due to less shipments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JV to its end customers.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4"/>
                <w:szCs w:val="24"/>
                <w:color w:val="auto"/>
              </w:rPr>
            </w:pPr>
          </w:p>
        </w:tc>
        <w:tc>
          <w:tcPr>
            <w:tcW w:w="368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73"/>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3"/>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r>
      <w:tr>
        <w:trPr>
          <w:trHeight w:val="238"/>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coupon payments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paid-in-kind</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debt financing costs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for warrants issued to lenders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2,325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5,849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8,446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gridSpan w:val="2"/>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14"/>
                <w:szCs w:val="14"/>
                <w:color w:val="auto"/>
              </w:rPr>
              <w:t>192</w:t>
            </w:r>
            <w:r>
              <w:rPr>
                <w:rFonts w:ascii="Times New Roman" w:cs="Times New Roman" w:eastAsia="Times New Roman" w:hAnsi="Times New Roman"/>
                <w:sz w:val="25"/>
                <w:szCs w:val="25"/>
                <w:color w:val="auto"/>
                <w:vertAlign w:val="superscript"/>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14"/>
                <w:szCs w:val="14"/>
                <w:color w:val="auto"/>
              </w:rPr>
              <w:t>177</w:t>
            </w:r>
            <w:r>
              <w:rPr>
                <w:rFonts w:ascii="Times New Roman" w:cs="Times New Roman" w:eastAsia="Times New Roman" w:hAnsi="Times New Roman"/>
                <w:sz w:val="25"/>
                <w:szCs w:val="25"/>
                <w:color w:val="auto"/>
                <w:vertAlign w:val="superscript"/>
              </w:rPr>
              <w:t>%</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234"/>
        <w:spacing w:after="0" w:line="266" w:lineRule="auto"/>
        <w:rPr>
          <w:sz w:val="20"/>
          <w:szCs w:val="20"/>
          <w:color w:val="auto"/>
        </w:rPr>
      </w:pPr>
      <w:r>
        <w:rPr>
          <w:rFonts w:ascii="Times New Roman" w:cs="Times New Roman" w:eastAsia="Times New Roman" w:hAnsi="Times New Roman"/>
          <w:sz w:val="18"/>
          <w:szCs w:val="18"/>
          <w:color w:val="auto"/>
        </w:rPr>
        <w:t>Interest expense increased $5.5 million and $15.5 million during the three and nine months ended March 31, 2026, respectively, as compared to the same periods in the prior fiscal year, primarily due to our electing of non-cash interest-paid-in-kind during the current fiscal year and higher debt issuance costs as a result of debt financing costs and additional amortization costs related to issuance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from change in fair value of warrant liability</w:t>
      </w:r>
    </w:p>
    <w:p>
      <w:pPr>
        <w:spacing w:after="0" w:line="229" w:lineRule="exact"/>
        <w:rPr>
          <w:sz w:val="20"/>
          <w:szCs w:val="20"/>
          <w:color w:val="auto"/>
        </w:rPr>
      </w:pPr>
    </w:p>
    <w:p>
      <w:pPr>
        <w:ind w:right="240" w:firstLine="234"/>
        <w:spacing w:after="0" w:line="266" w:lineRule="auto"/>
        <w:rPr>
          <w:sz w:val="20"/>
          <w:szCs w:val="20"/>
          <w:color w:val="auto"/>
        </w:rPr>
      </w:pPr>
      <w:r>
        <w:rPr>
          <w:rFonts w:ascii="Times New Roman" w:cs="Times New Roman" w:eastAsia="Times New Roman" w:hAnsi="Times New Roman"/>
          <w:sz w:val="18"/>
          <w:szCs w:val="18"/>
          <w:color w:val="auto"/>
        </w:rPr>
        <w:t>Our Penny Warrants are accounted for as a liability with the changes in the fair value of the warrants recognized in the statement of operations and comprehensive loss. During the three and nine months ended March 31, 2026, we recorded a gain of $3.4 million and $7.2 million, respectively, due to a decrease in the share price of our common stock during the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4"/>
                <w:szCs w:val="24"/>
                <w:color w:val="auto"/>
              </w:rPr>
            </w:pPr>
          </w:p>
        </w:tc>
        <w:tc>
          <w:tcPr>
            <w:tcW w:w="3740" w:type="dxa"/>
            <w:vAlign w:val="bottom"/>
            <w:gridSpan w:val="7"/>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(1,033)</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for hedging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(630)</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23"/>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234"/>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during the three and nine months ended March 31, 2026, as compared to the same periods in the prior fiscal year, primarily due to favorable foreign currency transactions resulting from our cash flow hedging activities and a decrease in costs for hedging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187"/>
        </w:trPr>
        <w:tc>
          <w:tcPr>
            <w:tcW w:w="3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1,512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firstLine="234"/>
        <w:spacing w:after="0" w:line="282" w:lineRule="auto"/>
        <w:rPr>
          <w:sz w:val="20"/>
          <w:szCs w:val="20"/>
          <w:color w:val="auto"/>
        </w:rPr>
      </w:pPr>
      <w:r>
        <w:rPr>
          <w:rFonts w:ascii="Times New Roman" w:cs="Times New Roman" w:eastAsia="Times New Roman" w:hAnsi="Times New Roman"/>
          <w:sz w:val="18"/>
          <w:szCs w:val="18"/>
          <w:color w:val="auto"/>
        </w:rPr>
        <w:t>On a quarterly basis, we provide for income taxes based upon an estimated annual effective income tax rate. The provision for income taxes is primarily related to foreign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234"/>
        <w:spacing w:after="0" w:line="253" w:lineRule="auto"/>
        <w:rPr>
          <w:sz w:val="20"/>
          <w:szCs w:val="20"/>
          <w:color w:val="auto"/>
        </w:rPr>
      </w:pPr>
      <w:r>
        <w:rPr>
          <w:rFonts w:ascii="Times New Roman" w:cs="Times New Roman" w:eastAsia="Times New Roman" w:hAnsi="Times New Roman"/>
          <w:sz w:val="18"/>
          <w:szCs w:val="18"/>
          <w:color w:val="auto"/>
        </w:rPr>
        <w:t>At March 31, 2026, we had $38.1 million in cash and cash equivalents, excluding restricted cash.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 to counter inflation, foreign currency exchange rate fluctuations, and the risks included in Part II, Item 1A titled “Risk Factors.” In particular, we expect inflation and the ongoing supply chain challenges and logistics costs to impact our cash from operations through at least fiscal year 2026.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 of these factors on our ability to maintain compliance with the financial covenants contained in the Financing Agreement (as defined below).</w:t>
      </w:r>
    </w:p>
    <w:p>
      <w:pPr>
        <w:spacing w:after="0" w:line="192"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On June 6, 2025, we entered into a senior secured credit agreement (the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The Financing Agreement provides for (a) $150 million of new five-year term loan facility (the “Term Loan Facility”), (b) a new $20 million delayed draw term loan facility (the “Delayed Draw Facility”) and (c) a new $20 million revolving credit facility (the “Revolving Credit Facility” and, together with the Term Loan Facility and Delayed Draw Facility, the “Facilities”). The proceeds of the Delayed Draw Facility may be used to fund any future repurchases of outstanding 3.75% Convertible Senior Notes due 2026 (“2026 Notes”). In December 2025, we entered into amendments to the Financing Agreement. The first amendment to the Financing Agreement (the "First Amendment") provided for the inclusion of certain restricted cash balances in the liquidity covenant in the Financing Agreement. The second amendment to the Financing Agreement (the "Second Amendment") provided for (i) the removal of the leverage condition we must meet to draw down on the Delayed Draw Facility; (ii)</w:t>
      </w:r>
    </w:p>
    <w:p>
      <w:pPr>
        <w:spacing w:after="0" w:line="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reduction of the capacity of the Delayed Draw Facility to $18.25 million; and (iii) the delay of the commencement of the requirement for us to meet the fixed charge coverage ratio and leverage ratio to December 31, 2026. In addition, we agreed to pay $2.4 million in additional fees and amounts available to be drawn under the revolving credit facility were reduced to $15.0 million through December 31, 2026.</w:t>
      </w:r>
    </w:p>
    <w:p>
      <w:pPr>
        <w:spacing w:after="0" w:line="186"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On June 6, 2025, concurrently with our entry into the Financing Agreement, we issued detachable warrants to purchase our common stock to certain of our lenders (the “Warrant Holders”) under the Financing Agreement. The Warrant Holders were issued warrants to purchase (i) 17,180,710 shares of common stock with an exercise price of $1.68 per share, exercisable on and after December 7, 2025 and expiring on June 6, 2032 (the “June 2025 Premium Warrants”) and (ii) 6,247,531 shares of common stock with an exercise price of $0.01 per share, which are exercisable immediately and expire June 6, 2032 (the “June 2025 Penny Warrants” and together with the June 2025 Premium Warrants, the “ June 2025 Warrants”). On December 15, 2025, concurrently with our entry into the Second Amendment, we issued detachable warrants to purchase our common stock to the Warrant Holders under the Amended Financing Agreement. The Warrant Holders were issued warrants to purchase (i) 3,062,726 shares of common stock with an exercise price of $1.50 per share, exercisable on and after June 16, 2026 and expiring on December 15, 2032 (the “December 2025 Super Premium Warrants”), (ii) 2,187,661 shares of common stock with an exercise price of $1.25 per share, exercisable on and after June 16, 2026 and expiring on December 15, 2032 (the “December 2025 Premium Warrants”), and (iii) 1,750,129 shares of common stock with an exercise price of $0.01 per share, which are exercisable immediately and expire on December 15, 2032 ( the "December 2025 Penny Warrants" and together with the December 2025 Premium Warrants and December 2025 Super Premium Warrants, the "December 2025 Warrants"). Pursuant to the terms of the Amended Financing Agreement if the Company uses the Delayed Draw Facility, the Company will be obligated to issue additional detachable warrants on terms substantially similar to the December 2025 Warrants to certain of its lenders under the Amended Financing Agreement. As of March 31, 2026, no warrants have been exercised.</w:t>
      </w:r>
    </w:p>
    <w:p>
      <w:pPr>
        <w:spacing w:after="0" w:line="197" w:lineRule="exact"/>
        <w:rPr>
          <w:sz w:val="20"/>
          <w:szCs w:val="20"/>
          <w:color w:val="auto"/>
        </w:rPr>
      </w:pPr>
    </w:p>
    <w:p>
      <w:pPr>
        <w:ind w:right="20" w:firstLine="234"/>
        <w:spacing w:after="0" w:line="238" w:lineRule="auto"/>
        <w:rPr>
          <w:sz w:val="20"/>
          <w:szCs w:val="20"/>
          <w:color w:val="auto"/>
        </w:rPr>
      </w:pPr>
      <w:r>
        <w:rPr>
          <w:rFonts w:ascii="Times New Roman" w:cs="Times New Roman" w:eastAsia="Times New Roman" w:hAnsi="Times New Roman"/>
          <w:sz w:val="18"/>
          <w:szCs w:val="18"/>
          <w:color w:val="auto"/>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8.50%, per annum or (ii) a base rate (subject to a 3.00%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7.50% per annum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agreement provides the option for payment-in-kind (“PIK”) interest up to 6.00% per annum (subject to an increase in applicable margin of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1.00% per annum for each 1.00% per annum of interest elected to be paid in kind), which PIK interest will be capitalized on the applicable interest payment date and will be added to the then-outstanding principal amount of the term loan. In June 2025, we accrued $0.6 million in PIK interest and we elected the maximum PIK option for the first interest payment date of fiscal year 2026. The Financing Agreement requires the Borrower to pay the lenders with commitments under the Revolving Credit Facility an unused commitment fee equal to 0.50% per annum of the average unused portion of the Revolving Credit Facility. See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our Annual Report on Form 10-K filed with the SEC on August 28, 2025 for future cash payments related to the Term Loan Facility.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0" w:firstLine="234"/>
        <w:spacing w:after="0" w:line="266" w:lineRule="auto"/>
        <w:rPr>
          <w:sz w:val="20"/>
          <w:szCs w:val="20"/>
          <w:color w:val="auto"/>
        </w:rPr>
      </w:pPr>
      <w:r>
        <w:rPr>
          <w:rFonts w:ascii="Times New Roman" w:cs="Times New Roman" w:eastAsia="Times New Roman" w:hAnsi="Times New Roman"/>
          <w:sz w:val="18"/>
          <w:szCs w:val="18"/>
          <w:color w:val="auto"/>
        </w:rPr>
        <w:t>As of March 31, 2026, $18.0 million aggregate principal amount of the 2026 Notes remain outstanding and will be due on June 1, 2026. We intend to predominately use proceeds from the Delayed Draw Facility to pay the remaining balance of the 2026 Notes. The 2026 Notes are classified as short-term debt on the consolidated balance sheets.</w:t>
      </w:r>
    </w:p>
    <w:p>
      <w:pPr>
        <w:spacing w:after="0" w:line="176" w:lineRule="exact"/>
        <w:rPr>
          <w:sz w:val="20"/>
          <w:szCs w:val="20"/>
          <w:color w:val="auto"/>
        </w:rPr>
      </w:pPr>
    </w:p>
    <w:p>
      <w:pPr>
        <w:ind w:right="60" w:firstLine="234"/>
        <w:spacing w:after="0" w:line="258" w:lineRule="auto"/>
        <w:rPr>
          <w:sz w:val="20"/>
          <w:szCs w:val="20"/>
          <w:color w:val="auto"/>
        </w:rPr>
      </w:pPr>
      <w:r>
        <w:rPr>
          <w:rFonts w:ascii="Times New Roman" w:cs="Times New Roman" w:eastAsia="Times New Roman" w:hAnsi="Times New Roman"/>
          <w:sz w:val="18"/>
          <w:szCs w:val="18"/>
          <w:color w:val="auto"/>
        </w:rPr>
        <w:t>On April 13, 2026, we entered into a participation agreement with a third-party pursuant to which we agreed to sell our claims for refunds of previously paid tariffs imposed under the IEEPA. Under the terms of the participation agreement, the third-party purchased the $9.0 million of our refund claims for $6.6 million. Additionally, on April 21, 2026, we submitted approximately $9.0 million of tariff refund claims through CBP’s Consolidated Administration and Processing of Entries portal, of which $8.9 million were reported as having an accepted submission status of the date of this Quarterly Report on Form 10-Q</w:t>
      </w:r>
    </w:p>
    <w:p>
      <w:pPr>
        <w:spacing w:after="0" w:line="183" w:lineRule="exact"/>
        <w:rPr>
          <w:sz w:val="20"/>
          <w:szCs w:val="20"/>
          <w:color w:val="auto"/>
        </w:rPr>
      </w:pPr>
    </w:p>
    <w:p>
      <w:pPr>
        <w:ind w:right="140" w:firstLine="234"/>
        <w:spacing w:after="0" w:line="258" w:lineRule="auto"/>
        <w:rPr>
          <w:sz w:val="20"/>
          <w:szCs w:val="20"/>
          <w:color w:val="auto"/>
        </w:rPr>
      </w:pPr>
      <w:r>
        <w:rPr>
          <w:rFonts w:ascii="Times New Roman" w:cs="Times New Roman" w:eastAsia="Times New Roman" w:hAnsi="Times New Roman"/>
          <w:sz w:val="18"/>
          <w:szCs w:val="18"/>
          <w:color w:val="auto"/>
        </w:rPr>
        <w:t>Additionally, the undistributed earnings of our foreign subsidiaries as of March 31, 2026, for all countries except Japan, France, Switzerland, Germany and the United Kingdom are considered to be indefinitely reinvested and unavailable for distribution in the form of dividends or otherwise. Future repatriation of our foreign earnings could be subject to income taxes. As of March 31, 2026, we had $8.8 million of cash and cash equivalents at our foreign subsidiaries. If such funds were repatriated, there will be additional foreign tax withholdings imposed depending on the country from which the funds were repatriated.</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cash flows for the nine months ended March 31, 2026 and 2025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6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(10,926)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(17,691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100" w:firstLine="23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March 31, 2026, was due to a net loss of $47.3 million, offset by $20.6 million from non-cash items and $17.2 million from the net changes of assets and liabilities.</w:t>
      </w:r>
    </w:p>
    <w:p>
      <w:pPr>
        <w:spacing w:after="0" w:line="162" w:lineRule="exact"/>
        <w:rPr>
          <w:sz w:val="20"/>
          <w:szCs w:val="20"/>
          <w:color w:val="auto"/>
        </w:rPr>
      </w:pPr>
    </w:p>
    <w:p>
      <w:pPr>
        <w:ind w:left="560" w:right="420" w:hanging="323"/>
        <w:spacing w:after="0" w:line="266"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primarily consisted of $7.1 million for non-cash paid-in-kind interest expense, $5.9 million of depreciation and amortization expense, $5.8 million for the amortization of debt financing costs and the discount for warrants, and $4.8 million of share-based compensation expense, partially offset by a $7.2 million unrealized gain on the fair value of warrants.</w:t>
      </w:r>
    </w:p>
    <w:p>
      <w:pPr>
        <w:spacing w:after="0" w:line="175" w:lineRule="exact"/>
        <w:rPr>
          <w:rFonts w:ascii="Times New Roman" w:cs="Times New Roman" w:eastAsia="Times New Roman" w:hAnsi="Times New Roman"/>
          <w:sz w:val="18"/>
          <w:szCs w:val="18"/>
          <w:color w:val="auto"/>
        </w:rPr>
      </w:pPr>
    </w:p>
    <w:p>
      <w:pPr>
        <w:jc w:val="both"/>
        <w:ind w:left="560" w:right="100" w:hanging="323"/>
        <w:spacing w:after="0" w:line="261" w:lineRule="auto"/>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contributors to the increase from the net changes of assets and liabilities during the nine months ended March 31, 2026 were as follows: a decrease of $14.0 million in accounts receivable due to increased collections, and a $20.2 million increase in accounts payable that was primarily due to the timing of payments, partially offset by a $20.6 million increase in inventories that was primarily due to increased purchases of materials to meet expected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40" w:firstLine="23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$10.9 million during the nine months ended March 31, 2026, due to spending $5.4 million for the purchase of property and equipment and $5.5 million for capitalized investments for software to be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240" w:firstLine="23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$3.4 million during the nine months ended March 31, 2026, due to $5.0 million of net borrowings from the Revolving Credit Facility, offset by $1.2 million in principal payments on our Term Loan Facility and 2026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future capital requirements depend on numerous factors. These factors include but are not limited to the following:</w:t>
      </w:r>
    </w:p>
    <w:p>
      <w:pPr>
        <w:spacing w:after="0" w:line="225" w:lineRule="exact"/>
        <w:rPr>
          <w:sz w:val="20"/>
          <w:szCs w:val="20"/>
          <w:color w:val="auto"/>
        </w:rPr>
      </w:pPr>
    </w:p>
    <w:p>
      <w:pPr>
        <w:ind w:left="780" w:hanging="327"/>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and service plans;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flows from operations;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sales and marketing initiatives and manufacturing activities;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equipment and IT systems required to support current and future operations;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 of our research and development activities;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 of our products;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timing of acquisitions and other strategic transactions;</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our current indebtedness in a timely manner, and servicing and maturity of our current and future indebtedness, including interest rates;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cost savings initiatives, including the reduction of our workforce;</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expenses; and</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macroeconomic environment, including on collections, supply chain, and logistics.</w:t>
      </w:r>
    </w:p>
    <w:p>
      <w:pPr>
        <w:spacing w:after="0" w:line="225" w:lineRule="exact"/>
        <w:rPr>
          <w:sz w:val="20"/>
          <w:szCs w:val="20"/>
          <w:color w:val="auto"/>
        </w:rPr>
      </w:pPr>
    </w:p>
    <w:p>
      <w:pPr>
        <w:ind w:right="40" w:firstLine="234"/>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 w:firstLine="234"/>
        <w:spacing w:after="0" w:line="258" w:lineRule="auto"/>
        <w:rPr>
          <w:sz w:val="20"/>
          <w:szCs w:val="20"/>
          <w:color w:val="auto"/>
        </w:rPr>
      </w:pPr>
      <w:r>
        <w:rPr>
          <w:rFonts w:ascii="Times New Roman" w:cs="Times New Roman" w:eastAsia="Times New Roman" w:hAnsi="Times New Roman"/>
          <w:sz w:val="18"/>
          <w:szCs w:val="18"/>
          <w:color w:val="auto"/>
        </w:rPr>
        <w:t>We presented our contractual obligations in our Annual Report on Form 10-K for the fiscal year ended June 30, 2025. Our contractual obligations consist of debt, operating leases, purchase commitments, and other contractual obligations. There have been no material changes to these obligations outside the ordinary course of business during the nine months ended March 31, 2026 as compared to the contractual obligations disclosed in the “Management’s Discussion and Analysis of Financial Condition and Results of Operations” section of our Annual Report on Form 10-K for the year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234"/>
        <w:spacing w:after="0" w:line="255" w:lineRule="auto"/>
        <w:rPr>
          <w:sz w:val="20"/>
          <w:szCs w:val="20"/>
          <w:color w:val="auto"/>
        </w:rPr>
      </w:pPr>
      <w:r>
        <w:rPr>
          <w:rFonts w:ascii="Times New Roman" w:cs="Times New Roman" w:eastAsia="Times New Roman" w:hAnsi="Times New Roman"/>
          <w:sz w:val="18"/>
          <w:szCs w:val="18"/>
          <w:color w:val="auto"/>
        </w:rPr>
        <w:t>In recent years, we experienced rising costs for certain materials, including increased logistics and duties costs that adversely affected our gross margins and net income (loss), and had a material effect on our business, financial condition and results of operations. Gross margins and net income (loss) may continue to be adversely affected by increased material costs and freight and logistics expenses through at least fiscal year 2026, as we are unable to pass all of these increased costs to our customers. In addition, we expect inflation and the ongoing supply chain challenges and logistics costs to impact our cash from operations through at least fiscal year 2026.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spacing w:after="0" w:line="192"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2026, there were no material changes to the critical accounting policies and estimates, previously disclosed in Part II, Item 7, of our Annual Report on Form 10-K filed with the SEC on August 28, 2025, as amended by the Company’s Annual Report on Form 10-K/A filed with the SEC on February 17,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234"/>
        <w:spacing w:after="0" w:line="261" w:lineRule="auto"/>
        <w:rPr>
          <w:sz w:val="20"/>
          <w:szCs w:val="20"/>
          <w:color w:val="auto"/>
        </w:rPr>
      </w:pPr>
      <w:r>
        <w:rPr>
          <w:rFonts w:ascii="Times New Roman" w:cs="Times New Roman" w:eastAsia="Times New Roman" w:hAnsi="Times New Roman"/>
          <w:sz w:val="18"/>
          <w:szCs w:val="18"/>
          <w:color w:val="auto"/>
        </w:rPr>
        <w:t>We do not utilize derivative commodity instruments or other market risk sensitive instruments, positions or transactions, but we may in the future. However, we do use foreign currency forward contracts to hedge our exposure to foreign exchange risk. See Note 5,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to the condensed consolidated financial statements for a description of our hedging program and the notional amounts and fair values of our derivative instruments outstanding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and Other Risks</w:t>
      </w:r>
    </w:p>
    <w:p>
      <w:pPr>
        <w:spacing w:after="0" w:line="229" w:lineRule="exact"/>
        <w:rPr>
          <w:sz w:val="20"/>
          <w:szCs w:val="20"/>
          <w:color w:val="auto"/>
        </w:rPr>
      </w:pPr>
    </w:p>
    <w:p>
      <w:pPr>
        <w:ind w:right="40" w:firstLine="234"/>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spacing w:after="0" w:line="176" w:lineRule="exact"/>
        <w:rPr>
          <w:sz w:val="20"/>
          <w:szCs w:val="20"/>
          <w:color w:val="auto"/>
        </w:rPr>
      </w:pPr>
    </w:p>
    <w:p>
      <w:pPr>
        <w:ind w:right="260" w:firstLine="234"/>
        <w:spacing w:after="0" w:line="261" w:lineRule="auto"/>
        <w:rPr>
          <w:sz w:val="20"/>
          <w:szCs w:val="20"/>
          <w:color w:val="auto"/>
        </w:rPr>
      </w:pPr>
      <w:r>
        <w:rPr>
          <w:rFonts w:ascii="Times New Roman" w:cs="Times New Roman" w:eastAsia="Times New Roman" w:hAnsi="Times New Roman"/>
          <w:sz w:val="18"/>
          <w:szCs w:val="18"/>
          <w:color w:val="auto"/>
        </w:rPr>
        <w:t>The JV represented approximately 17% and 21% of our total net revenue during the three months ended March 31, 2026 and 2025 respectively, and represented approximately 16% and 27% of our total net revenue during the nine months ended March 31, 2026 and 2025 respectively. As of March 31, 2026, and June 30, 2025, the JV represented approximately 13% and 33%, respectively, of our total accounts receivable balance. We had no other customers who represented more than 10% of our total net revenues and total accounts receivable, as of such dates.</w:t>
      </w:r>
    </w:p>
    <w:p>
      <w:pPr>
        <w:spacing w:after="0" w:line="180" w:lineRule="exact"/>
        <w:rPr>
          <w:sz w:val="20"/>
          <w:szCs w:val="20"/>
          <w:color w:val="auto"/>
        </w:rPr>
      </w:pPr>
    </w:p>
    <w:p>
      <w:pPr>
        <w:ind w:right="200" w:firstLine="234"/>
        <w:spacing w:after="0" w:line="281" w:lineRule="auto"/>
        <w:rPr>
          <w:sz w:val="20"/>
          <w:szCs w:val="20"/>
          <w:color w:val="auto"/>
        </w:rPr>
      </w:pPr>
      <w:r>
        <w:rPr>
          <w:rFonts w:ascii="Times New Roman" w:cs="Times New Roman" w:eastAsia="Times New Roman" w:hAnsi="Times New Roman"/>
          <w:sz w:val="17"/>
          <w:szCs w:val="17"/>
          <w:color w:val="auto"/>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 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20" w:firstLine="234"/>
        <w:spacing w:after="0" w:line="261" w:lineRule="auto"/>
        <w:rPr>
          <w:sz w:val="20"/>
          <w:szCs w:val="20"/>
          <w:color w:val="auto"/>
        </w:rPr>
      </w:pPr>
      <w:r>
        <w:rPr>
          <w:rFonts w:ascii="Times New Roman" w:cs="Times New Roman" w:eastAsia="Times New Roman" w:hAnsi="Times New Roman"/>
          <w:sz w:val="18"/>
          <w:szCs w:val="18"/>
          <w:color w:val="auto"/>
        </w:rPr>
        <w:t>A majority of our sales are denominated in foreign currencies, most notably the Swiss Franc,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5" w:lineRule="auto"/>
        <w:rPr>
          <w:sz w:val="20"/>
          <w:szCs w:val="20"/>
          <w:color w:val="auto"/>
        </w:rPr>
      </w:pPr>
      <w:r>
        <w:rPr>
          <w:rFonts w:ascii="Times New Roman" w:cs="Times New Roman" w:eastAsia="Times New Roman" w:hAnsi="Times New Roman"/>
          <w:sz w:val="18"/>
          <w:szCs w:val="18"/>
          <w:color w:val="auto"/>
        </w:rPr>
        <w:t xml:space="preserve">We expect the changes in the fair value of the net foreign currency assets arising from fluctuations in foreign currency exchange rates to be partially offset by the changes in the fair value of the forward contracts. We have developed a foreign exchange risk management policy to mitigate foreign currency exchange rate fluctuation risk and as of March 31, 2026, we have entered into foreign currency forward contracts to purchase or sell foreign currencies. Changes in fair value of the foreign currency forward contracts are reported in earnings as part of other income (expense), net. We have not entered into any other types of derivative financial instruments for trading or speculative purposes. (See Note 5.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our unaudited condensed consolidated financial statements included in this Quarterly Report on Form 10-Q for more information about our foreign currency forward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 xml:space="preserve">Our debt obligations consist of a variety of financial instruments that expose us to interest rate risk, including, but not limited to the Financing Agreement and our 2026 Notes. The interest rates on the 2026 Notes are fixed and the interest rate on the Term Loan Facility is tied to a variable rate. Our Financing Agreement includes borrowings under the Term Loan Facility of $150.0 million. The interest on the borrowings under the Financing Agreement is payable at the Company’s option, either: (i) a term SOFR-based rate (subject to a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8.50%, per annum or (ii) a base rate (subject to a 3.00%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floor), plus an applicable margin of 7.50% per annum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amount outstanding under the Financing Agreement remained at this level for the next 12 months and interest rates increased or decreased by a 50 basis point change, our annual interest expense would increase or decrease, respectively, approximately $0.8 million.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unaudited condensed consolidated financial statements included in this Quarterly Report on Form 10-Q for a discussion regarding our debt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ind w:right="140" w:firstLine="234"/>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2026, we have $18.0 million aggregate principal amount of 2026 Notes. Upon conversion, we can settle the obligation by issuing our common stock, cash or a combination thereof at an initial conversion rate equal to 170.5611 shares of common stock per $1,000 principal amount of the 2026 Notes, which is equivalent to a conversion price of approximately $5.86 per share of common stock, subject to adjustment. There is no equity price risk if the share price of our common stock is below $5.86 upon conversion of the 2026 Notes. For every $1 that the share price of our common stock exceeds $5.86, we expect to issue an additional $3.1 million in cash or shares of our common stock, or a combination thereof, if all of the 2026 Notes, are converted. In connection with the Financing Agreement and the Second Amendment, we issued detachable warrants to purchase our common stock to lenders under the Financing Agreement. Any warrant exercise could separately have a dilutive effect on our common stock to the extent that the market price per share of our common stock exceeds the strike price of the warrants. See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unaudited condensed consolidated financial statements included in this Quarterly Report on Form 10-Q for a discussion regarding our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540" w:firstLine="234"/>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of the Exchange Act) as of March 31, 2026.</w:t>
      </w:r>
    </w:p>
    <w:p>
      <w:pPr>
        <w:spacing w:after="0" w:line="162" w:lineRule="exact"/>
        <w:rPr>
          <w:sz w:val="20"/>
          <w:szCs w:val="20"/>
          <w:color w:val="auto"/>
        </w:rPr>
      </w:pPr>
    </w:p>
    <w:p>
      <w:pPr>
        <w:ind w:right="20" w:firstLine="197"/>
        <w:spacing w:after="0" w:line="261" w:lineRule="auto"/>
        <w:rPr>
          <w:sz w:val="20"/>
          <w:szCs w:val="20"/>
          <w:color w:val="auto"/>
        </w:rPr>
      </w:pPr>
      <w:r>
        <w:rPr>
          <w:rFonts w:ascii="Times New Roman" w:cs="Times New Roman" w:eastAsia="Times New Roman" w:hAnsi="Times New Roman"/>
          <w:sz w:val="18"/>
          <w:szCs w:val="18"/>
          <w:color w:val="auto"/>
        </w:rPr>
        <w:t xml:space="preserve">As disclosed in Item 9A of our Annual Report on Form 10-K/A for the fiscal year ended June 30, 2025 issued on February 17, 2026, as of December 31, 2025, two material weaknesses were identified related to the review of the footnote schedules supporting financial statement disclosures and inadequate controls to appropriately analyze all relevant information required for complete and accurate presentation and disclosure under GAAP principally resulting from incorrect assessment during the initial adoption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234"/>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has concluded that as of March 31, 2026, our disclosure controls and procedures were not effective at the reasonable assurance level due to these material weaknesses.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Remediation Measures</w:t>
      </w:r>
    </w:p>
    <w:p>
      <w:pPr>
        <w:spacing w:after="0" w:line="227" w:lineRule="exact"/>
        <w:rPr>
          <w:sz w:val="20"/>
          <w:szCs w:val="20"/>
          <w:color w:val="auto"/>
        </w:rPr>
      </w:pPr>
    </w:p>
    <w:p>
      <w:pPr>
        <w:ind w:right="100" w:firstLine="162"/>
        <w:spacing w:after="0" w:line="258" w:lineRule="auto"/>
        <w:rPr>
          <w:sz w:val="20"/>
          <w:szCs w:val="20"/>
          <w:color w:val="auto"/>
        </w:rPr>
      </w:pPr>
      <w:r>
        <w:rPr>
          <w:rFonts w:ascii="Times New Roman" w:cs="Times New Roman" w:eastAsia="Times New Roman" w:hAnsi="Times New Roman"/>
          <w:sz w:val="18"/>
          <w:szCs w:val="18"/>
          <w:color w:val="auto"/>
        </w:rPr>
        <w:t>To remediate the material weakness resulting from the deficiency in the footnote disclosure review process described above, management has designed and is in the process of implementing enhanced review controls specific to financial statement footnote disclosures. These enhancements are intended to ensure greater precision in preparing and reviewing financial statement footnote disclosures, including additional reviewer involvement and targeted training for personnel responsible for review of the footnote schedules supporting the financial statement disclosures. Management has implemented these remediation efforts and will continue to evaluate and modify the remediation plan as appropriate.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162"/>
        <w:spacing w:after="0" w:line="258" w:lineRule="auto"/>
        <w:rPr>
          <w:sz w:val="20"/>
          <w:szCs w:val="20"/>
          <w:color w:val="auto"/>
        </w:rPr>
      </w:pPr>
      <w:r>
        <w:rPr>
          <w:rFonts w:ascii="Times New Roman" w:cs="Times New Roman" w:eastAsia="Times New Roman" w:hAnsi="Times New Roman"/>
          <w:sz w:val="18"/>
          <w:szCs w:val="18"/>
          <w:color w:val="auto"/>
        </w:rPr>
        <w:t>To remediate the material weakness resulting from the deficiency in management’s analysis of information for complete and accurate presentation and disclosure described above, management has designed and is in the process of implementing enhanced controls to ensure all relevant information required for complete and accurate presentation and disclosure, including the initial assessment of the impact of adopting new accounting pronouncements is appropriately analyzed. Management has begun implementing these remediation efforts and will continue to evaluate and modify the remediation plan as appropriate.</w:t>
      </w:r>
    </w:p>
    <w:p>
      <w:pPr>
        <w:spacing w:after="0" w:line="183" w:lineRule="exact"/>
        <w:rPr>
          <w:sz w:val="20"/>
          <w:szCs w:val="20"/>
          <w:color w:val="auto"/>
        </w:rPr>
      </w:pPr>
    </w:p>
    <w:p>
      <w:pPr>
        <w:ind w:right="400" w:firstLine="162"/>
        <w:spacing w:after="0" w:line="282" w:lineRule="auto"/>
        <w:rPr>
          <w:sz w:val="20"/>
          <w:szCs w:val="20"/>
          <w:color w:val="auto"/>
        </w:rPr>
      </w:pPr>
      <w:r>
        <w:rPr>
          <w:rFonts w:ascii="Times New Roman" w:cs="Times New Roman" w:eastAsia="Times New Roman" w:hAnsi="Times New Roman"/>
          <w:sz w:val="18"/>
          <w:szCs w:val="18"/>
          <w:color w:val="auto"/>
        </w:rPr>
        <w:t>The Company will consider the above material weaknesses remediated when the enhanced controls have operated for a sufficient period of time and management has concluded that these controls are operating effectively.</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firstLine="23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any changes in our internal control over financial reporting that occurred during the quarter ended March 31, 2026, and has concluded that, other than the material weaknesses and remediation activities as described above under “Remediation Measures” 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Inherent Limitations of Internal Control Over Financial Reporting</w:t>
      </w:r>
    </w:p>
    <w:p>
      <w:pPr>
        <w:spacing w:after="0" w:line="227" w:lineRule="exact"/>
        <w:rPr>
          <w:sz w:val="20"/>
          <w:szCs w:val="20"/>
          <w:color w:val="auto"/>
        </w:rPr>
      </w:pPr>
    </w:p>
    <w:p>
      <w:pPr>
        <w:ind w:right="20" w:firstLine="234"/>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right="520" w:firstLine="234"/>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to our unaudited condensed consolidated financial statements included in this Quarterly Report on Form 10-Q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0" w:firstLine="23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titled “Risk Factors.” These risks include, but are not limited to, the following: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results of operations</w:t>
      </w:r>
    </w:p>
    <w:p>
      <w:pPr>
        <w:spacing w:after="0" w:line="229" w:lineRule="exact"/>
        <w:rPr>
          <w:sz w:val="20"/>
          <w:szCs w:val="20"/>
          <w:color w:val="auto"/>
        </w:rPr>
      </w:pPr>
    </w:p>
    <w:p>
      <w:pPr>
        <w:ind w:left="780" w:right="120" w:hanging="32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current global economic environment,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widespread market acceptance, we will not be able to generate the revenue necessary to support our business.</w:t>
      </w:r>
    </w:p>
    <w:p>
      <w:pPr>
        <w:spacing w:after="0" w:line="225" w:lineRule="exact"/>
        <w:rPr>
          <w:rFonts w:ascii="Times New Roman" w:cs="Times New Roman" w:eastAsia="Times New Roman" w:hAnsi="Times New Roman"/>
          <w:sz w:val="18"/>
          <w:szCs w:val="18"/>
          <w:color w:val="auto"/>
        </w:rPr>
      </w:pPr>
    </w:p>
    <w:p>
      <w:pPr>
        <w:ind w:left="780" w:right="40" w:hanging="32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depends in part on maintaining or increasing our gross margins on product sales and services, which we may not be able to achieve.</w:t>
      </w:r>
    </w:p>
    <w:p>
      <w:pPr>
        <w:spacing w:after="0" w:line="161" w:lineRule="exact"/>
        <w:rPr>
          <w:rFonts w:ascii="Times New Roman" w:cs="Times New Roman" w:eastAsia="Times New Roman" w:hAnsi="Times New Roman"/>
          <w:sz w:val="18"/>
          <w:szCs w:val="18"/>
          <w:color w:val="auto"/>
        </w:rPr>
      </w:pPr>
    </w:p>
    <w:p>
      <w:pPr>
        <w:ind w:left="780" w:hanging="327"/>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indebtedness and may incur other debt in the future, which may adversely affect our financial condition and future financial results. In the past, we have not been in compliance with certain financial covenants relating to our indebtedness and have been required to obtain waivers to avoid defaulting under such indebtedness.</w:t>
      </w:r>
    </w:p>
    <w:p>
      <w:pPr>
        <w:spacing w:after="0" w:line="175" w:lineRule="exact"/>
        <w:rPr>
          <w:rFonts w:ascii="Times New Roman" w:cs="Times New Roman" w:eastAsia="Times New Roman" w:hAnsi="Times New Roman"/>
          <w:sz w:val="18"/>
          <w:szCs w:val="18"/>
          <w:color w:val="auto"/>
        </w:rPr>
      </w:pPr>
    </w:p>
    <w:p>
      <w:pPr>
        <w:jc w:val="both"/>
        <w:ind w:left="780" w:right="140" w:hanging="327"/>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or volatility in trade policy as well as 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780" w:right="880" w:hanging="32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including our cash flows, quarterly orders, revenues and margins fluctuate from quarter to quarter and may be unpredictable.</w:t>
      </w:r>
    </w:p>
    <w:p>
      <w:pPr>
        <w:spacing w:after="0" w:line="161" w:lineRule="exact"/>
        <w:rPr>
          <w:rFonts w:ascii="Times New Roman" w:cs="Times New Roman" w:eastAsia="Times New Roman" w:hAnsi="Times New Roman"/>
          <w:sz w:val="18"/>
          <w:szCs w:val="18"/>
          <w:color w:val="auto"/>
        </w:rPr>
      </w:pPr>
    </w:p>
    <w:p>
      <w:pPr>
        <w:jc w:val="both"/>
        <w:ind w:left="780" w:right="240" w:hanging="327"/>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79" w:lineRule="exact"/>
        <w:rPr>
          <w:rFonts w:ascii="Times New Roman" w:cs="Times New Roman" w:eastAsia="Times New Roman" w:hAnsi="Times New Roman"/>
          <w:sz w:val="18"/>
          <w:szCs w:val="18"/>
          <w:color w:val="auto"/>
        </w:rPr>
      </w:pPr>
    </w:p>
    <w:p>
      <w:pPr>
        <w:ind w:left="780" w:right="280" w:hanging="32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arising from our international operations, which may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and may continue to be impacted by changes in foreign currency exchange rates.</w:t>
      </w:r>
    </w:p>
    <w:p>
      <w:pPr>
        <w:spacing w:after="0" w:line="225" w:lineRule="exact"/>
        <w:rPr>
          <w:rFonts w:ascii="Times New Roman" w:cs="Times New Roman" w:eastAsia="Times New Roman" w:hAnsi="Times New Roman"/>
          <w:sz w:val="18"/>
          <w:szCs w:val="18"/>
          <w:color w:val="auto"/>
        </w:rPr>
      </w:pPr>
    </w:p>
    <w:p>
      <w:pPr>
        <w:ind w:left="780" w:right="140" w:hanging="327"/>
        <w:spacing w:after="0" w:line="312" w:lineRule="auto"/>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39" w:lineRule="exact"/>
        <w:rPr>
          <w:rFonts w:ascii="Times New Roman" w:cs="Times New Roman" w:eastAsia="Times New Roman" w:hAnsi="Times New Roman"/>
          <w:sz w:val="17"/>
          <w:szCs w:val="17"/>
          <w:color w:val="auto"/>
        </w:rPr>
      </w:pPr>
    </w:p>
    <w:p>
      <w:pPr>
        <w:ind w:left="780" w:right="180" w:hanging="32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new products or enhance existing products to meet our customers’ needs and compete favorably in the market, we may be unable to attract or retain customers.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hanging="327"/>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growth, our business may be significantly harmed.</w:t>
      </w:r>
    </w:p>
    <w:p>
      <w:pPr>
        <w:spacing w:after="0" w:line="225" w:lineRule="exact"/>
        <w:rPr>
          <w:rFonts w:ascii="Times New Roman" w:cs="Times New Roman" w:eastAsia="Times New Roman" w:hAnsi="Times New Roman"/>
          <w:sz w:val="18"/>
          <w:szCs w:val="18"/>
          <w:color w:val="auto"/>
        </w:rPr>
      </w:pPr>
    </w:p>
    <w:p>
      <w:pPr>
        <w:ind w:left="780" w:right="42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other field actions and warranty claims that could be expensive, divert management’s attention and harm our business.</w:t>
      </w:r>
    </w:p>
    <w:p>
      <w:pPr>
        <w:spacing w:after="0" w:line="161" w:lineRule="exact"/>
        <w:rPr>
          <w:rFonts w:ascii="Times New Roman" w:cs="Times New Roman" w:eastAsia="Times New Roman" w:hAnsi="Times New Roman"/>
          <w:sz w:val="18"/>
          <w:szCs w:val="18"/>
          <w:color w:val="auto"/>
        </w:rPr>
      </w:pPr>
    </w:p>
    <w:p>
      <w:pPr>
        <w:ind w:left="780" w:right="42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single-source suppliers for critical components of our products could harm our ability to meet demand for our products in a timely and cost effective manner.</w:t>
      </w:r>
    </w:p>
    <w:p>
      <w:pPr>
        <w:spacing w:after="0" w:line="161" w:lineRule="exact"/>
        <w:rPr>
          <w:rFonts w:ascii="Times New Roman" w:cs="Times New Roman" w:eastAsia="Times New Roman" w:hAnsi="Times New Roman"/>
          <w:sz w:val="18"/>
          <w:szCs w:val="18"/>
          <w:color w:val="auto"/>
        </w:rPr>
      </w:pPr>
    </w:p>
    <w:p>
      <w:pPr>
        <w:ind w:left="780" w:right="4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61" w:lineRule="exact"/>
        <w:rPr>
          <w:rFonts w:ascii="Times New Roman" w:cs="Times New Roman" w:eastAsia="Times New Roman" w:hAnsi="Times New Roman"/>
          <w:sz w:val="18"/>
          <w:szCs w:val="18"/>
          <w:color w:val="auto"/>
        </w:rPr>
      </w:pPr>
    </w:p>
    <w:p>
      <w:pPr>
        <w:ind w:left="780" w:right="10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critical information technology systems, infrastructure and data or cyberattacks or other security breaches or incidents could harm our business and financial condition.</w:t>
      </w:r>
    </w:p>
    <w:p>
      <w:pPr>
        <w:spacing w:after="0" w:line="161" w:lineRule="exact"/>
        <w:rPr>
          <w:rFonts w:ascii="Times New Roman" w:cs="Times New Roman" w:eastAsia="Times New Roman" w:hAnsi="Times New Roman"/>
          <w:sz w:val="18"/>
          <w:szCs w:val="18"/>
          <w:color w:val="auto"/>
        </w:rPr>
      </w:pPr>
    </w:p>
    <w:p>
      <w:pPr>
        <w:ind w:left="780" w:right="8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failure by us to comply with legal or regulatory requirements related to privacy, cybersecurity and data protection could result in proceedings, actions or penalties against us.</w:t>
      </w:r>
    </w:p>
    <w:p>
      <w:pPr>
        <w:spacing w:after="0" w:line="161" w:lineRule="exact"/>
        <w:rPr>
          <w:rFonts w:ascii="Times New Roman" w:cs="Times New Roman" w:eastAsia="Times New Roman" w:hAnsi="Times New Roman"/>
          <w:sz w:val="18"/>
          <w:szCs w:val="18"/>
          <w:color w:val="auto"/>
        </w:rPr>
      </w:pPr>
    </w:p>
    <w:p>
      <w:pPr>
        <w:ind w:left="780" w:right="40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spacing w:after="0" w:line="120" w:lineRule="exact"/>
        <w:rPr>
          <w:rFonts w:ascii="Times New Roman" w:cs="Times New Roman" w:eastAsia="Times New Roman" w:hAnsi="Times New Roman"/>
          <w:sz w:val="18"/>
          <w:szCs w:val="18"/>
          <w:color w:val="auto"/>
        </w:rPr>
      </w:pPr>
    </w:p>
    <w:p>
      <w:pPr>
        <w:ind w:left="780" w:right="140" w:hanging="327"/>
        <w:spacing w:after="0" w:line="245" w:lineRule="exact"/>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and our products may therefore prove to be less safe and effective than initially thought.</w:t>
      </w:r>
    </w:p>
    <w:p>
      <w:pPr>
        <w:spacing w:after="0" w:line="198" w:lineRule="exact"/>
        <w:rPr>
          <w:rFonts w:ascii="Times New Roman" w:cs="Times New Roman" w:eastAsia="Times New Roman" w:hAnsi="Times New Roman"/>
          <w:sz w:val="18"/>
          <w:szCs w:val="18"/>
          <w:color w:val="auto"/>
        </w:rPr>
      </w:pPr>
    </w:p>
    <w:p>
      <w:pPr>
        <w:ind w:left="780" w:right="12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disruptions, terminations, or replacements of our outsourcing providers or our logistics providers have occurred and could occur in the future, which could adversely impact our business.</w:t>
      </w:r>
    </w:p>
    <w:p>
      <w:pPr>
        <w:spacing w:after="0" w:line="161" w:lineRule="exact"/>
        <w:rPr>
          <w:rFonts w:ascii="Times New Roman" w:cs="Times New Roman" w:eastAsia="Times New Roman" w:hAnsi="Times New Roman"/>
          <w:sz w:val="18"/>
          <w:szCs w:val="18"/>
          <w:color w:val="auto"/>
        </w:rPr>
      </w:pPr>
    </w:p>
    <w:p>
      <w:pPr>
        <w:ind w:left="780" w:right="200" w:hanging="327"/>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we are infringing their intellectual property or that we are operating outside the scope of or violating a license or other agreement relating to their intellectual property.</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intellectual property and our proprietary technologies and we may not be able to ensure their protection.</w:t>
      </w:r>
    </w:p>
    <w:p>
      <w:pPr>
        <w:spacing w:after="0" w:line="225" w:lineRule="exact"/>
        <w:rPr>
          <w:rFonts w:ascii="Times New Roman" w:cs="Times New Roman" w:eastAsia="Times New Roman" w:hAnsi="Times New Roman"/>
          <w:sz w:val="18"/>
          <w:szCs w:val="18"/>
          <w:color w:val="auto"/>
        </w:rPr>
      </w:pPr>
    </w:p>
    <w:p>
      <w:pPr>
        <w:ind w:left="780" w:hanging="327"/>
        <w:spacing w:after="0" w:line="261"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system of internal controls as of June 30, 2025, September 30, 2025, December 31, 2025, and March 31, 2026, and are in the process of remediation. If we fail to remediate such material weaknesses or otherwise fail to achieve and maintain an effective system of internal control over financial reporting, our ability to produce timely and accurate financial results could be adversely impacted.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regulation of our products and business</w:t>
      </w:r>
    </w:p>
    <w:p>
      <w:pPr>
        <w:spacing w:after="0" w:line="229" w:lineRule="exact"/>
        <w:rPr>
          <w:sz w:val="20"/>
          <w:szCs w:val="20"/>
          <w:color w:val="auto"/>
        </w:rPr>
      </w:pPr>
    </w:p>
    <w:p>
      <w:pPr>
        <w:ind w:left="780" w:right="160" w:hanging="327"/>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upgrades, new indications and future products related to our products may require new Food and Drug Administration (“FDA”) 510(k) clearances or premarket approvals and similar licensing or approvals in international markets.</w:t>
      </w:r>
    </w:p>
    <w:p>
      <w:pPr>
        <w:spacing w:after="0" w:line="161" w:lineRule="exact"/>
        <w:rPr>
          <w:rFonts w:ascii="Times New Roman" w:cs="Times New Roman" w:eastAsia="Times New Roman" w:hAnsi="Times New Roman"/>
          <w:sz w:val="18"/>
          <w:szCs w:val="18"/>
          <w:color w:val="auto"/>
        </w:rPr>
      </w:pPr>
    </w:p>
    <w:p>
      <w:pPr>
        <w:ind w:left="780" w:right="260" w:hanging="327"/>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and regulations applicable to our operations, the violation of which could result in substantial penalties and harm our business.</w:t>
      </w:r>
    </w:p>
    <w:p>
      <w:pPr>
        <w:spacing w:after="0" w:line="161" w:lineRule="exact"/>
        <w:rPr>
          <w:rFonts w:ascii="Times New Roman" w:cs="Times New Roman" w:eastAsia="Times New Roman" w:hAnsi="Times New Roman"/>
          <w:sz w:val="18"/>
          <w:szCs w:val="18"/>
          <w:color w:val="auto"/>
        </w:rPr>
      </w:pPr>
    </w:p>
    <w:p>
      <w:pPr>
        <w:ind w:left="780" w:right="240" w:hanging="327"/>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the necessary regulatory approvals in a specific country, we will not be able to market and sell our products in that country.</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29" w:lineRule="exact"/>
        <w:rPr>
          <w:sz w:val="20"/>
          <w:szCs w:val="20"/>
          <w:color w:val="auto"/>
        </w:rPr>
      </w:pPr>
    </w:p>
    <w:p>
      <w:pPr>
        <w:ind w:left="780" w:hanging="327"/>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may continue to fluctuate significantly, which could lead to losses for stockholders.</w:t>
      </w:r>
    </w:p>
    <w:p>
      <w:pPr>
        <w:spacing w:after="0" w:line="225" w:lineRule="exact"/>
        <w:rPr>
          <w:rFonts w:ascii="Times New Roman" w:cs="Times New Roman" w:eastAsia="Times New Roman" w:hAnsi="Times New Roman"/>
          <w:sz w:val="18"/>
          <w:szCs w:val="18"/>
          <w:color w:val="auto"/>
        </w:rPr>
      </w:pPr>
    </w:p>
    <w:p>
      <w:pPr>
        <w:ind w:left="780" w:hanging="327"/>
        <w:spacing w:after="0" w:line="266"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satisfy the Nasdaq Global Select Market continued listing standards and other Nasdaq rules, our common stock could be delisted, which would harm our business, the trading price of our common stock, our ability to raise additional capital and the liquidity of the market for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right="200" w:hanging="327"/>
        <w:spacing w:after="0" w:line="282"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outstanding warrants for our common stock would increase the number of shares eligible for future resale in the public market and result in dilution to our stockholders.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features of the 2026 Notes, if triggered, may adversely affect our financial condition and operating results.</w:t>
      </w:r>
    </w:p>
    <w:p>
      <w:pPr>
        <w:spacing w:after="0" w:line="225" w:lineRule="exact"/>
        <w:rPr>
          <w:rFonts w:ascii="Times New Roman" w:cs="Times New Roman" w:eastAsia="Times New Roman" w:hAnsi="Times New Roman"/>
          <w:sz w:val="18"/>
          <w:szCs w:val="18"/>
          <w:color w:val="auto"/>
        </w:rPr>
      </w:pPr>
    </w:p>
    <w:p>
      <w:pPr>
        <w:jc w:val="both"/>
        <w:ind w:left="780" w:right="880" w:hanging="327"/>
        <w:spacing w:after="0" w:line="266"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for the 2026 Notes, the financing agreement for our Credit Facilities (as defined below), our certificate of incorporation and our bylaws could discourage or prevent a takeover, even if an acquisition would be beneficial in the opinion of our stockholders.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9" w:lineRule="exact"/>
        <w:rPr>
          <w:sz w:val="20"/>
          <w:szCs w:val="20"/>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could be adversely impacted by adverse conditions in the financial markets.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significant risks, a number of which are beyond our control. In addition to the other</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information contained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Q, the following discussion highlights some of these risks and the possible impact of these factors on our business,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future results of operations. If any of the following risks actually occur, our business, financial condition or results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be adversely impacted, causing the trading price of our common stock to decline. In addition, these risks and uncertainties may impact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described elsewhere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Q and in the documents incorporated herein by reference. They could affect our actual</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results of operations, causing them to differ materially from those expressed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Results of Operations</w:t>
      </w:r>
    </w:p>
    <w:p>
      <w:pPr>
        <w:spacing w:after="0" w:line="22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the current global economic environment, including risks arising in connection with tariffs,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spacing w:after="0" w:line="157"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markets and the economy generally. We expect that the business of our customers and our own business will continue to be adversely impacted, directly or indirectly, by macroeconomic and geopolitical issues. Concerns over economic and political stability; inflation levels and related efforts to mitigate inflation; a potential recession; the level of U.S. national debt, the U.S. debt credit rating and U.S. budgetary concerns, including concerns over a U.S. government shutdown;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export controls, and tariffs by the United States and other countries; energy costs; instability in the banking and financial services sector; the recent escalation in conflict in Iran, the Middle East and Southwest Asia, including the impact on global supply chains and oil prices, as well as other geopolitical uncertainty and conflict, including with respect to the Russia-Ukraine conflict and increasing tension between China and the U.S.; changes in government administration policy positions and imposition of tariffs on global imports that could result in additional tariffs on specific industries, and uncertainties regarding impact, retaliations and further escalation,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as well as ongoing supply chain challenges beginning in fiscal year 2023 have resulted in rising costs for certain materials, including increased logistics and duties costs, that have materially affected our gross margins and net income (loss), which have had a material effect on our business, financial condition or results of operations. We expect that gross margins and net income (loss) will continue to be adversely affected by increased material costs and freight and logistics expenses through at least fiscal year 2026. In addition, we expect inflation and the ongoing supply chain challenges and logistics costs to impact our cash from operations through at least fiscal year 2026, as we are unable to pass all of these increased costs to our customers.</w:t>
      </w:r>
    </w:p>
    <w:p>
      <w:pPr>
        <w:spacing w:after="0" w:line="194"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many foreign products, including tariffs on imports from China, that in the past have resulted in and may result in future retaliatory tariffs on U.S. goods and products and restrictions on exports to the United States. In light of the uncertainty surrounding tariffs imposed by the United States and China and trade relations between the two countries, we expect the volume of product sales in China to decrease and costs associated with tariffs to increase. We cannot predict whether these policies will continue, or if new policies will be enacted, or the impact, if any, that any policy changes could have on our business. In addition, failure of the U.S. government to pass a budget in a timely manner, any extended government shutdown,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spacing w:after="0" w:line="194" w:lineRule="exact"/>
        <w:rPr>
          <w:sz w:val="20"/>
          <w:szCs w:val="20"/>
          <w:color w:val="auto"/>
        </w:rPr>
      </w:pPr>
    </w:p>
    <w:p>
      <w:pPr>
        <w:ind w:right="60" w:firstLine="234"/>
        <w:spacing w:after="0" w:line="252" w:lineRule="auto"/>
        <w:rPr>
          <w:sz w:val="20"/>
          <w:szCs w:val="20"/>
          <w:color w:val="auto"/>
        </w:rPr>
      </w:pPr>
      <w:r>
        <w:rPr>
          <w:rFonts w:ascii="Times New Roman" w:cs="Times New Roman" w:eastAsia="Times New Roman" w:hAnsi="Times New Roman"/>
          <w:sz w:val="18"/>
          <w:szCs w:val="18"/>
          <w:color w:val="auto"/>
        </w:rPr>
        <w:t>The uncertain macroeconomic environment, including volatile credit markets and concerns regarding the availability and cost of credit, increased interest rates, inflation, reduced economic growth or a recession, instability in the banking and financial services sector, and changes in government administration policy positions,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have an impact through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w:t>
      </w:r>
    </w:p>
    <w:p>
      <w:pPr>
        <w:spacing w:after="0" w:line="1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CyberKnife or TomoTherapy platforms do not achieve widespread market acceptance, we will not be able to generate the revenue necessary to support our business.</w:t>
      </w:r>
    </w:p>
    <w:p>
      <w:pPr>
        <w:spacing w:after="0" w:line="118" w:lineRule="exact"/>
        <w:rPr>
          <w:sz w:val="20"/>
          <w:szCs w:val="20"/>
          <w:color w:val="auto"/>
        </w:rPr>
      </w:pPr>
    </w:p>
    <w:p>
      <w:pPr>
        <w:ind w:right="20" w:firstLine="234"/>
        <w:spacing w:after="0" w:line="224" w:lineRule="exact"/>
        <w:rPr>
          <w:sz w:val="20"/>
          <w:szCs w:val="20"/>
          <w:color w:val="auto"/>
        </w:rPr>
      </w:pPr>
      <w:r>
        <w:rPr>
          <w:rFonts w:ascii="Times New Roman" w:cs="Times New Roman" w:eastAsia="Times New Roman" w:hAnsi="Times New Roman"/>
          <w:sz w:val="18"/>
          <w:szCs w:val="18"/>
          <w:color w:val="auto"/>
        </w:rPr>
        <w:t>Achieving physician, patient, hospital administrator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spacing w:after="0" w:line="188" w:lineRule="exact"/>
        <w:rPr>
          <w:sz w:val="20"/>
          <w:szCs w:val="20"/>
          <w:color w:val="auto"/>
        </w:rPr>
      </w:pPr>
    </w:p>
    <w:p>
      <w:pPr>
        <w:ind w:right="200" w:firstLine="234"/>
        <w:spacing w:after="0" w:line="261" w:lineRule="auto"/>
        <w:rPr>
          <w:sz w:val="20"/>
          <w:szCs w:val="20"/>
          <w:color w:val="auto"/>
        </w:rPr>
      </w:pPr>
      <w:r>
        <w:rPr>
          <w:rFonts w:ascii="Times New Roman" w:cs="Times New Roman" w:eastAsia="Times New Roman" w:hAnsi="Times New Roman"/>
          <w:sz w:val="18"/>
          <w:szCs w:val="18"/>
          <w:color w:val="auto"/>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These and other factors, including the following, may affect the rate and level of market acceptance of the CyberKnife and TomoTherapy platforms:</w:t>
      </w:r>
    </w:p>
    <w:p>
      <w:pPr>
        <w:spacing w:after="0" w:line="180" w:lineRule="exact"/>
        <w:rPr>
          <w:sz w:val="20"/>
          <w:szCs w:val="20"/>
          <w:color w:val="auto"/>
        </w:rPr>
      </w:pPr>
    </w:p>
    <w:p>
      <w:pPr>
        <w:ind w:left="780" w:hanging="32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CyberKnife and TomoTherapy platforms’ price relative to other products or competing treatments;</w:t>
      </w:r>
    </w:p>
    <w:p>
      <w:pPr>
        <w:spacing w:after="0" w:line="225" w:lineRule="exact"/>
        <w:rPr>
          <w:rFonts w:ascii="Times New Roman" w:cs="Times New Roman" w:eastAsia="Times New Roman" w:hAnsi="Times New Roman"/>
          <w:sz w:val="18"/>
          <w:szCs w:val="18"/>
          <w:color w:val="auto"/>
        </w:rPr>
      </w:pPr>
    </w:p>
    <w:p>
      <w:pPr>
        <w:ind w:left="780" w:right="180" w:hanging="327"/>
        <w:spacing w:after="0" w:line="282"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enhancements and receive regulatory clearances and approval, if required, to such products in a timely manner;</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state boards when evaluating certificates of need requested by purchasing institutions;</w:t>
      </w:r>
    </w:p>
    <w:p>
      <w:pPr>
        <w:spacing w:after="0" w:line="225" w:lineRule="exact"/>
        <w:rPr>
          <w:rFonts w:ascii="Times New Roman" w:cs="Times New Roman" w:eastAsia="Times New Roman" w:hAnsi="Times New Roman"/>
          <w:sz w:val="18"/>
          <w:szCs w:val="18"/>
          <w:color w:val="auto"/>
        </w:rPr>
      </w:pPr>
    </w:p>
    <w:p>
      <w:pPr>
        <w:ind w:left="780" w:right="480" w:hanging="327"/>
        <w:spacing w:after="0" w:line="282"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patients, physicians and other members of the healthcare community of the CyberKnife and TomoTherapy platforms’ safety, efficacy, efficiency and benefits compared to competing technologies or treatments;</w:t>
      </w:r>
    </w:p>
    <w:p>
      <w:pPr>
        <w:spacing w:after="0" w:line="161" w:lineRule="exact"/>
        <w:rPr>
          <w:rFonts w:ascii="Times New Roman" w:cs="Times New Roman" w:eastAsia="Times New Roman" w:hAnsi="Times New Roman"/>
          <w:sz w:val="18"/>
          <w:szCs w:val="18"/>
          <w:color w:val="auto"/>
        </w:rPr>
      </w:pPr>
    </w:p>
    <w:p>
      <w:pPr>
        <w:ind w:left="780" w:right="360" w:hanging="327"/>
        <w:spacing w:after="0" w:line="282"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adopt new techniques and the ability of physicians to acquire the skills necessary to operate the CyberKnife and TomoTherapy platforms;</w:t>
      </w:r>
    </w:p>
    <w:p>
      <w:pPr>
        <w:spacing w:after="0" w:line="120" w:lineRule="exact"/>
        <w:rPr>
          <w:rFonts w:ascii="Times New Roman" w:cs="Times New Roman" w:eastAsia="Times New Roman" w:hAnsi="Times New Roman"/>
          <w:sz w:val="18"/>
          <w:szCs w:val="18"/>
          <w:color w:val="auto"/>
        </w:rPr>
      </w:pPr>
    </w:p>
    <w:p>
      <w:pPr>
        <w:ind w:left="780" w:right="360" w:hanging="327"/>
        <w:spacing w:after="0" w:line="245" w:lineRule="exact"/>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rates, particularly from Medicare, for procedures using the CyberKnife and TomoTherapy platforms; and</w:t>
      </w:r>
    </w:p>
    <w:p>
      <w:pPr>
        <w:spacing w:after="0" w:line="198"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technologies by our competitors or new treatment alternatives.</w:t>
      </w:r>
    </w:p>
    <w:p>
      <w:pPr>
        <w:spacing w:after="0" w:line="225" w:lineRule="exact"/>
        <w:rPr>
          <w:sz w:val="20"/>
          <w:szCs w:val="20"/>
          <w:color w:val="auto"/>
        </w:rPr>
      </w:pPr>
    </w:p>
    <w:p>
      <w:pPr>
        <w:ind w:right="520" w:firstLine="234"/>
        <w:spacing w:after="0" w:line="282" w:lineRule="auto"/>
        <w:rPr>
          <w:sz w:val="20"/>
          <w:szCs w:val="20"/>
          <w:color w:val="auto"/>
        </w:rPr>
      </w:pPr>
      <w:r>
        <w:rPr>
          <w:rFonts w:ascii="Times New Roman" w:cs="Times New Roman" w:eastAsia="Times New Roman" w:hAnsi="Times New Roman"/>
          <w:sz w:val="18"/>
          <w:szCs w:val="18"/>
          <w:color w:val="auto"/>
        </w:rPr>
        <w:t>If the CyberKnife or TomoTherapy platforms are unable to achieve or maintain market acceptance, new orders and sales of our systems would be adversely affected, our revenue levels would decrease and our business would be harmed.</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depends in part on maintaining or increasing our gross margins on product sales and services, which we may not be able to achieve.</w:t>
      </w:r>
    </w:p>
    <w:p>
      <w:pPr>
        <w:spacing w:after="0" w:line="159" w:lineRule="exact"/>
        <w:rPr>
          <w:sz w:val="20"/>
          <w:szCs w:val="20"/>
          <w:color w:val="auto"/>
        </w:rPr>
      </w:pPr>
    </w:p>
    <w:p>
      <w:pPr>
        <w:ind w:right="20" w:firstLine="234"/>
        <w:spacing w:after="0" w:line="220" w:lineRule="exact"/>
        <w:rPr>
          <w:sz w:val="20"/>
          <w:szCs w:val="20"/>
          <w:color w:val="auto"/>
        </w:rPr>
      </w:pPr>
      <w:r>
        <w:rPr>
          <w:rFonts w:ascii="Times New Roman" w:cs="Times New Roman" w:eastAsia="Times New Roman" w:hAnsi="Times New Roman"/>
          <w:sz w:val="18"/>
          <w:szCs w:val="18"/>
          <w:color w:val="auto"/>
        </w:rPr>
        <w:t>As of March 31, 2026, we had an accumulated deficit of $566.5 million. We have incurred net losses, and expect to incur net losses in the future, particularly as selling and marketing activities increase ahead of any expected revenue. Our ability to achieve and sustain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spacing w:after="0" w:line="201" w:lineRule="exact"/>
        <w:rPr>
          <w:sz w:val="20"/>
          <w:szCs w:val="20"/>
          <w:color w:val="auto"/>
        </w:rPr>
      </w:pPr>
    </w:p>
    <w:p>
      <w:pPr>
        <w:ind w:right="380" w:firstLine="234"/>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also depends on our ability to maintain or increase our gross margins on product sales and services. A number of factors have adversely impacted or could impact gross margins, including:</w:t>
      </w:r>
    </w:p>
    <w:p>
      <w:pPr>
        <w:spacing w:after="0" w:line="162" w:lineRule="exact"/>
        <w:rPr>
          <w:sz w:val="20"/>
          <w:szCs w:val="20"/>
          <w:color w:val="auto"/>
        </w:rPr>
      </w:pPr>
    </w:p>
    <w:p>
      <w:pPr>
        <w:ind w:left="5540" w:right="2600" w:hanging="5087"/>
        <w:spacing w:after="0" w:line="532" w:lineRule="auto"/>
        <w:tabs>
          <w:tab w:leader="none" w:pos="7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manufacturing yields of high cost components leading to increased manufacturing costs;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production volume, which will result in high levels of overhead cost per unit of production;</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selling pricing;</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products and services, recognize revenue from our sales and the timing of revenue recognition and revenue deferrals;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other costs as a result of increased inflation and supply chain constraints;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or increased costs related to critical components parts, including as a result of supply chain disruptions;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inventory costs and liabilities for excess inventory resulting from inventory held in excess of forecasted demand;</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 the failure to reduce service or warranty costs;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the margins across products installed in a particular period;</w:t>
      </w:r>
    </w:p>
    <w:p>
      <w:pPr>
        <w:spacing w:after="0" w:line="225" w:lineRule="exact"/>
        <w:rPr>
          <w:rFonts w:ascii="Times New Roman" w:cs="Times New Roman" w:eastAsia="Times New Roman" w:hAnsi="Times New Roman"/>
          <w:sz w:val="18"/>
          <w:szCs w:val="18"/>
          <w:color w:val="auto"/>
        </w:rPr>
      </w:pPr>
    </w:p>
    <w:p>
      <w:pPr>
        <w:jc w:val="both"/>
        <w:ind w:left="780" w:hanging="327"/>
        <w:spacing w:after="0" w:line="266"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including imposition of tariffs on goods imported into the U.S. including, but not limited to, tariffs on goods imported from China and other countries, and any retaliatory tariffs imposed by other countries on U.S. goods, including our products, and retaliatory export controls that could impact our supply chain;</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strategic and operating plans.</w:t>
      </w:r>
    </w:p>
    <w:p>
      <w:pPr>
        <w:spacing w:after="0" w:line="225" w:lineRule="exact"/>
        <w:rPr>
          <w:sz w:val="20"/>
          <w:szCs w:val="20"/>
          <w:color w:val="auto"/>
        </w:rPr>
      </w:pPr>
    </w:p>
    <w:p>
      <w:pPr>
        <w:ind w:right="160" w:firstLine="234"/>
        <w:spacing w:after="0" w:line="282" w:lineRule="auto"/>
        <w:rPr>
          <w:sz w:val="20"/>
          <w:szCs w:val="20"/>
          <w:color w:val="auto"/>
        </w:rPr>
      </w:pPr>
      <w:r>
        <w:rPr>
          <w:rFonts w:ascii="Times New Roman" w:cs="Times New Roman" w:eastAsia="Times New Roman" w:hAnsi="Times New Roman"/>
          <w:sz w:val="18"/>
          <w:szCs w:val="18"/>
          <w:color w:val="auto"/>
        </w:rPr>
        <w:t>If we are unable to maintain or increase our gross margins on product sales and service, our results of operations could be adversely impacted, we may not achieve profitability and our stock price could decline.</w:t>
      </w:r>
    </w:p>
    <w:p>
      <w:pPr>
        <w:spacing w:after="0" w:line="15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in the form of a credit facility and convertible senior notes and may incur other debt in the future, which may adversely affect our financial condition and future financial results. In the past, we have not been in compliance with certain financial covenants relating to our indebtedness and have been required to obtain waivers to avoid defaulting under such indebtedness.</w:t>
      </w:r>
    </w:p>
    <w:p>
      <w:pPr>
        <w:spacing w:after="0" w:line="175" w:lineRule="exact"/>
        <w:rPr>
          <w:sz w:val="20"/>
          <w:szCs w:val="20"/>
          <w:color w:val="auto"/>
        </w:rPr>
      </w:pPr>
    </w:p>
    <w:p>
      <w:pPr>
        <w:ind w:right="220" w:firstLine="234"/>
        <w:spacing w:after="0" w:line="254" w:lineRule="auto"/>
        <w:rPr>
          <w:sz w:val="20"/>
          <w:szCs w:val="20"/>
          <w:color w:val="auto"/>
        </w:rPr>
      </w:pPr>
      <w:r>
        <w:rPr>
          <w:rFonts w:ascii="Times New Roman" w:cs="Times New Roman" w:eastAsia="Times New Roman" w:hAnsi="Times New Roman"/>
          <w:sz w:val="18"/>
          <w:szCs w:val="18"/>
          <w:color w:val="auto"/>
        </w:rPr>
        <w:t>As of March 31, 2026, we had outstanding borrowings of $156.5 million, which includes $7.7 million in accumulated paid-in-kind interest, under our five-year term loan (the “Term Loan Facility”) with additional borrowings available of $15 million under our revolving credit facility (the “Revolving Credit Facility”) and $18.25 million under our delayed draw term loan (the “Delayed Draw Facility” and together with the Term Loan Facility and Revolving Credit Facility, the “Credit Facilities”), each of which will mature on June 6, 2030, and $18.0 million in principal amount outstanding of our 3.75% Convertible Senior 2026 Notes due June 1, 2026 (the “2026 Notes”). Substantially all of our assets secure the Credit Facilities. In the event of a default, the lenders would have the right to foreclose on those assets, which could severely impair or eliminate our ability to continue operating. Our existing and future levels of indebtedness could have important consequences to stockholders and note holders and may adversely affect our financial conditions and future financial results by, among other things: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90" w:hanging="327"/>
        <w:spacing w:after="0"/>
        <w:tabs>
          <w:tab w:leader="none" w:pos="7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satisfy our obligations under the 2026 Notes and Credit Facilities;</w:t>
      </w:r>
    </w:p>
    <w:p>
      <w:pPr>
        <w:spacing w:after="0" w:line="225" w:lineRule="exact"/>
        <w:rPr>
          <w:rFonts w:ascii="Times New Roman" w:cs="Times New Roman" w:eastAsia="Times New Roman" w:hAnsi="Times New Roman"/>
          <w:sz w:val="18"/>
          <w:szCs w:val="18"/>
          <w:color w:val="auto"/>
        </w:rPr>
      </w:pPr>
    </w:p>
    <w:p>
      <w:pPr>
        <w:ind w:left="790" w:right="80" w:hanging="327"/>
        <w:spacing w:after="0" w:line="282" w:lineRule="auto"/>
        <w:tabs>
          <w:tab w:leader="none" w:pos="7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spacing w:after="0" w:line="161" w:lineRule="exact"/>
        <w:rPr>
          <w:rFonts w:ascii="Times New Roman" w:cs="Times New Roman" w:eastAsia="Times New Roman" w:hAnsi="Times New Roman"/>
          <w:sz w:val="18"/>
          <w:szCs w:val="18"/>
          <w:color w:val="auto"/>
        </w:rPr>
      </w:pPr>
    </w:p>
    <w:p>
      <w:pPr>
        <w:ind w:left="790" w:hanging="327"/>
        <w:spacing w:after="0"/>
        <w:tabs>
          <w:tab w:leader="none" w:pos="7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w:t>
      </w:r>
    </w:p>
    <w:p>
      <w:pPr>
        <w:spacing w:after="0" w:line="225" w:lineRule="exact"/>
        <w:rPr>
          <w:rFonts w:ascii="Times New Roman" w:cs="Times New Roman" w:eastAsia="Times New Roman" w:hAnsi="Times New Roman"/>
          <w:sz w:val="18"/>
          <w:szCs w:val="18"/>
          <w:color w:val="auto"/>
        </w:rPr>
      </w:pPr>
    </w:p>
    <w:p>
      <w:pPr>
        <w:ind w:left="790" w:hanging="327"/>
        <w:spacing w:after="0"/>
        <w:tabs>
          <w:tab w:leader="none" w:pos="7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industry; and</w:t>
      </w:r>
    </w:p>
    <w:p>
      <w:pPr>
        <w:spacing w:after="0" w:line="225" w:lineRule="exact"/>
        <w:rPr>
          <w:rFonts w:ascii="Times New Roman" w:cs="Times New Roman" w:eastAsia="Times New Roman" w:hAnsi="Times New Roman"/>
          <w:sz w:val="18"/>
          <w:szCs w:val="18"/>
          <w:color w:val="auto"/>
        </w:rPr>
      </w:pPr>
    </w:p>
    <w:p>
      <w:pPr>
        <w:ind w:left="790" w:hanging="327"/>
        <w:spacing w:after="0"/>
        <w:tabs>
          <w:tab w:leader="none" w:pos="7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economy in general.</w:t>
      </w:r>
    </w:p>
    <w:p>
      <w:pPr>
        <w:spacing w:after="0" w:line="225" w:lineRule="exact"/>
        <w:rPr>
          <w:sz w:val="20"/>
          <w:szCs w:val="20"/>
          <w:color w:val="auto"/>
        </w:rPr>
      </w:pPr>
    </w:p>
    <w:p>
      <w:pPr>
        <w:ind w:left="10" w:firstLine="234"/>
        <w:spacing w:after="0" w:line="254" w:lineRule="auto"/>
        <w:rPr>
          <w:sz w:val="20"/>
          <w:szCs w:val="20"/>
          <w:color w:val="auto"/>
        </w:rPr>
      </w:pPr>
      <w:r>
        <w:rPr>
          <w:rFonts w:ascii="Times New Roman" w:cs="Times New Roman" w:eastAsia="Times New Roman" w:hAnsi="Times New Roman"/>
          <w:sz w:val="18"/>
          <w:szCs w:val="18"/>
          <w:color w:val="auto"/>
        </w:rPr>
        <w:t>In June 2025, in connection with our entry into the credit agreement governing the Credit Facilities (the “Financing Agreement”), we issued to our lenders (i) an aggregate of 17,180,710 shares of our common stock issuable upon exercise of outstanding warrants (the “June 2025 Premium Warrants”), which are exercisable starting on December 7, 2025 and until June 6, 2032 and have an exercise price of $1.68 per share, and (ii) an aggregate of 6,247,531 shares of our common stock issuable upon exercise of warrants (the “June 2025 Penny Warrants”), which are exercisable until June 6, 2032 and have an exercise price of $0.01 per share. In December 2025, in connection with our entry into an amendment to the Financing Agreement, we also issued,</w:t>
      </w:r>
    </w:p>
    <w:p>
      <w:pPr>
        <w:spacing w:after="0" w:line="3" w:lineRule="exact"/>
        <w:rPr>
          <w:sz w:val="20"/>
          <w:szCs w:val="20"/>
          <w:color w:val="auto"/>
        </w:rPr>
      </w:pPr>
    </w:p>
    <w:p>
      <w:pPr>
        <w:ind w:left="10" w:right="60" w:hanging="10"/>
        <w:spacing w:after="0" w:line="251" w:lineRule="auto"/>
        <w:tabs>
          <w:tab w:leader="none" w:pos="2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3,062,726 shares of common stock issuable upon exercise of outstanding warrants, with an exercise price of $1.50 per share, exercisable on and after June 16, 2026 and expiring on December 15, 2032 (the “December 2025 Super Premium Warrants”), (ii) 2,187,661 shares of common stock issuable upon exercise of warrants, with an exercise price of $1.25 per share, exercisable on and after June 16, 2026 and expiring on December 15, 2032 (the “December 2025 Premium Warrants” and, together with the June 2025 Premium Warrants, the “Premium Warrants”) , and (iii) 1,750,129 shares of common stock issuable upon exercise of outstanding warrants, with an exercise price of $0.01 per share, which are exercisable immediately and expire on December 15, 2032 (the “December 2025 Penny Warrants” and together with the June 2025 Penny Warrants, the “Penny Warrants” and together with the Premium Warrants and December 2025 Super Premium Warrants, the “Warrants”). If we access the Delayed Draw Facility, we will issue up to 7.0 million in additional warrants to the same warrant holders.</w:t>
      </w:r>
    </w:p>
    <w:p>
      <w:pPr>
        <w:spacing w:after="0" w:line="194" w:lineRule="exact"/>
        <w:rPr>
          <w:sz w:val="20"/>
          <w:szCs w:val="20"/>
          <w:color w:val="auto"/>
        </w:rPr>
      </w:pPr>
    </w:p>
    <w:p>
      <w:pPr>
        <w:ind w:left="250"/>
        <w:spacing w:after="0"/>
        <w:rPr>
          <w:sz w:val="20"/>
          <w:szCs w:val="20"/>
          <w:color w:val="auto"/>
        </w:rPr>
      </w:pPr>
      <w:r>
        <w:rPr>
          <w:rFonts w:ascii="Times New Roman" w:cs="Times New Roman" w:eastAsia="Times New Roman" w:hAnsi="Times New Roman"/>
          <w:sz w:val="18"/>
          <w:szCs w:val="18"/>
          <w:color w:val="auto"/>
        </w:rPr>
        <w:t>The Amended Financing Agreement also includes certain restrictive covenants that limit, among other things, our ability and our subsidiaries’ ability to</w:t>
      </w:r>
    </w:p>
    <w:p>
      <w:pPr>
        <w:spacing w:after="0" w:line="27" w:lineRule="exact"/>
        <w:rPr>
          <w:sz w:val="20"/>
          <w:szCs w:val="20"/>
          <w:color w:val="auto"/>
        </w:rPr>
      </w:pPr>
    </w:p>
    <w:p>
      <w:pPr>
        <w:ind w:left="10" w:right="20" w:firstLine="8"/>
        <w:spacing w:after="0" w:line="251" w:lineRule="auto"/>
        <w:tabs>
          <w:tab w:leader="none" w:pos="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(ii) incur liens on their property, (iii) pay dividends or make other distributions, (iv) sell our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fixed charge coverage ratio, total leverage ratio and liquidity level, as defined in the Amended Financing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certain similar covenants or other terms governing the prior credit facilities and we have been required to obtain waivers or amendments to the previous credit agreement from our lenders in order to maintain compliance. There can, however, be no certainty that any such waiver or amendment will be available to us in the future, which may lead to a default under the terms of the Amended Financing Agreement governing the Credit Facilities, or what the cost of such waiver or amendment, if obtained, would be. If we are unable to obtain necessary waivers or relevant amendments as required and the debt under such credit facility is accelerated, we would be required to obtain replacement financing at prevailing market rates, which may not be available to us on favorable terms or at all. Failure to obtain replacement financing could result in certain of our long-term indebtedness being reclassified current, which could in turn impact our ability to continue as a going concern. Additionally, a default on indebtedness would likely result in a default under the terms of the indenture governing the 2026 Notes. We may not be able to satisfy our obligations if any of our indebtedness is accelerated.</w:t>
      </w:r>
    </w:p>
    <w:p>
      <w:pPr>
        <w:spacing w:after="0" w:line="189" w:lineRule="exact"/>
        <w:rPr>
          <w:sz w:val="20"/>
          <w:szCs w:val="20"/>
          <w:color w:val="auto"/>
        </w:rPr>
      </w:pPr>
    </w:p>
    <w:p>
      <w:pPr>
        <w:jc w:val="both"/>
        <w:ind w:left="10" w:right="20" w:firstLine="234"/>
        <w:spacing w:after="0" w:line="266" w:lineRule="auto"/>
        <w:rPr>
          <w:sz w:val="20"/>
          <w:szCs w:val="20"/>
          <w:color w:val="auto"/>
        </w:rPr>
      </w:pPr>
      <w:r>
        <w:rPr>
          <w:rFonts w:ascii="Times New Roman" w:cs="Times New Roman" w:eastAsia="Times New Roman" w:hAnsi="Times New Roman"/>
          <w:sz w:val="18"/>
          <w:szCs w:val="18"/>
          <w:color w:val="auto"/>
        </w:rPr>
        <w:t>In addition, the Credit Facilities expose us to interest rate risk. If the amount outstanding under the Credit Facilities remained at the level outstanding as of March 31, 2026 for the next 12 months and interest rates increased or decreased by 50 basis point change, our annual interest expense would increase or decrease, respectively, approximately $0.8 million.</w:t>
      </w:r>
    </w:p>
    <w:p>
      <w:pPr>
        <w:spacing w:after="0" w:line="17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0"/>
          </w:cols>
          <w:pgMar w:left="310" w:top="121"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Uncertainty or volatility in trade policy as well as 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financial condition and results of operations.</w:t>
      </w:r>
    </w:p>
    <w:p>
      <w:pPr>
        <w:spacing w:after="0" w:line="175"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Our global business has been and could continue to be negatively affected by uncertainty or volatility in trade policy as well as trade barriers and other governmental protectionist measures, any of which can be imposed or modified suddenly and unpredictably. There is currently significant uncertainty about the future relationship between the U.S. and various other countries, most significantly China, with respect to trade policies, treaties, government regulations and tariffs and such uncertainty could continue with the changes in government administration policy positions and reactions to such policies. In February 2026, the U.S. Supreme Court ruled that the President does not have authority under the IEEPA to impose broad tariffs without explicit congressional authorization, striking down major tariffs previously in place. As a result of that ruling, U.S. Customs and Border Protection (“CBP”) outlined plans to establish a system for tariff refunds following an order by the Court of International Trade for CBP to progress with a tariff refund process. The first phase of the refund process and portal went live on April 20, 2026.</w:t>
      </w:r>
    </w:p>
    <w:p>
      <w:pPr>
        <w:spacing w:after="0" w:line="200" w:lineRule="exact"/>
        <w:rPr>
          <w:sz w:val="20"/>
          <w:szCs w:val="20"/>
          <w:color w:val="auto"/>
        </w:rPr>
      </w:pPr>
    </w:p>
    <w:p>
      <w:pPr>
        <w:spacing w:after="0" w:line="208" w:lineRule="exact"/>
        <w:rPr>
          <w:sz w:val="20"/>
          <w:szCs w:val="20"/>
          <w:color w:val="auto"/>
        </w:rPr>
      </w:pPr>
    </w:p>
    <w:p>
      <w:pPr>
        <w:ind w:right="20" w:firstLine="234"/>
        <w:spacing w:after="0" w:line="270" w:lineRule="auto"/>
        <w:rPr>
          <w:sz w:val="20"/>
          <w:szCs w:val="20"/>
          <w:color w:val="auto"/>
        </w:rPr>
      </w:pPr>
      <w:r>
        <w:rPr>
          <w:rFonts w:ascii="Times New Roman" w:cs="Times New Roman" w:eastAsia="Times New Roman" w:hAnsi="Times New Roman"/>
          <w:sz w:val="17"/>
          <w:szCs w:val="17"/>
          <w:color w:val="auto"/>
        </w:rPr>
        <w:t>In addition, the U.S. presidential administration has indicated its intent to modify U.S. trade policy and in some cases to renegotiate, or potentially terminate, certain existing bilateral or multi-lateral trade agreements. It has also imposed or announced enhanced international tariffs ranging from tariffs on certain imports, pursuant to Section 301 of Trade Act of 1974 (“Section 301”) and section 232 of the Trade Expansion Act of 1964 (“Section 232”) as well as a baseline tariff on virtually all imports pursuant to Section 122 of the Trade Act of 1974 (“Section 122”). Following the ruling by the U.S. Supreme Court, on the legality of the IEEPA tariffs, the U.S. presidential administration announced it would utilize authority under Section 122 of the Trade Act of 1974 to implement tariffs of up to 15% for a limited period of time without U.S. Congressional approval and may ultimately replace such tariffs with longer-lasting authority under Section 301 or Section 232. The Section 301 tariffs affect component parts including the linear accelerator for our CyberKnife platforms, which we manufacture in China and import into the U.S., as well as other components that we import into the U.S. from other suppliers, which could significantly impact the cost of these parts. Currently, the Section 122 tariff rate is set at 10% and has not yet been raised to 15%. The Section 122 tariffs will expire on July 23, 2026. Any retaliatory tariffs could also impact our ability to export and sell our products into those countries.</w:t>
      </w:r>
    </w:p>
    <w:p>
      <w:pPr>
        <w:spacing w:after="0" w:line="177" w:lineRule="exact"/>
        <w:rPr>
          <w:sz w:val="20"/>
          <w:szCs w:val="20"/>
          <w:color w:val="auto"/>
        </w:rPr>
      </w:pPr>
    </w:p>
    <w:p>
      <w:pPr>
        <w:ind w:right="20" w:firstLine="234"/>
        <w:spacing w:after="0" w:line="218" w:lineRule="exact"/>
        <w:rPr>
          <w:sz w:val="20"/>
          <w:szCs w:val="20"/>
          <w:color w:val="auto"/>
        </w:rPr>
      </w:pPr>
      <w:r>
        <w:rPr>
          <w:rFonts w:ascii="Times New Roman" w:cs="Times New Roman" w:eastAsia="Times New Roman" w:hAnsi="Times New Roman"/>
          <w:sz w:val="18"/>
          <w:szCs w:val="18"/>
          <w:color w:val="auto"/>
        </w:rPr>
        <w:t>With respect to tariff refund claims, there can be no assurance that we will receive any tariff refunds on a timely basis or at all, or that any such refunds, if received, will fully offset amounts previously paid or accrued. For example, in April 2026, the Company submitted approximately $9.0 million of tariff refund claims through CBP’s Consolidated Administration and Processing of Entries portal, of which $8.9 million were reported as having an accepted submission status of the date of this Quarterly Report on Form 10-Q. Refund claims may be delayed, denied or subject to dispute, and any delays or adverse determinations could negatively impact our cash flows, results of operations and financial position. Increased tariffs and evolving trade regimes may also heighten regulatory and customs compliance risks, including increased scrutiny by CBP and foreign customs authorities, disputes regarding tariff classification, valuation or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origin determinations, and the potential for retroactive assessments, penalties, interest or delays in the clearance of our products. Prolonged uncertainty or volatility in trade policy and economic conditions, including uncertainty regarding future trade policy, potential tariff refund claims and shifting trade relationships could materially harm our business, financial condition and results of operations, especially if additional tariffs are placed on certain of our components or products or if any related counter-measures are taken by other countries. Our ability to mitigate the impact of tariff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 increases may be limited by competitive pressures, long sales cycles,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customer contracts, and reimbursement or budgetary constraints faced by healthcare providers, particularly in China and other international markets. As a result, we may not be able to fully pass through increased costs to customers without adversely affecting demand.</w:t>
      </w:r>
    </w:p>
    <w:p>
      <w:pPr>
        <w:spacing w:after="0" w:line="199"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In addition, our competitors, including domestic Chinese manufacturers and multinational companies that manufacture in countries not subject to the same tariffs, may not face equivalent cost increases, which could result in a relative competitive disadvantage for our products in affected markets, particularly China. We have experienced increased costs associated with tariffs and in light of continued uncertainty surrounding tariffs imposed by the United States and China, and overall trade relations between the two countries, the volume of our product sales in China has and may continue to decrease.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Tariffs increase the cost of our products and the components and raw materials that go into making them. An increase in our costs adversely impacts the gross margin that we earn on our products and we have been unable to fully pass tariff-related cost increases to our customers, particularly because healthcare providers face reimbursement constraints and competitive pressures limit or pricing flexibility. We may not be able to forecast such impacts accurately. Although we continue to work with our vendors and customers to mitigate our exposure to current or potential tariffs, there can be no assurance that we will be able to offset any increased costs. The ultimate impact of any tariffs will depend on various factors, including if any tariffs are ultimately implemented, the timing of implementation, and the amount, scope, and nature of the tariffs. If we are not successful in offsetting the impact of any such tariffs, our revenue, gross margins and operating results may be adversely affected. If existing tariffs associated with U.S.-China trade increase, we would expect minimal shipments to China despite customer demand.</w:t>
      </w:r>
    </w:p>
    <w:p>
      <w:pPr>
        <w:spacing w:after="0" w:line="192" w:lineRule="exact"/>
        <w:rPr>
          <w:sz w:val="20"/>
          <w:szCs w:val="20"/>
          <w:color w:val="auto"/>
        </w:rPr>
      </w:pPr>
    </w:p>
    <w:p>
      <w:pPr>
        <w:ind w:right="100" w:firstLine="162"/>
        <w:spacing w:after="0" w:line="261" w:lineRule="auto"/>
        <w:rPr>
          <w:sz w:val="20"/>
          <w:szCs w:val="20"/>
          <w:color w:val="auto"/>
        </w:rPr>
      </w:pPr>
      <w:r>
        <w:rPr>
          <w:rFonts w:ascii="Times New Roman" w:cs="Times New Roman" w:eastAsia="Times New Roman" w:hAnsi="Times New Roman"/>
          <w:sz w:val="18"/>
          <w:szCs w:val="18"/>
          <w:color w:val="auto"/>
        </w:rPr>
        <w:t>These tariffs are subject to a number of uncertainties as they are implemented, including future adjustments and changes. We continue to monitor trade policy developments on a real-time basis. To date, tariff impacts have materially reduced our China product revenues and adversely affect our gross margins. If tariffs escalate or persist, we expect further reductions in China revenues and ongoing gross margin pressure, with limited ability to offset costs through pricing adjustments given our customers’ reimbursement constraints.</w:t>
      </w:r>
    </w:p>
    <w:p>
      <w:pPr>
        <w:spacing w:after="0" w:line="396" w:lineRule="exact"/>
        <w:rPr>
          <w:sz w:val="20"/>
          <w:szCs w:val="20"/>
          <w:color w:val="auto"/>
        </w:rPr>
      </w:pPr>
    </w:p>
    <w:p>
      <w:pPr>
        <w:ind w:right="160" w:firstLine="180"/>
        <w:spacing w:after="0" w:line="255" w:lineRule="auto"/>
        <w:rPr>
          <w:sz w:val="20"/>
          <w:szCs w:val="20"/>
          <w:color w:val="auto"/>
        </w:rPr>
      </w:pPr>
      <w:r>
        <w:rPr>
          <w:rFonts w:ascii="Times New Roman" w:cs="Times New Roman" w:eastAsia="Times New Roman" w:hAnsi="Times New Roman"/>
          <w:sz w:val="18"/>
          <w:szCs w:val="18"/>
          <w:color w:val="auto"/>
        </w:rPr>
        <w:t>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export controls and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More generally, several governments, including the U.S., have raised the possibility of policies to induce "re-shoring" of supply chains, less reliance on imported supplies, and greater national production. Examples include potential "Buy America" requirements in the U.S. If such steps by local governments trigger retaliation in other markets restricting access to foreign products in purchases by their government-owned healthcare systems, the result may have an adverse impact on our business, financial condition, or results of operations.</w:t>
      </w:r>
    </w:p>
    <w:p>
      <w:pPr>
        <w:spacing w:after="0" w:line="180" w:lineRule="exact"/>
        <w:rPr>
          <w:sz w:val="20"/>
          <w:szCs w:val="20"/>
          <w:color w:val="auto"/>
        </w:rPr>
      </w:pPr>
    </w:p>
    <w:p>
      <w:pPr>
        <w:ind w:firstLine="162"/>
        <w:spacing w:after="0" w:line="251" w:lineRule="auto"/>
        <w:rPr>
          <w:sz w:val="20"/>
          <w:szCs w:val="20"/>
          <w:color w:val="auto"/>
        </w:rPr>
      </w:pPr>
      <w:r>
        <w:rPr>
          <w:rFonts w:ascii="Times New Roman" w:cs="Times New Roman" w:eastAsia="Times New Roman" w:hAnsi="Times New Roman"/>
          <w:sz w:val="18"/>
          <w:szCs w:val="18"/>
          <w:color w:val="auto"/>
        </w:rPr>
        <w:t>In addition, export controls and economic sanctions imposed by the United States and other countries could negatively affect our global business. Although export controls and economic sanctions enforcement agencies have often provided exceptions or favorable licensing policies for exports of medical devices, there is no guarantee that any such exceptions or licensing policies will be included in connection with any future impositions of new export controls or economic sanctions. Additionally, even if the relevant enforcement agencies do adopt favorable exceptions or licensing policies for medical device exports, those exceptions or policies might not be broad enough to permit our continued exports to affected countries and/or end users. Even if favorable licensing policies do exist, we might not be able to obtain required export licenses within a commercially reasonable amount of time.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as we have distributors in Russia.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including our cash flows, quarterly orders, revenues and margins fluctuate from quarter to quarter and may be unpredictable.</w:t>
      </w:r>
    </w:p>
    <w:p>
      <w:pPr>
        <w:spacing w:after="0" w:line="229" w:lineRule="exact"/>
        <w:rPr>
          <w:sz w:val="20"/>
          <w:szCs w:val="20"/>
          <w:color w:val="auto"/>
        </w:rPr>
      </w:pPr>
    </w:p>
    <w:p>
      <w:pPr>
        <w:ind w:firstLine="234"/>
        <w:spacing w:after="0" w:line="218" w:lineRule="exact"/>
        <w:rPr>
          <w:sz w:val="20"/>
          <w:szCs w:val="20"/>
          <w:color w:val="auto"/>
        </w:rPr>
      </w:pPr>
      <w:r>
        <w:rPr>
          <w:rFonts w:ascii="Times New Roman" w:cs="Times New Roman" w:eastAsia="Times New Roman" w:hAnsi="Times New Roman"/>
          <w:sz w:val="18"/>
          <w:szCs w:val="18"/>
          <w:color w:val="auto"/>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w:t>
      </w:r>
    </w:p>
    <w:p>
      <w:pPr>
        <w:spacing w:after="0" w:line="199" w:lineRule="exact"/>
        <w:rPr>
          <w:sz w:val="20"/>
          <w:szCs w:val="20"/>
          <w:color w:val="auto"/>
        </w:rPr>
      </w:pPr>
    </w:p>
    <w:p>
      <w:pPr>
        <w:ind w:right="20" w:firstLine="234"/>
        <w:spacing w:after="0" w:line="226" w:lineRule="exact"/>
        <w:rPr>
          <w:sz w:val="20"/>
          <w:szCs w:val="20"/>
          <w:color w:val="auto"/>
        </w:rPr>
      </w:pPr>
      <w:r>
        <w:rPr>
          <w:rFonts w:ascii="Times New Roman" w:cs="Times New Roman" w:eastAsia="Times New Roman" w:hAnsi="Times New Roman"/>
          <w:sz w:val="18"/>
          <w:szCs w:val="18"/>
          <w:color w:val="auto"/>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could occur again in the future, which could have a negative impact on our revenue. Factors that may affect whether these orders become revenue (or are cancelled or deemed aged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and reflected as a reduction in net orders) and the timing of revenue include:</w:t>
      </w:r>
    </w:p>
    <w:p>
      <w:pPr>
        <w:spacing w:after="0" w:line="171" w:lineRule="exact"/>
        <w:rPr>
          <w:sz w:val="20"/>
          <w:szCs w:val="20"/>
          <w:color w:val="auto"/>
        </w:rPr>
      </w:pPr>
    </w:p>
    <w:p>
      <w:pPr>
        <w:ind w:left="780" w:hanging="327"/>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including volatility related to the current global economic environment;</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a customer to obtain funding or financing;</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customer site and delays in installation;</w:t>
      </w:r>
    </w:p>
    <w:p>
      <w:pPr>
        <w:spacing w:after="0" w:line="225" w:lineRule="exact"/>
        <w:rPr>
          <w:rFonts w:ascii="Times New Roman" w:cs="Times New Roman" w:eastAsia="Times New Roman" w:hAnsi="Times New Roman"/>
          <w:sz w:val="18"/>
          <w:szCs w:val="18"/>
          <w:color w:val="auto"/>
        </w:rPr>
      </w:pPr>
    </w:p>
    <w:p>
      <w:pPr>
        <w:ind w:left="780" w:right="480" w:hanging="327"/>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such customer to obtain local or foreign regulatory approvals such as certificates of need in certain states or Class A or Class B user licenses in China;</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applicable sales and service contracts of the CyberKnife and TomoTherapy platforms; and</w:t>
      </w:r>
    </w:p>
    <w:p>
      <w:pPr>
        <w:spacing w:after="0" w:line="225" w:lineRule="exact"/>
        <w:rPr>
          <w:rFonts w:ascii="Times New Roman" w:cs="Times New Roman" w:eastAsia="Times New Roman" w:hAnsi="Times New Roman"/>
          <w:sz w:val="18"/>
          <w:szCs w:val="18"/>
          <w:color w:val="auto"/>
        </w:rPr>
      </w:pPr>
    </w:p>
    <w:p>
      <w:pPr>
        <w:ind w:left="780" w:right="380" w:hanging="327"/>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revenue attributable to orders placed by our distributors, which may be more difficult to forecast due to factors outside our control.</w:t>
      </w:r>
    </w:p>
    <w:p>
      <w:pPr>
        <w:spacing w:after="0" w:line="162" w:lineRule="exact"/>
        <w:rPr>
          <w:sz w:val="20"/>
          <w:szCs w:val="20"/>
          <w:color w:val="auto"/>
        </w:rPr>
      </w:pPr>
    </w:p>
    <w:p>
      <w:pPr>
        <w:ind w:right="380" w:firstLine="234"/>
        <w:spacing w:after="0" w:line="282" w:lineRule="auto"/>
        <w:rPr>
          <w:sz w:val="20"/>
          <w:szCs w:val="20"/>
          <w:color w:val="auto"/>
        </w:rPr>
      </w:pPr>
      <w:r>
        <w:rPr>
          <w:rFonts w:ascii="Times New Roman" w:cs="Times New Roman" w:eastAsia="Times New Roman" w:hAnsi="Times New Roman"/>
          <w:sz w:val="18"/>
          <w:szCs w:val="18"/>
          <w:color w:val="auto"/>
        </w:rPr>
        <w:t>Our operating results have previously and may in the future also be affected by a number of other factors, some of which are outside of our control, including:</w:t>
      </w:r>
    </w:p>
    <w:p>
      <w:pPr>
        <w:spacing w:after="0" w:line="162" w:lineRule="exact"/>
        <w:rPr>
          <w:sz w:val="20"/>
          <w:szCs w:val="20"/>
          <w:color w:val="auto"/>
        </w:rPr>
      </w:pPr>
    </w:p>
    <w:p>
      <w:pPr>
        <w:ind w:left="780" w:right="3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business operations of our customers or vendors, construction at customer sites and installation, including delays caused by supply chain delays;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new product development activities;</w:t>
      </w:r>
    </w:p>
    <w:p>
      <w:pPr>
        <w:spacing w:after="0" w:line="225" w:lineRule="exact"/>
        <w:rPr>
          <w:rFonts w:ascii="Times New Roman" w:cs="Times New Roman" w:eastAsia="Times New Roman" w:hAnsi="Times New Roman"/>
          <w:sz w:val="18"/>
          <w:szCs w:val="18"/>
          <w:color w:val="auto"/>
        </w:rPr>
      </w:pPr>
    </w:p>
    <w:p>
      <w:pPr>
        <w:ind w:left="780" w:right="4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some states for a certificate of need prior to the installation of a radiation device or foreign regulatory approvals, such as Class A or Class B user licenses in China;</w:t>
      </w:r>
    </w:p>
    <w:p>
      <w:pPr>
        <w:spacing w:after="0" w:line="161" w:lineRule="exact"/>
        <w:rPr>
          <w:rFonts w:ascii="Times New Roman" w:cs="Times New Roman" w:eastAsia="Times New Roman" w:hAnsi="Times New Roman"/>
          <w:sz w:val="18"/>
          <w:szCs w:val="18"/>
          <w:color w:val="auto"/>
        </w:rPr>
      </w:pPr>
    </w:p>
    <w:p>
      <w:pPr>
        <w:ind w:left="780" w:right="2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manufacturing processes or unexpected manufacturing difficulties, including due to supply chain and logistics challenges;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announcement, introduction and delivery of new products or product upgrades by us and by our competitors;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expansion of sales and marketing activities such as trade shows and our overall operations;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expenditures associated with our financing activities;</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covenants associated with our indebtedness and our ability to generate sufficient cash flow or obtain additional financing to satisfy our obligations as they come due;</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adjustments;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factors, including the effects of enhanced international tariffs;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such as those related to revenue recognition, or in the interpretation or the application thereof; and</w:t>
      </w:r>
    </w:p>
    <w:p>
      <w:pPr>
        <w:spacing w:after="0" w:line="225" w:lineRule="exact"/>
        <w:rPr>
          <w:rFonts w:ascii="Times New Roman" w:cs="Times New Roman" w:eastAsia="Times New Roman" w:hAnsi="Times New Roman"/>
          <w:sz w:val="18"/>
          <w:szCs w:val="18"/>
          <w:color w:val="auto"/>
        </w:rPr>
      </w:pPr>
    </w:p>
    <w:p>
      <w:pPr>
        <w:ind w:left="780" w:right="80" w:hanging="327"/>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spacing w:after="0" w:line="392" w:lineRule="exact"/>
        <w:rPr>
          <w:sz w:val="20"/>
          <w:szCs w:val="20"/>
          <w:color w:val="auto"/>
        </w:rPr>
      </w:pPr>
    </w:p>
    <w:p>
      <w:pPr>
        <w:ind w:right="100" w:firstLine="234"/>
        <w:spacing w:after="0" w:line="266" w:lineRule="auto"/>
        <w:rPr>
          <w:sz w:val="20"/>
          <w:szCs w:val="20"/>
          <w:color w:val="auto"/>
        </w:rPr>
      </w:pPr>
      <w:r>
        <w:rPr>
          <w:rFonts w:ascii="Times New Roman" w:cs="Times New Roman" w:eastAsia="Times New Roman" w:hAnsi="Times New Roman"/>
          <w:sz w:val="18"/>
          <w:szCs w:val="18"/>
          <w:color w:val="auto"/>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spacing w:after="0" w:line="176" w:lineRule="exact"/>
        <w:rPr>
          <w:sz w:val="20"/>
          <w:szCs w:val="20"/>
          <w:color w:val="auto"/>
        </w:rPr>
      </w:pPr>
    </w:p>
    <w:p>
      <w:pPr>
        <w:ind w:right="40" w:firstLine="234"/>
        <w:spacing w:after="0" w:line="255" w:lineRule="auto"/>
        <w:rPr>
          <w:sz w:val="20"/>
          <w:szCs w:val="20"/>
          <w:color w:val="auto"/>
        </w:rPr>
      </w:pPr>
      <w:r>
        <w:rPr>
          <w:rFonts w:ascii="Times New Roman" w:cs="Times New Roman" w:eastAsia="Times New Roman" w:hAnsi="Times New Roman"/>
          <w:sz w:val="18"/>
          <w:szCs w:val="18"/>
          <w:color w:val="auto"/>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34" w:lineRule="exact"/>
        <w:rPr>
          <w:sz w:val="20"/>
          <w:szCs w:val="20"/>
          <w:color w:val="auto"/>
        </w:rPr>
      </w:pPr>
    </w:p>
    <w:p>
      <w:pPr>
        <w:ind w:right="220" w:firstLine="234"/>
        <w:spacing w:after="0" w:line="226"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spacing w:after="0" w:line="161" w:lineRule="exact"/>
        <w:rPr>
          <w:sz w:val="20"/>
          <w:szCs w:val="20"/>
          <w:color w:val="auto"/>
        </w:rPr>
      </w:pPr>
    </w:p>
    <w:p>
      <w:pPr>
        <w:ind w:firstLine="234"/>
        <w:spacing w:after="0" w:line="223" w:lineRule="exact"/>
        <w:rPr>
          <w:sz w:val="20"/>
          <w:szCs w:val="20"/>
          <w:color w:val="auto"/>
        </w:rPr>
      </w:pPr>
      <w:r>
        <w:rPr>
          <w:rFonts w:ascii="Times New Roman" w:cs="Times New Roman" w:eastAsia="Times New Roman" w:hAnsi="Times New Roman"/>
          <w:sz w:val="18"/>
          <w:szCs w:val="18"/>
          <w:color w:val="auto"/>
        </w:rPr>
        <w:t>We consider the competition for the CyberKnife and TomoTherapy platforms to be existing radiation therapy systems, primarily using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linacs, which are sold by large,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w:t>
      </w:r>
    </w:p>
    <w:p>
      <w:pPr>
        <w:spacing w:after="0" w:line="198" w:lineRule="exact"/>
        <w:rPr>
          <w:sz w:val="20"/>
          <w:szCs w:val="20"/>
          <w:color w:val="auto"/>
        </w:rPr>
      </w:pPr>
    </w:p>
    <w:p>
      <w:pPr>
        <w:ind w:right="80" w:firstLine="234"/>
        <w:spacing w:after="0" w:line="220" w:lineRule="exact"/>
        <w:rPr>
          <w:sz w:val="20"/>
          <w:szCs w:val="20"/>
          <w:color w:val="auto"/>
        </w:rPr>
      </w:pPr>
      <w:r>
        <w:rPr>
          <w:rFonts w:ascii="Times New Roman" w:cs="Times New Roman" w:eastAsia="Times New Roman" w:hAnsi="Times New Roman"/>
          <w:sz w:val="18"/>
          <w:szCs w:val="18"/>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spacing w:after="0" w:line="200" w:lineRule="exact"/>
        <w:rPr>
          <w:sz w:val="20"/>
          <w:szCs w:val="20"/>
          <w:color w:val="auto"/>
        </w:rPr>
      </w:pPr>
    </w:p>
    <w:p>
      <w:pPr>
        <w:ind w:right="40" w:firstLine="234"/>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20" w:firstLine="234"/>
        <w:spacing w:after="0" w:line="226" w:lineRule="exact"/>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6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our international operations, which may adversely affect our business, financial condition, and results of operations.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derive most of our revenue from our international operations, and we plan to continue expanding our business in international markets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employees engaged in R&amp;D, manufacturing, administration, support and sales and marketing activities.</w:t>
      </w:r>
    </w:p>
    <w:p>
      <w:pPr>
        <w:spacing w:after="0" w:line="207" w:lineRule="exact"/>
        <w:rPr>
          <w:sz w:val="20"/>
          <w:szCs w:val="20"/>
          <w:color w:val="auto"/>
        </w:rPr>
      </w:pPr>
    </w:p>
    <w:p>
      <w:pPr>
        <w:ind w:right="80" w:firstLine="234"/>
        <w:spacing w:after="0" w:line="282" w:lineRule="auto"/>
        <w:rPr>
          <w:sz w:val="20"/>
          <w:szCs w:val="20"/>
          <w:color w:val="auto"/>
        </w:rPr>
      </w:pPr>
      <w:r>
        <w:rPr>
          <w:rFonts w:ascii="Times New Roman" w:cs="Times New Roman" w:eastAsia="Times New Roman" w:hAnsi="Times New Roman"/>
          <w:sz w:val="18"/>
          <w:szCs w:val="18"/>
          <w:color w:val="auto"/>
        </w:rPr>
        <w:t>As a result of our international operations, in addition to similar risks we face in our U.S. operations, we are affected by economic, business, regulatory, social, and political conditions in foreign countries, including the following:</w:t>
      </w:r>
    </w:p>
    <w:p>
      <w:pPr>
        <w:spacing w:after="0" w:line="162" w:lineRule="exact"/>
        <w:rPr>
          <w:sz w:val="20"/>
          <w:szCs w:val="20"/>
          <w:color w:val="auto"/>
        </w:rPr>
      </w:pPr>
    </w:p>
    <w:p>
      <w:pPr>
        <w:ind w:left="780" w:right="180" w:hanging="327"/>
        <w:spacing w:after="0" w:line="266"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the world or in particular regions or countries in which we do business, including the market volatility resulting from conflicts or war, such as the Russia-Ukraine conflict and the recent escalation of conflict in Iran, the Middle East and Southwest Asia, and changes in government administration policy positions;</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delays;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laws and regulations governing, among other matters, the clearance, approval and sales of medical devices;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foreign regulatory requirements to sell and market our products;</w:t>
      </w:r>
    </w:p>
    <w:p>
      <w:pPr>
        <w:spacing w:after="0" w:line="225" w:lineRule="exact"/>
        <w:rPr>
          <w:rFonts w:ascii="Times New Roman" w:cs="Times New Roman" w:eastAsia="Times New Roman" w:hAnsi="Times New Roman"/>
          <w:sz w:val="18"/>
          <w:szCs w:val="18"/>
          <w:color w:val="auto"/>
        </w:rPr>
      </w:pPr>
    </w:p>
    <w:p>
      <w:pPr>
        <w:ind w:left="780" w:right="44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foreign countries in which we operate, which may, among other things, affect our access to such markets, including China, where our JV is located;</w:t>
      </w:r>
    </w:p>
    <w:p>
      <w:pPr>
        <w:spacing w:after="0" w:line="161" w:lineRule="exact"/>
        <w:rPr>
          <w:rFonts w:ascii="Times New Roman" w:cs="Times New Roman" w:eastAsia="Times New Roman" w:hAnsi="Times New Roman"/>
          <w:sz w:val="18"/>
          <w:szCs w:val="18"/>
          <w:color w:val="auto"/>
        </w:rPr>
      </w:pPr>
    </w:p>
    <w:p>
      <w:pPr>
        <w:ind w:left="780" w:right="20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policies, business practices and nationalistic campaigns that favor local competitors, which could slow our growth, increase our costs, or make our products less competitive in our international markets;</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trade and economic sanctions policies that are in effect from time to time including, but not limited to, tariffs on goods imported from China and other countries, and the possibility that foreign countries may impose additional taxes, tariffs or other restrictions on foreign trade;</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associated with many customers outside the United States;</w:t>
      </w:r>
    </w:p>
    <w:p>
      <w:pPr>
        <w:spacing w:after="0" w:line="225" w:lineRule="exact"/>
        <w:rPr>
          <w:rFonts w:ascii="Times New Roman" w:cs="Times New Roman" w:eastAsia="Times New Roman" w:hAnsi="Times New Roman"/>
          <w:sz w:val="18"/>
          <w:szCs w:val="18"/>
          <w:color w:val="auto"/>
        </w:rPr>
      </w:pPr>
    </w:p>
    <w:p>
      <w:pPr>
        <w:ind w:left="780" w:right="10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customers to obtain requisite government approvals, such as customers in China, including customers of the JV, obtaining one of the limited number of Class A or Class B user licenses available in order to purchase our products;</w:t>
      </w:r>
    </w:p>
    <w:p>
      <w:pPr>
        <w:spacing w:after="0" w:line="161" w:lineRule="exact"/>
        <w:rPr>
          <w:rFonts w:ascii="Times New Roman" w:cs="Times New Roman" w:eastAsia="Times New Roman" w:hAnsi="Times New Roman"/>
          <w:sz w:val="18"/>
          <w:szCs w:val="18"/>
          <w:color w:val="auto"/>
        </w:rPr>
      </w:pPr>
    </w:p>
    <w:p>
      <w:pPr>
        <w:ind w:left="780" w:right="10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compliance with privacy, data protection and information security laws, such as the U.S. Department of Justice Data Security Program (“DSP”) rules. European Union (“EU”) General Data Protection Regulation (the “GDPR”) and new regulations in China;</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for the CyberKnife and TomoTherapy platform treatment procedures outside the United States;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local laws to provide the same degree of protection against infringement of our intellectual property;</w:t>
      </w:r>
    </w:p>
    <w:p>
      <w:pPr>
        <w:spacing w:after="0" w:line="225" w:lineRule="exact"/>
        <w:rPr>
          <w:rFonts w:ascii="Times New Roman" w:cs="Times New Roman" w:eastAsia="Times New Roman" w:hAnsi="Times New Roman"/>
          <w:sz w:val="18"/>
          <w:szCs w:val="18"/>
          <w:color w:val="auto"/>
        </w:rPr>
      </w:pPr>
    </w:p>
    <w:p>
      <w:pPr>
        <w:ind w:left="780" w:right="80" w:hanging="327"/>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that are in effect from time to time, including U.S. prohibitions and restrictions on exports of certain products and technologies to certain nations and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right="100" w:hanging="327"/>
        <w:spacing w:after="0" w:line="266"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unfamiliarity of shipping companies and other logistics providers with U.S. export controls and economic sanctions laws and their available exceptions for medical devices, which may lead to their unwillingness to ship or delays in shipping, our products to certain nations and customers despite such shipments being permitted under such laws;</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export or import licenses or approvals;</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currency, including fluctuations in foreign currency exchange rates possibly causing fewer sales due to any strengthening of the U.S. Dollar;</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governed by foreign laws; and</w:t>
      </w:r>
    </w:p>
    <w:p>
      <w:pPr>
        <w:spacing w:after="0" w:line="225" w:lineRule="exact"/>
        <w:rPr>
          <w:rFonts w:ascii="Times New Roman" w:cs="Times New Roman" w:eastAsia="Times New Roman" w:hAnsi="Times New Roman"/>
          <w:sz w:val="18"/>
          <w:szCs w:val="18"/>
          <w:color w:val="auto"/>
        </w:rPr>
      </w:pPr>
    </w:p>
    <w:p>
      <w:pPr>
        <w:ind w:left="780" w:right="360" w:hanging="327"/>
        <w:spacing w:after="0" w:line="266"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spacing w:after="0" w:line="176" w:lineRule="exact"/>
        <w:rPr>
          <w:sz w:val="20"/>
          <w:szCs w:val="20"/>
          <w:color w:val="auto"/>
        </w:rPr>
      </w:pPr>
    </w:p>
    <w:p>
      <w:pPr>
        <w:ind w:right="360" w:firstLine="234"/>
        <w:spacing w:after="0" w:line="282" w:lineRule="auto"/>
        <w:rPr>
          <w:sz w:val="20"/>
          <w:szCs w:val="20"/>
          <w:color w:val="auto"/>
        </w:rPr>
      </w:pPr>
      <w:r>
        <w:rPr>
          <w:rFonts w:ascii="Times New Roman" w:cs="Times New Roman" w:eastAsia="Times New Roman" w:hAnsi="Times New Roman"/>
          <w:sz w:val="18"/>
          <w:szCs w:val="18"/>
          <w:color w:val="auto"/>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spacing w:after="0" w:line="162" w:lineRule="exact"/>
        <w:rPr>
          <w:sz w:val="20"/>
          <w:szCs w:val="20"/>
          <w:color w:val="auto"/>
        </w:rPr>
      </w:pPr>
    </w:p>
    <w:p>
      <w:pPr>
        <w:ind w:right="20" w:firstLine="234"/>
        <w:spacing w:after="0" w:line="282" w:lineRule="auto"/>
        <w:rPr>
          <w:sz w:val="20"/>
          <w:szCs w:val="20"/>
          <w:color w:val="auto"/>
        </w:rPr>
      </w:pPr>
      <w:r>
        <w:rPr>
          <w:rFonts w:ascii="Times New Roman" w:cs="Times New Roman" w:eastAsia="Times New Roman" w:hAnsi="Times New Roman"/>
          <w:sz w:val="18"/>
          <w:szCs w:val="18"/>
          <w:color w:val="auto"/>
        </w:rPr>
        <w:t>In addition, our partners internationally are subject to these same risks. If we or our partners are impacted by any of these factors, our business, financial condition and operating results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and may continue to be impacted by changes in foreign currency exchange rates.</w:t>
      </w:r>
    </w:p>
    <w:p>
      <w:pPr>
        <w:spacing w:after="0" w:line="229" w:lineRule="exact"/>
        <w:rPr>
          <w:sz w:val="20"/>
          <w:szCs w:val="20"/>
          <w:color w:val="auto"/>
        </w:rPr>
      </w:pPr>
    </w:p>
    <w:p>
      <w:pPr>
        <w:ind w:right="20" w:firstLine="234"/>
        <w:spacing w:after="0" w:line="254" w:lineRule="auto"/>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has previously been and could in the future be a significant headwind if the U.S. Dollar strengthens, which could affect our results of operations and could cause potential delays in orders and we may see our sales and margins outside of the U.S. decline as we may not be able to raise local prices to fully offset any strengthening of the U.S. Dollar. Also, if our international sales continue to increase, we may enter into a greater number of transactions denominated in non-U.S.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59"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20" w:firstLine="234"/>
        <w:spacing w:after="0" w:line="220" w:lineRule="exact"/>
        <w:rPr>
          <w:sz w:val="20"/>
          <w:szCs w:val="20"/>
          <w:color w:val="auto"/>
        </w:rPr>
      </w:pPr>
      <w:r>
        <w:rPr>
          <w:rFonts w:ascii="Times New Roman" w:cs="Times New Roman" w:eastAsia="Times New Roman" w:hAnsi="Times New Roman"/>
          <w:sz w:val="18"/>
          <w:szCs w:val="18"/>
          <w:color w:val="auto"/>
        </w:rPr>
        <w:t>Our manufacturing processes and the manufacturing processes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spacing w:after="0" w:line="206" w:lineRule="exact"/>
        <w:rPr>
          <w:sz w:val="20"/>
          <w:szCs w:val="20"/>
          <w:color w:val="auto"/>
        </w:rPr>
      </w:pPr>
    </w:p>
    <w:p>
      <w:pPr>
        <w:ind w:right="40" w:firstLine="234"/>
        <w:spacing w:after="0" w:line="218" w:lineRule="exact"/>
        <w:rPr>
          <w:sz w:val="20"/>
          <w:szCs w:val="20"/>
          <w:color w:val="auto"/>
        </w:rPr>
      </w:pPr>
      <w:r>
        <w:rPr>
          <w:rFonts w:ascii="Times New Roman" w:cs="Times New Roman" w:eastAsia="Times New Roman" w:hAnsi="Times New Roman"/>
          <w:sz w:val="18"/>
          <w:szCs w:val="18"/>
          <w:color w:val="auto"/>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spacing w:after="0" w:line="201" w:lineRule="exact"/>
        <w:rPr>
          <w:sz w:val="20"/>
          <w:szCs w:val="20"/>
          <w:color w:val="auto"/>
        </w:rPr>
      </w:pPr>
    </w:p>
    <w:p>
      <w:pPr>
        <w:ind w:firstLine="234"/>
        <w:spacing w:after="0" w:line="219" w:lineRule="exact"/>
        <w:rPr>
          <w:sz w:val="20"/>
          <w:szCs w:val="20"/>
          <w:color w:val="auto"/>
        </w:rPr>
      </w:pPr>
      <w:r>
        <w:rPr>
          <w:rFonts w:ascii="Times New Roman" w:cs="Times New Roman" w:eastAsia="Times New Roman" w:hAnsi="Times New Roman"/>
          <w:sz w:val="18"/>
          <w:szCs w:val="18"/>
          <w:color w:val="auto"/>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or enhance existing products to meet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needs and compete favorably in the market, we may be unable to attract or retain customers.</w:t>
      </w:r>
    </w:p>
    <w:p>
      <w:pPr>
        <w:spacing w:after="0" w:line="159" w:lineRule="exact"/>
        <w:rPr>
          <w:sz w:val="20"/>
          <w:szCs w:val="20"/>
          <w:color w:val="auto"/>
        </w:rPr>
      </w:pPr>
    </w:p>
    <w:p>
      <w:pPr>
        <w:ind w:right="40" w:firstLine="234"/>
        <w:spacing w:after="0" w:line="218" w:lineRule="exact"/>
        <w:rPr>
          <w:sz w:val="20"/>
          <w:szCs w:val="20"/>
          <w:color w:val="auto"/>
        </w:rPr>
      </w:pPr>
      <w:r>
        <w:rPr>
          <w:rFonts w:ascii="Times New Roman" w:cs="Times New Roman" w:eastAsia="Times New Roman" w:hAnsi="Times New Roman"/>
          <w:sz w:val="18"/>
          <w:szCs w:val="18"/>
          <w:color w:val="auto"/>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8" w:lineRule="auto"/>
        <w:rPr>
          <w:sz w:val="20"/>
          <w:szCs w:val="20"/>
          <w:color w:val="auto"/>
        </w:rPr>
      </w:pPr>
      <w:r>
        <w:rPr>
          <w:rFonts w:ascii="Times New Roman" w:cs="Times New Roman" w:eastAsia="Times New Roman" w:hAnsi="Times New Roman"/>
          <w:sz w:val="18"/>
          <w:szCs w:val="18"/>
          <w:color w:val="auto"/>
        </w:rPr>
        <w:t>In addition, we depend on one of our customers for a substantial portion of our revenue, and the loss of, or a significant reduction in orders from our major customer could have a material adverse effect on our revenue and operating results. The JV represented approximately 17% and 21% of our total net revenue during the three months ended March 31, 2026 and 2025, respectively, and represented approximately 16% and 27% of our total net revenue during the nine months ended March 31, 2026 and 2025, respectively. In the future, our major customer may decide not to purchase our products at all, may purchase fewer products than they did in the past, or may defer or cancel purchases or otherwise alter their purchasing patterns.</w:t>
      </w:r>
    </w:p>
    <w:p>
      <w:pPr>
        <w:spacing w:after="0" w:line="183" w:lineRule="exact"/>
        <w:rPr>
          <w:sz w:val="20"/>
          <w:szCs w:val="20"/>
          <w:color w:val="auto"/>
        </w:rPr>
      </w:pPr>
    </w:p>
    <w:p>
      <w:pPr>
        <w:ind w:right="80" w:firstLine="234"/>
        <w:spacing w:after="0" w:line="282" w:lineRule="auto"/>
        <w:rPr>
          <w:sz w:val="20"/>
          <w:szCs w:val="20"/>
          <w:color w:val="auto"/>
        </w:rPr>
      </w:pPr>
      <w:r>
        <w:rPr>
          <w:rFonts w:ascii="Times New Roman" w:cs="Times New Roman" w:eastAsia="Times New Roman" w:hAnsi="Times New Roman"/>
          <w:sz w:val="18"/>
          <w:szCs w:val="18"/>
          <w:color w:val="auto"/>
        </w:rPr>
        <w:t>Our ability to successfully develop and introduce new products, treatment systems and product enhancements and simplifications, and the revenues and costs associated with these efforts, will be affected by our ability to:</w:t>
      </w:r>
    </w:p>
    <w:p>
      <w:pPr>
        <w:spacing w:after="0" w:line="162" w:lineRule="exact"/>
        <w:rPr>
          <w:sz w:val="20"/>
          <w:szCs w:val="20"/>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address customer needs;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feasibility of new products in a timely manner;</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physicians about the use of new products and procedures;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internal quality assurance systems and processes timely and efficiently;</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timing and cost of obtaining regulatory approvals or clearances;</w:t>
      </w:r>
    </w:p>
    <w:p>
      <w:pPr>
        <w:spacing w:after="0" w:line="184" w:lineRule="exact"/>
        <w:rPr>
          <w:rFonts w:ascii="Times New Roman" w:cs="Times New Roman" w:eastAsia="Times New Roman" w:hAnsi="Times New Roman"/>
          <w:sz w:val="18"/>
          <w:szCs w:val="18"/>
          <w:color w:val="auto"/>
        </w:rPr>
      </w:pPr>
    </w:p>
    <w:p>
      <w:pPr>
        <w:ind w:left="780" w:hanging="327"/>
        <w:spacing w:after="0" w:line="207" w:lineRule="exact"/>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inventory overruns caused by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of new products and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old products;</w:t>
      </w:r>
    </w:p>
    <w:p>
      <w:pPr>
        <w:spacing w:after="0" w:line="26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new products competitively;</w:t>
      </w:r>
    </w:p>
    <w:p>
      <w:pPr>
        <w:spacing w:after="0" w:line="225" w:lineRule="exact"/>
        <w:rPr>
          <w:rFonts w:ascii="Times New Roman" w:cs="Times New Roman" w:eastAsia="Times New Roman" w:hAnsi="Times New Roman"/>
          <w:sz w:val="18"/>
          <w:szCs w:val="18"/>
          <w:color w:val="auto"/>
        </w:rPr>
      </w:pPr>
    </w:p>
    <w:p>
      <w:pPr>
        <w:ind w:left="780" w:right="420" w:hanging="327"/>
        <w:spacing w:after="0" w:line="282"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our products in sufficient volumes on time and accurately predict and control costs associated with manufacturing, installation, warranty and maintenance of the products;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product development plan and launch timelines;</w:t>
      </w:r>
    </w:p>
    <w:p>
      <w:pPr>
        <w:spacing w:after="0" w:line="225" w:lineRule="exact"/>
        <w:rPr>
          <w:rFonts w:ascii="Times New Roman" w:cs="Times New Roman" w:eastAsia="Times New Roman" w:hAnsi="Times New Roman"/>
          <w:sz w:val="18"/>
          <w:szCs w:val="18"/>
          <w:color w:val="auto"/>
        </w:rPr>
      </w:pPr>
    </w:p>
    <w:p>
      <w:pPr>
        <w:ind w:left="780" w:right="260" w:hanging="327"/>
        <w:spacing w:after="0" w:line="282"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manufacturing yields of components; and</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customer demands for retrofits of both old and new products.</w:t>
      </w:r>
    </w:p>
    <w:p>
      <w:pPr>
        <w:spacing w:after="0" w:line="225" w:lineRule="exact"/>
        <w:rPr>
          <w:sz w:val="20"/>
          <w:szCs w:val="20"/>
          <w:color w:val="auto"/>
        </w:rPr>
      </w:pPr>
    </w:p>
    <w:p>
      <w:pPr>
        <w:ind w:right="180" w:firstLine="234"/>
        <w:spacing w:after="0" w:line="282" w:lineRule="auto"/>
        <w:rPr>
          <w:sz w:val="20"/>
          <w:szCs w:val="20"/>
          <w:color w:val="auto"/>
        </w:rPr>
      </w:pPr>
      <w:r>
        <w:rPr>
          <w:rFonts w:ascii="Times New Roman" w:cs="Times New Roman" w:eastAsia="Times New Roman" w:hAnsi="Times New Roman"/>
          <w:sz w:val="18"/>
          <w:szCs w:val="18"/>
          <w:color w:val="auto"/>
        </w:rPr>
        <w:t>Even if customers accept new products or product enhancements, the revenues from these products may not be sufficient to offset the significant costs associated with making them available to customers.</w:t>
      </w:r>
    </w:p>
    <w:p>
      <w:pPr>
        <w:spacing w:after="0" w:line="162" w:lineRule="exact"/>
        <w:rPr>
          <w:sz w:val="20"/>
          <w:szCs w:val="20"/>
          <w:color w:val="auto"/>
        </w:rPr>
      </w:pPr>
    </w:p>
    <w:p>
      <w:pPr>
        <w:ind w:right="40" w:firstLine="234"/>
        <w:spacing w:after="0" w:line="220" w:lineRule="exact"/>
        <w:rPr>
          <w:sz w:val="20"/>
          <w:szCs w:val="20"/>
          <w:color w:val="auto"/>
        </w:rPr>
      </w:pPr>
      <w:r>
        <w:rPr>
          <w:rFonts w:ascii="Times New Roman" w:cs="Times New Roman" w:eastAsia="Times New Roman" w:hAnsi="Times New Roman"/>
          <w:sz w:val="18"/>
          <w:szCs w:val="18"/>
          <w:color w:val="auto"/>
        </w:rPr>
        <w:t>We cannot be sure that we will be able to successfully develop, obtain regulatory approval or clearance for, manufacture or introduce new products, treatment systems or enhancements, the roll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growth, our business may be significantly harmed.</w:t>
      </w:r>
    </w:p>
    <w:p>
      <w:pPr>
        <w:spacing w:after="0" w:line="229" w:lineRule="exact"/>
        <w:rPr>
          <w:sz w:val="20"/>
          <w:szCs w:val="20"/>
          <w:color w:val="auto"/>
        </w:rPr>
      </w:pPr>
    </w:p>
    <w:p>
      <w:pPr>
        <w:ind w:firstLine="234"/>
        <w:spacing w:after="0" w:line="219" w:lineRule="exact"/>
        <w:rPr>
          <w:sz w:val="20"/>
          <w:szCs w:val="20"/>
          <w:color w:val="auto"/>
        </w:rPr>
      </w:pPr>
      <w:r>
        <w:rPr>
          <w:rFonts w:ascii="Times New Roman" w:cs="Times New Roman" w:eastAsia="Times New Roman" w:hAnsi="Times New Roman"/>
          <w:sz w:val="18"/>
          <w:szCs w:val="18"/>
          <w:color w:val="auto"/>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our manufacturing capacity and expand our marketing and distribution capabilities.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spacing w:after="0" w:line="194"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other field actions and warranty claims that could be expensive,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and harm our business.</w:t>
      </w:r>
    </w:p>
    <w:p>
      <w:pPr>
        <w:spacing w:after="0" w:line="159" w:lineRule="exact"/>
        <w:rPr>
          <w:sz w:val="20"/>
          <w:szCs w:val="20"/>
          <w:color w:val="auto"/>
        </w:rPr>
      </w:pPr>
    </w:p>
    <w:p>
      <w:pPr>
        <w:ind w:right="40" w:firstLine="234"/>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spacing w:after="0" w:line="189" w:lineRule="exact"/>
        <w:rPr>
          <w:sz w:val="20"/>
          <w:szCs w:val="20"/>
          <w:color w:val="auto"/>
        </w:rPr>
      </w:pPr>
    </w:p>
    <w:p>
      <w:pPr>
        <w:ind w:right="100" w:firstLine="234"/>
        <w:spacing w:after="0" w:line="253" w:lineRule="auto"/>
        <w:rPr>
          <w:sz w:val="20"/>
          <w:szCs w:val="20"/>
          <w:color w:val="auto"/>
        </w:rPr>
      </w:pPr>
      <w:r>
        <w:rPr>
          <w:rFonts w:ascii="Times New Roman" w:cs="Times New Roman" w:eastAsia="Times New Roman" w:hAnsi="Times New Roman"/>
          <w:sz w:val="18"/>
          <w:szCs w:val="18"/>
          <w:color w:val="auto"/>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which have been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reliance on single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source suppliers for critical components of the CyberKnife and TomoTherapy platforms could harm our ability to meet demand for our products in a timely and cost effective manner.</w:t>
      </w:r>
    </w:p>
    <w:p>
      <w:pPr>
        <w:spacing w:after="0" w:line="199" w:lineRule="exact"/>
        <w:rPr>
          <w:sz w:val="20"/>
          <w:szCs w:val="20"/>
          <w:color w:val="auto"/>
        </w:rPr>
      </w:pPr>
    </w:p>
    <w:p>
      <w:pPr>
        <w:ind w:right="60" w:firstLine="234"/>
        <w:spacing w:after="0" w:line="256" w:lineRule="auto"/>
        <w:rPr>
          <w:sz w:val="20"/>
          <w:szCs w:val="20"/>
          <w:color w:val="auto"/>
        </w:rPr>
      </w:pPr>
      <w:r>
        <w:rPr>
          <w:rFonts w:ascii="Times New Roman" w:cs="Times New Roman" w:eastAsia="Times New Roman" w:hAnsi="Times New Roman"/>
          <w:sz w:val="18"/>
          <w:szCs w:val="18"/>
          <w:color w:val="auto"/>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Global supply chain disruptions in parts of our supply chain, have occurred and could occur again in the future, causing delays in the receipt of certain component parts for our products and increased pricing pressure for such parts, including with respect to parts purchased from our single-source suppliers, adversely affecting our gross margins and increasing the risk that these supply chain disruptions could materially affect our ability to meet customer demand.</w:t>
      </w:r>
    </w:p>
    <w:p>
      <w:pPr>
        <w:spacing w:after="0" w:line="187" w:lineRule="exact"/>
        <w:rPr>
          <w:sz w:val="20"/>
          <w:szCs w:val="20"/>
          <w:color w:val="auto"/>
        </w:rPr>
      </w:pPr>
    </w:p>
    <w:p>
      <w:pPr>
        <w:ind w:firstLine="234"/>
        <w:spacing w:after="0" w:line="217" w:lineRule="exact"/>
        <w:rPr>
          <w:sz w:val="20"/>
          <w:szCs w:val="20"/>
          <w:color w:val="auto"/>
        </w:rPr>
      </w:pPr>
      <w:r>
        <w:rPr>
          <w:rFonts w:ascii="Times New Roman" w:cs="Times New Roman" w:eastAsia="Times New Roman" w:hAnsi="Times New Roman"/>
          <w:sz w:val="18"/>
          <w:szCs w:val="18"/>
          <w:color w:val="auto"/>
        </w:rPr>
        <w:t>Disruptions caused by ongoing or future global conflicts, including those resulting from conflicts affecting or in close proximity to countries and regions in the Middle East, may result in extended lead times, delays in supplier deliveries, and increasing freight costs. The risk of supply disruptions caused by these factors may further result in delays in the delivery of our products. 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at least fiscal year 2026.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at least fiscal year 2026.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or willing to meet our future demands.</w:t>
      </w:r>
    </w:p>
    <w:p>
      <w:pPr>
        <w:spacing w:after="0" w:line="206" w:lineRule="exact"/>
        <w:rPr>
          <w:sz w:val="20"/>
          <w:szCs w:val="20"/>
          <w:color w:val="auto"/>
        </w:rPr>
      </w:pPr>
    </w:p>
    <w:p>
      <w:pPr>
        <w:ind w:right="40" w:firstLine="234"/>
        <w:spacing w:after="0" w:line="253" w:lineRule="auto"/>
        <w:rPr>
          <w:sz w:val="20"/>
          <w:szCs w:val="20"/>
          <w:color w:val="auto"/>
        </w:rPr>
      </w:pPr>
      <w:r>
        <w:rPr>
          <w:rFonts w:ascii="Times New Roman" w:cs="Times New Roman" w:eastAsia="Times New Roman" w:hAnsi="Times New Roman"/>
          <w:sz w:val="18"/>
          <w:szCs w:val="18"/>
          <w:color w:val="auto"/>
        </w:rPr>
        <w:t>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spacing w:after="0" w:line="194" w:lineRule="exact"/>
        <w:rPr>
          <w:sz w:val="20"/>
          <w:szCs w:val="20"/>
          <w:color w:val="auto"/>
        </w:rPr>
      </w:pPr>
    </w:p>
    <w:p>
      <w:pPr>
        <w:ind w:right="200" w:firstLine="234"/>
        <w:spacing w:after="0" w:line="258" w:lineRule="auto"/>
        <w:rPr>
          <w:sz w:val="20"/>
          <w:szCs w:val="20"/>
          <w:color w:val="auto"/>
        </w:rPr>
      </w:pPr>
      <w:r>
        <w:rPr>
          <w:rFonts w:ascii="Times New Roman" w:cs="Times New Roman" w:eastAsia="Times New Roman" w:hAnsi="Times New Roman"/>
          <w:sz w:val="18"/>
          <w:szCs w:val="18"/>
          <w:color w:val="auto"/>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59"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In addition, no payments were made under the company bonus plan in fiscal year 2025. As a result, we may not be able to retain our existing employees or hire new employees quickly enough to meet our needs. Moreover, we have from time to time conducted reductions in force in order to optimize our organizational structure and reduce costs, some of which were substantial, and certain senior personnel have also departed for various reasons.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spacing w:after="0" w:line="1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critical information technology systems, infrastructure and data or cyberattacks or other security breaches or incidents could harm our business and financial condition.</w:t>
      </w:r>
    </w:p>
    <w:p>
      <w:pPr>
        <w:spacing w:after="0" w:line="159"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breaches or incidents. While management is committed to identifying cybersecurity risks and working to address them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Cyberattacks and other means of creating security breaches and incidents or disruptions continue to increase in frequency, sophistication, and intensity and are becoming increasingly difficult to detect on a timely basis or otherwise,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Additionally, cyberattack activity may be heightened in connection with geopolitical events such as the Russia-Ukraine conflict and recent escalation of conflict in Iran, Middle East and Southwest Asia.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spacing w:after="0" w:line="190" w:lineRule="exact"/>
        <w:rPr>
          <w:sz w:val="20"/>
          <w:szCs w:val="20"/>
          <w:color w:val="auto"/>
        </w:rPr>
      </w:pPr>
    </w:p>
    <w:p>
      <w:pPr>
        <w:ind w:firstLine="234"/>
        <w:spacing w:after="0" w:line="251" w:lineRule="auto"/>
        <w:rPr>
          <w:sz w:val="20"/>
          <w:szCs w:val="20"/>
          <w:color w:val="auto"/>
        </w:rPr>
      </w:pPr>
      <w:r>
        <w:rPr>
          <w:rFonts w:ascii="Times New Roman" w:cs="Times New Roman" w:eastAsia="Times New Roman" w:hAnsi="Times New Roman"/>
          <w:sz w:val="18"/>
          <w:szCs w:val="18"/>
          <w:color w:val="auto"/>
        </w:rPr>
        <w:t>To date, we have not experienced any cyberattack or security breach or incident that has had a material impact on our operations or financial results; however, we cannot provide any assurance that this will remain the case.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AI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234"/>
        <w:spacing w:after="0" w:line="258" w:lineRule="auto"/>
        <w:rPr>
          <w:sz w:val="20"/>
          <w:szCs w:val="20"/>
          <w:color w:val="auto"/>
        </w:rPr>
      </w:pPr>
      <w:r>
        <w:rPr>
          <w:rFonts w:ascii="Times New Roman" w:cs="Times New Roman" w:eastAsia="Times New Roman" w:hAnsi="Times New Roman"/>
          <w:sz w:val="18"/>
          <w:szCs w:val="18"/>
          <w:color w:val="auto"/>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or incidents. This impact could result in reputational, competitive, operational, or other business harm as well as financial costs and claims, demands, litigation and regulatory action.</w:t>
      </w:r>
    </w:p>
    <w:p>
      <w:pPr>
        <w:spacing w:after="0" w:line="183" w:lineRule="exact"/>
        <w:rPr>
          <w:sz w:val="20"/>
          <w:szCs w:val="20"/>
          <w:color w:val="auto"/>
        </w:rPr>
      </w:pPr>
    </w:p>
    <w:p>
      <w:pPr>
        <w:ind w:right="120" w:firstLine="234"/>
        <w:spacing w:after="0" w:line="282" w:lineRule="auto"/>
        <w:rPr>
          <w:sz w:val="20"/>
          <w:szCs w:val="20"/>
          <w:color w:val="auto"/>
        </w:rPr>
      </w:pPr>
      <w:r>
        <w:rPr>
          <w:rFonts w:ascii="Times New Roman" w:cs="Times New Roman" w:eastAsia="Times New Roman" w:hAnsi="Times New Roman"/>
          <w:sz w:val="18"/>
          <w:szCs w:val="18"/>
          <w:color w:val="auto"/>
        </w:rPr>
        <w:t>While we do maintain insurance coverage that is intended to address certain aspects of data security risks, such insurance coverage may be insufficient to cover all losses or all types of claims that may arise.</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59"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spacing w:after="0" w:line="194"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framework will be appropriate for us to rely upon. The DPF has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Additionally, the U.S. Department of Justice issued final Data Security Program rules that took effect in April 2025 and places limitations, and in some cases prohibitions, on certain transfers of sensitive personal data to business partners located in China or with other specified links to China, Russia and other designated countries (the “DOJ DSP Rules”). These and other developments relating to cross-border data transfer may require us to implement additional contractual and technical safeguards for any personal data transferred out of various jurisdictions, which may increase compliance costs, lead to increased regulatory scrutiny or liability, may require additional contractual negotiations, and may adversely impact our business, financial condition and operating results.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spacing w:after="0" w:line="188" w:lineRule="exact"/>
        <w:rPr>
          <w:sz w:val="20"/>
          <w:szCs w:val="20"/>
          <w:color w:val="auto"/>
        </w:rPr>
      </w:pPr>
    </w:p>
    <w:p>
      <w:pPr>
        <w:ind w:right="40" w:firstLine="234"/>
        <w:spacing w:after="0" w:line="253" w:lineRule="auto"/>
        <w:rPr>
          <w:sz w:val="20"/>
          <w:szCs w:val="20"/>
          <w:color w:val="auto"/>
        </w:rPr>
      </w:pPr>
      <w:r>
        <w:rPr>
          <w:rFonts w:ascii="Times New Roman" w:cs="Times New Roman" w:eastAsia="Times New Roman" w:hAnsi="Times New Roman"/>
          <w:sz w:val="18"/>
          <w:szCs w:val="18"/>
          <w:color w:val="auto"/>
        </w:rPr>
        <w:t>Further, the U.S. government has undertaken an evaluation of national security concerns and other risks relating to the transfer of personally identifiable information from the United States to countries of concern, including China and Russia. In 2019, an executive order citing national security risks in the telecommunications sector served to block U.S. companies from buying certain information and communications technology or services sourced from foreign adversary countries such as China or Russia when the Commerce Department deems such products or services as posing undue or unacceptable risks to U.S. national security.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On February 28, 2024, U.S. President Biden issued an executive order to build upon those previous orders by restricting access to bulk sensitive personal data and U.S. government-related data by countries of concern. The Department of Justice (DOJ) used authority under those executive orders to issue the Data Security Program rules (the “DSP rules”), which took effect in April 2025 and which prohibit or restrict the sharing of bulk U.S. sensitive personal data with recipients who are located in or affiliated with countries of concern, which are defined to include China and Russia. If our operations, including those involving the processing of U.S.-collected data such as medical imagery, through the JV in China, causes us to become subject to executive orders, sanctions, or other measures that bans or otherwise restricts transfer of data to the JV in China, it may increase costs as we seek operational and data processing alternatives.</w:t>
      </w:r>
    </w:p>
    <w:p>
      <w:pPr>
        <w:spacing w:after="0" w:line="187" w:lineRule="exact"/>
        <w:rPr>
          <w:sz w:val="20"/>
          <w:szCs w:val="20"/>
          <w:color w:val="auto"/>
        </w:rPr>
      </w:pPr>
    </w:p>
    <w:p>
      <w:pPr>
        <w:ind w:right="180" w:firstLine="234"/>
        <w:spacing w:after="0" w:line="261" w:lineRule="auto"/>
        <w:rPr>
          <w:sz w:val="20"/>
          <w:szCs w:val="20"/>
          <w:color w:val="auto"/>
        </w:rPr>
      </w:pPr>
      <w:r>
        <w:rPr>
          <w:rFonts w:ascii="Times New Roman" w:cs="Times New Roman" w:eastAsia="Times New Roman" w:hAnsi="Times New Roman"/>
          <w:sz w:val="18"/>
          <w:szCs w:val="18"/>
          <w:color w:val="auto"/>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spacing w:after="0" w:line="180"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became effective in 2024, Delaware, Iowa, Maryland, Minnesota, Nebraska, New Hampshire, New Jersey and Tennessee have adopted laws that have become or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spacing w:after="0" w:line="19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spacing w:after="0" w:line="175"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We have integrated AI, including machine learning, in certain of our products, services and internal operations. Some of the uses in our internal operations include using AI to help detect and respond to abnormalities that could indicate a part is about to break, provide our service engineers support on information about parts, analyzing datasets, creating documents for internal purposes, and develop processes for internal departments to manage internal workflows.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w:t>
      </w:r>
    </w:p>
    <w:p>
      <w:pPr>
        <w:spacing w:after="0" w:line="192" w:lineRule="exact"/>
        <w:rPr>
          <w:sz w:val="20"/>
          <w:szCs w:val="20"/>
          <w:color w:val="auto"/>
        </w:rPr>
      </w:pPr>
    </w:p>
    <w:p>
      <w:pPr>
        <w:ind w:right="120" w:firstLine="234"/>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protection in the field of AI is still developing, and there is uncertainty and ongoing litigation in different jurisdictions as to the degree and extent of protection warranted for AI technologies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financial condition, or results of operations.</w:t>
      </w:r>
    </w:p>
    <w:p>
      <w:pPr>
        <w:spacing w:after="0" w:line="183" w:lineRule="exact"/>
        <w:rPr>
          <w:sz w:val="20"/>
          <w:szCs w:val="20"/>
          <w:color w:val="auto"/>
        </w:rPr>
      </w:pPr>
    </w:p>
    <w:p>
      <w:pPr>
        <w:ind w:right="60" w:firstLine="234"/>
        <w:spacing w:after="0" w:line="253" w:lineRule="auto"/>
        <w:rPr>
          <w:sz w:val="20"/>
          <w:szCs w:val="20"/>
          <w:color w:val="auto"/>
        </w:rPr>
      </w:pPr>
      <w:r>
        <w:rPr>
          <w:rFonts w:ascii="Times New Roman" w:cs="Times New Roman" w:eastAsia="Times New Roman" w:hAnsi="Times New Roman"/>
          <w:sz w:val="18"/>
          <w:szCs w:val="18"/>
          <w:color w:val="auto"/>
        </w:rPr>
        <w:t>Additionally, new and evolving laws and regulations related to the development and use of AI and machine learning technologies have been proposed, and in certain cases enacted, in various jurisdictions in which we operate, including the United States, and the EU has adopted an AI Act that adopts an overall regulatory framework for AI. These laws and regulations may impose onerous obligations and may require us to unexpectedly rework or reevaluate improvements to be compliant. For example, as the FDA and other regulatory authorities continue to develop their policies around AI, it is possible that medical products using AI and machine learning will become subject to significant additional regulatory oversight. The cost to comply with such laws, regulations, decisions, and guidance on these laws as well as any adjustments to our business plans or operations based on changes to how such laws are enforced, could be significant and could increase our operating expenses.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 Such increase in expenses, as well as any actual or perceived failure to comply with such laws and regulations, could adversely affect our business, financial condition, and results of operations.</w:t>
      </w:r>
    </w:p>
    <w:p>
      <w:pPr>
        <w:spacing w:after="0" w:line="194" w:lineRule="exact"/>
        <w:rPr>
          <w:sz w:val="20"/>
          <w:szCs w:val="20"/>
          <w:color w:val="auto"/>
        </w:rPr>
      </w:pPr>
    </w:p>
    <w:p>
      <w:pPr>
        <w:ind w:right="40" w:firstLine="234"/>
        <w:spacing w:after="0" w:line="255" w:lineRule="auto"/>
        <w:rPr>
          <w:sz w:val="20"/>
          <w:szCs w:val="20"/>
          <w:color w:val="auto"/>
        </w:rPr>
      </w:pPr>
      <w:r>
        <w:rPr>
          <w:rFonts w:ascii="Times New Roman" w:cs="Times New Roman" w:eastAsia="Times New Roman" w:hAnsi="Times New Roman"/>
          <w:sz w:val="18"/>
          <w:szCs w:val="18"/>
          <w:color w:val="auto"/>
        </w:rPr>
        <w:t>Though we have taken steps to be thoughtful in our development, training, implementation, and use of AI and machine learning technologies,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consolidation in the healthcare industry could have an adverse effect on our business, financial condition, or results of operations.</w:t>
      </w:r>
    </w:p>
    <w:p>
      <w:pPr>
        <w:spacing w:after="0" w:line="229"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148" w:lineRule="exact"/>
        <w:rPr>
          <w:sz w:val="20"/>
          <w:szCs w:val="20"/>
          <w:color w:val="auto"/>
        </w:rPr>
      </w:pPr>
    </w:p>
    <w:p>
      <w:pPr>
        <w:ind w:right="400"/>
        <w:spacing w:after="0" w:line="246" w:lineRule="exact"/>
        <w:rPr>
          <w:sz w:val="20"/>
          <w:szCs w:val="20"/>
          <w:color w:val="auto"/>
        </w:rPr>
      </w:pPr>
      <w:r>
        <w:rPr>
          <w:rFonts w:ascii="Times New Roman" w:cs="Times New Roman" w:eastAsia="Times New Roman" w:hAnsi="Times New Roman"/>
          <w:sz w:val="17"/>
          <w:szCs w:val="17"/>
          <w:b w:val="1"/>
          <w:bCs w:val="1"/>
          <w:i w:val="1"/>
          <w:iCs w:val="1"/>
          <w:color w:val="auto"/>
        </w:rPr>
        <w:t>If third</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i w:val="1"/>
          <w:iCs w:val="1"/>
          <w:color w:val="auto"/>
        </w:rPr>
        <w:t>party payors do not provide sufficient coverage and reimbursement to healthcare providers for use of the CyberKnife and TomoTherapy platforms or if the number of patients covered by health insurance reduces, demand for our products and our revenue could be adversely affected.</w:t>
      </w:r>
    </w:p>
    <w:p>
      <w:pPr>
        <w:spacing w:after="0" w:line="198" w:lineRule="exact"/>
        <w:rPr>
          <w:sz w:val="20"/>
          <w:szCs w:val="20"/>
          <w:color w:val="auto"/>
        </w:rPr>
      </w:pPr>
    </w:p>
    <w:p>
      <w:pPr>
        <w:ind w:right="160" w:firstLine="234"/>
        <w:spacing w:after="0" w:line="254" w:lineRule="auto"/>
        <w:rPr>
          <w:sz w:val="20"/>
          <w:szCs w:val="20"/>
          <w:color w:val="auto"/>
        </w:rPr>
      </w:pPr>
      <w:r>
        <w:rPr>
          <w:rFonts w:ascii="Times New Roman" w:cs="Times New Roman" w:eastAsia="Times New Roman" w:hAnsi="Times New Roman"/>
          <w:sz w:val="18"/>
          <w:szCs w:val="18"/>
          <w:color w:val="auto"/>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spacing w:after="0" w:line="188" w:lineRule="exact"/>
        <w:rPr>
          <w:sz w:val="20"/>
          <w:szCs w:val="20"/>
          <w:color w:val="auto"/>
        </w:rPr>
      </w:pPr>
    </w:p>
    <w:p>
      <w:pPr>
        <w:ind w:right="60" w:firstLine="234"/>
        <w:spacing w:after="0" w:line="261" w:lineRule="auto"/>
        <w:rPr>
          <w:sz w:val="20"/>
          <w:szCs w:val="20"/>
          <w:color w:val="auto"/>
        </w:rPr>
      </w:pPr>
      <w:r>
        <w:rPr>
          <w:rFonts w:ascii="Times New Roman" w:cs="Times New Roman" w:eastAsia="Times New Roman" w:hAnsi="Times New Roman"/>
          <w:sz w:val="18"/>
          <w:szCs w:val="18"/>
          <w:color w:val="auto"/>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spacing w:after="0" w:line="139"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clinical data, and our products may therefore prove to be less safe and effective than initially thought.</w:t>
      </w:r>
    </w:p>
    <w:p>
      <w:pPr>
        <w:spacing w:after="0" w:line="199" w:lineRule="exact"/>
        <w:rPr>
          <w:sz w:val="20"/>
          <w:szCs w:val="20"/>
          <w:color w:val="auto"/>
        </w:rPr>
      </w:pPr>
    </w:p>
    <w:p>
      <w:pPr>
        <w:ind w:right="60" w:firstLine="234"/>
        <w:spacing w:after="0" w:line="220" w:lineRule="exact"/>
        <w:rPr>
          <w:sz w:val="20"/>
          <w:szCs w:val="20"/>
          <w:color w:val="auto"/>
        </w:rPr>
      </w:pPr>
      <w:r>
        <w:rPr>
          <w:rFonts w:ascii="Times New Roman" w:cs="Times New Roman" w:eastAsia="Times New Roman" w:hAnsi="Times New Roman"/>
          <w:sz w:val="18"/>
          <w:szCs w:val="18"/>
          <w:color w:val="auto"/>
        </w:rPr>
        <w:t>Although we believe that the CyberKnife and TomoTherapy platforms have advantages over competing products and technologies, we do not have sufficient clinical data demonstrating these advantages for all tumor indications. In addition, we have only limited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patient survival rate data, which is a common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spacing w:after="0" w:line="201" w:lineRule="exact"/>
        <w:rPr>
          <w:sz w:val="20"/>
          <w:szCs w:val="20"/>
          <w:color w:val="auto"/>
        </w:rPr>
      </w:pPr>
    </w:p>
    <w:p>
      <w:pPr>
        <w:ind w:right="100" w:firstLine="234"/>
        <w:spacing w:after="0" w:line="261" w:lineRule="auto"/>
        <w:rPr>
          <w:sz w:val="20"/>
          <w:szCs w:val="20"/>
          <w:color w:val="auto"/>
        </w:rPr>
      </w:pPr>
      <w:r>
        <w:rPr>
          <w:rFonts w:ascii="Times New Roman" w:cs="Times New Roman" w:eastAsia="Times New Roman" w:hAnsi="Times New Roman"/>
          <w:sz w:val="18"/>
          <w:szCs w:val="18"/>
          <w:color w:val="auto"/>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jc w:val="both"/>
        <w:ind w:right="140" w:firstLine="234"/>
        <w:spacing w:after="0" w:line="231" w:lineRule="exact"/>
        <w:rPr>
          <w:sz w:val="20"/>
          <w:szCs w:val="20"/>
          <w:color w:val="auto"/>
        </w:rPr>
      </w:pPr>
      <w:r>
        <w:rPr>
          <w:rFonts w:ascii="Times New Roman" w:cs="Times New Roman" w:eastAsia="Times New Roman" w:hAnsi="Times New Roman"/>
          <w:sz w:val="18"/>
          <w:szCs w:val="18"/>
          <w:color w:val="auto"/>
        </w:rPr>
        <w:t>Such results could reduce the rate of reimbursement by both public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spacing w:after="0" w:line="19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the timely, accurate, and consistent provision of outsourced services for various services and business functions, as well as third parties who perform shipping and logistics functions on our behalf. Failures, disruptions, terminations, or replacements of our outsourcing providers or our logistics providers have occurred and could occur in the future, which could adversely impact our business.</w:t>
      </w:r>
    </w:p>
    <w:p>
      <w:pPr>
        <w:spacing w:after="0" w:line="175" w:lineRule="exact"/>
        <w:rPr>
          <w:sz w:val="20"/>
          <w:szCs w:val="20"/>
          <w:color w:val="auto"/>
        </w:rPr>
      </w:pPr>
    </w:p>
    <w:p>
      <w:pPr>
        <w:ind w:right="180" w:firstLine="234"/>
        <w:spacing w:after="0" w:line="254" w:lineRule="auto"/>
        <w:rPr>
          <w:sz w:val="20"/>
          <w:szCs w:val="20"/>
          <w:color w:val="auto"/>
        </w:rPr>
      </w:pPr>
      <w:r>
        <w:rPr>
          <w:rFonts w:ascii="Times New Roman" w:cs="Times New Roman" w:eastAsia="Times New Roman" w:hAnsi="Times New Roman"/>
          <w:sz w:val="18"/>
          <w:szCs w:val="18"/>
          <w:color w:val="auto"/>
        </w:rPr>
        <w:t>Our strategy to maintain or reduce our costs of operations includes the implementation of certain business process outsourcing initiatives for the provision and support of certain internal business functions. We may have limited control over these third parties, and we cannot guarantee that they will perform their obligations in an effective and timely manner. Our operations may be adversely affected if there is a failure, disruption, or malfunction (including cybersecurity breaches and other risks) in the provision of such outsourced services, or if the relationship with or services provided by such vendors are terminated in whole or in part. Further, we may not be able to find an alternative vendor in a timely manner, on acceptable terms, or that can provide adequate services or functionality. If any of these third-party vendors fail to implement proper controls to meet our industry’s regulatory requirements, violate laws, do not fulfill their contractual obligations, or act inappropriately in conducting their services on our behalf, our operations and reputation could be negatively impacted and result in regulatory fines and penalties.</w:t>
      </w:r>
    </w:p>
    <w:p>
      <w:pPr>
        <w:spacing w:after="0" w:line="192" w:lineRule="exact"/>
        <w:rPr>
          <w:sz w:val="20"/>
          <w:szCs w:val="20"/>
          <w:color w:val="auto"/>
        </w:rPr>
      </w:pPr>
    </w:p>
    <w:p>
      <w:pPr>
        <w:ind w:right="60" w:firstLine="162"/>
        <w:spacing w:after="0" w:line="256" w:lineRule="auto"/>
        <w:rPr>
          <w:sz w:val="20"/>
          <w:szCs w:val="20"/>
          <w:color w:val="auto"/>
        </w:rPr>
      </w:pPr>
      <w:r>
        <w:rPr>
          <w:rFonts w:ascii="Times New Roman" w:cs="Times New Roman" w:eastAsia="Times New Roman" w:hAnsi="Times New Roman"/>
          <w:sz w:val="18"/>
          <w:szCs w:val="18"/>
          <w:color w:val="auto"/>
        </w:rPr>
        <w:t>Outsourcing may also require us to change our existing operations or adopt new processes for providing or managing such services. If there are delays or difficulties in changing business processes or our third-party vendors do not perform as expected, it may delay our ability realize the anticipated functionality or benefits of these relationships. Terminating or transitioning, in whole or in part, arrangements with vendors could result in additional costs or penalties, risks of operational delays and interruptions, or potential errors and control issues during the termination or transition phase. If we experience an interruption or loss of access to data resulting from a malfunction, termination, transition or other disruption in outsourced services, our business and results of operations could be materially and adversely impacted.</w:t>
      </w:r>
    </w:p>
    <w:p>
      <w:pPr>
        <w:spacing w:after="0" w:line="187" w:lineRule="exact"/>
        <w:rPr>
          <w:sz w:val="20"/>
          <w:szCs w:val="20"/>
          <w:color w:val="auto"/>
        </w:rPr>
      </w:pPr>
    </w:p>
    <w:p>
      <w:pPr>
        <w:ind w:right="120" w:firstLine="234"/>
        <w:spacing w:after="0" w:line="254" w:lineRule="auto"/>
        <w:rPr>
          <w:sz w:val="20"/>
          <w:szCs w:val="20"/>
          <w:color w:val="auto"/>
        </w:rPr>
      </w:pPr>
      <w:r>
        <w:rPr>
          <w:rFonts w:ascii="Times New Roman" w:cs="Times New Roman" w:eastAsia="Times New Roman" w:hAnsi="Times New Roman"/>
          <w:sz w:val="18"/>
          <w:szCs w:val="18"/>
          <w:color w:val="auto"/>
        </w:rPr>
        <w:t>In addition, 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at least fiscal year 2026.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spacing w:after="0" w:line="18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spacing w:after="0" w:line="180" w:lineRule="exact"/>
        <w:rPr>
          <w:sz w:val="20"/>
          <w:szCs w:val="20"/>
          <w:color w:val="auto"/>
        </w:rPr>
      </w:pPr>
    </w:p>
    <w:p>
      <w:pPr>
        <w:ind w:right="160" w:firstLine="234"/>
        <w:spacing w:after="0" w:line="261" w:lineRule="auto"/>
        <w:rPr>
          <w:sz w:val="20"/>
          <w:szCs w:val="20"/>
          <w:color w:val="auto"/>
        </w:rPr>
      </w:pPr>
      <w:r>
        <w:rPr>
          <w:rFonts w:ascii="Times New Roman" w:cs="Times New Roman" w:eastAsia="Times New Roman" w:hAnsi="Times New Roman"/>
          <w:sz w:val="18"/>
          <w:szCs w:val="18"/>
          <w:color w:val="auto"/>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spacing w:after="0" w:line="180" w:lineRule="exact"/>
        <w:rPr>
          <w:sz w:val="20"/>
          <w:szCs w:val="20"/>
          <w:color w:val="auto"/>
        </w:rPr>
      </w:pPr>
    </w:p>
    <w:p>
      <w:pPr>
        <w:ind w:firstLine="234"/>
        <w:spacing w:after="0" w:line="220" w:lineRule="exact"/>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234"/>
        <w:spacing w:after="0" w:line="218" w:lineRule="exact"/>
        <w:rPr>
          <w:sz w:val="20"/>
          <w:szCs w:val="20"/>
          <w:color w:val="auto"/>
        </w:rPr>
      </w:pPr>
      <w:r>
        <w:rPr>
          <w:rFonts w:ascii="Times New Roman" w:cs="Times New Roman" w:eastAsia="Times New Roman" w:hAnsi="Times New Roman"/>
          <w:sz w:val="18"/>
          <w:szCs w:val="18"/>
          <w:color w:val="auto"/>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spacing w:after="0" w:line="204" w:lineRule="exact"/>
        <w:rPr>
          <w:sz w:val="20"/>
          <w:szCs w:val="20"/>
          <w:color w:val="auto"/>
        </w:rPr>
      </w:pPr>
    </w:p>
    <w:p>
      <w:pPr>
        <w:ind w:right="40" w:firstLine="234"/>
        <w:spacing w:after="0" w:line="253" w:lineRule="auto"/>
        <w:rPr>
          <w:sz w:val="20"/>
          <w:szCs w:val="20"/>
          <w:color w:val="auto"/>
        </w:rPr>
      </w:pPr>
      <w:r>
        <w:rPr>
          <w:rFonts w:ascii="Times New Roman" w:cs="Times New Roman" w:eastAsia="Times New Roman" w:hAnsi="Times New Roman"/>
          <w:sz w:val="18"/>
          <w:szCs w:val="18"/>
          <w:color w:val="auto"/>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spacing w:after="0" w:line="194"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right="20" w:firstLine="234"/>
        <w:spacing w:after="0" w:line="258" w:lineRule="auto"/>
        <w:rPr>
          <w:sz w:val="20"/>
          <w:szCs w:val="20"/>
          <w:color w:val="auto"/>
        </w:rPr>
      </w:pPr>
      <w:r>
        <w:rPr>
          <w:rFonts w:ascii="Times New Roman" w:cs="Times New Roman" w:eastAsia="Times New Roman" w:hAnsi="Times New Roman"/>
          <w:sz w:val="18"/>
          <w:szCs w:val="18"/>
          <w:color w:val="auto"/>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ind w:right="80" w:firstLine="234"/>
        <w:spacing w:after="0" w:line="220" w:lineRule="exact"/>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234"/>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87" w:lineRule="exact"/>
        <w:rPr>
          <w:sz w:val="20"/>
          <w:szCs w:val="20"/>
          <w:color w:val="auto"/>
        </w:rPr>
      </w:pPr>
    </w:p>
    <w:p>
      <w:pPr>
        <w:ind w:right="100" w:firstLine="234"/>
        <w:spacing w:after="0" w:line="253" w:lineRule="auto"/>
        <w:rPr>
          <w:sz w:val="20"/>
          <w:szCs w:val="20"/>
          <w:color w:val="auto"/>
        </w:rPr>
      </w:pPr>
      <w:r>
        <w:rPr>
          <w:rFonts w:ascii="Times New Roman" w:cs="Times New Roman" w:eastAsia="Times New Roman" w:hAnsi="Times New Roman"/>
          <w:sz w:val="18"/>
          <w:szCs w:val="18"/>
          <w:color w:val="auto"/>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spacing w:after="0" w:line="190" w:lineRule="exact"/>
        <w:rPr>
          <w:sz w:val="20"/>
          <w:szCs w:val="20"/>
          <w:color w:val="auto"/>
        </w:rPr>
      </w:pPr>
    </w:p>
    <w:p>
      <w:pPr>
        <w:ind w:right="40" w:firstLine="234"/>
        <w:spacing w:after="0" w:line="266" w:lineRule="auto"/>
        <w:rPr>
          <w:sz w:val="20"/>
          <w:szCs w:val="20"/>
          <w:color w:val="auto"/>
        </w:rPr>
      </w:pPr>
      <w:r>
        <w:rPr>
          <w:rFonts w:ascii="Times New Roman" w:cs="Times New Roman" w:eastAsia="Times New Roman" w:hAnsi="Times New Roman"/>
          <w:sz w:val="18"/>
          <w:szCs w:val="18"/>
          <w:color w:val="auto"/>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spacing w:after="0" w:line="176"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clearly address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spacing w:after="0" w:line="192" w:lineRule="exact"/>
        <w:rPr>
          <w:sz w:val="20"/>
          <w:szCs w:val="20"/>
          <w:color w:val="auto"/>
        </w:rPr>
      </w:pPr>
    </w:p>
    <w:p>
      <w:pPr>
        <w:ind w:right="40" w:firstLine="234"/>
        <w:spacing w:after="0" w:line="219" w:lineRule="exact"/>
        <w:rPr>
          <w:sz w:val="20"/>
          <w:szCs w:val="20"/>
          <w:color w:val="auto"/>
        </w:rPr>
      </w:pPr>
      <w:r>
        <w:rPr>
          <w:rFonts w:ascii="Times New Roman" w:cs="Times New Roman" w:eastAsia="Times New Roman" w:hAnsi="Times New Roman"/>
          <w:sz w:val="18"/>
          <w:szCs w:val="18"/>
          <w:color w:val="auto"/>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If we are unable to protect our intellectual property rights, we may be unable to prevent competitors from using our own inventions and intellectual property to compete against us and our business may be harmed.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materially and adversely affect our financial condition.</w:t>
      </w:r>
    </w:p>
    <w:p>
      <w:pPr>
        <w:spacing w:after="0" w:line="229" w:lineRule="exact"/>
        <w:rPr>
          <w:sz w:val="20"/>
          <w:szCs w:val="20"/>
          <w:color w:val="auto"/>
        </w:rPr>
      </w:pPr>
    </w:p>
    <w:p>
      <w:pPr>
        <w:ind w:right="20" w:firstLine="234"/>
        <w:spacing w:after="0" w:line="219" w:lineRule="exact"/>
        <w:rPr>
          <w:sz w:val="20"/>
          <w:szCs w:val="20"/>
          <w:color w:val="auto"/>
        </w:rPr>
      </w:pPr>
      <w:r>
        <w:rPr>
          <w:rFonts w:ascii="Times New Roman" w:cs="Times New Roman" w:eastAsia="Times New Roman" w:hAnsi="Times New Roman"/>
          <w:sz w:val="18"/>
          <w:szCs w:val="18"/>
          <w:color w:val="auto"/>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spacing w:after="0" w:line="200" w:lineRule="exact"/>
        <w:rPr>
          <w:sz w:val="20"/>
          <w:szCs w:val="20"/>
          <w:color w:val="auto"/>
        </w:rPr>
      </w:pP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majority of our product revenue is derived from sales of the CyberKnife and TomoTherapy platforms, which have a long and variable sales and installation cycle, our revenues and cash flows may be volatile and difficult to predict.</w:t>
      </w:r>
    </w:p>
    <w:p>
      <w:pPr>
        <w:spacing w:after="0" w:line="159" w:lineRule="exact"/>
        <w:rPr>
          <w:sz w:val="20"/>
          <w:szCs w:val="20"/>
          <w:color w:val="auto"/>
        </w:rPr>
      </w:pPr>
    </w:p>
    <w:p>
      <w:pPr>
        <w:ind w:firstLine="234"/>
        <w:spacing w:after="0" w:line="217" w:lineRule="exact"/>
        <w:rPr>
          <w:sz w:val="20"/>
          <w:szCs w:val="20"/>
          <w:color w:val="auto"/>
        </w:rPr>
      </w:pPr>
      <w:r>
        <w:rPr>
          <w:rFonts w:ascii="Times New Roman" w:cs="Times New Roman" w:eastAsia="Times New Roman" w:hAnsi="Times New Roman"/>
          <w:sz w:val="18"/>
          <w:szCs w:val="18"/>
          <w:color w:val="auto"/>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spacing w:after="0" w:line="208"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spacing w:after="0" w:line="194" w:lineRule="exact"/>
        <w:rPr>
          <w:sz w:val="20"/>
          <w:szCs w:val="20"/>
          <w:color w:val="auto"/>
        </w:rPr>
      </w:pPr>
    </w:p>
    <w:p>
      <w:pPr>
        <w:ind w:right="60" w:firstLine="234"/>
        <w:spacing w:after="0" w:line="254" w:lineRule="auto"/>
        <w:rPr>
          <w:sz w:val="20"/>
          <w:szCs w:val="20"/>
          <w:color w:val="auto"/>
        </w:rPr>
      </w:pPr>
      <w:r>
        <w:rPr>
          <w:rFonts w:ascii="Times New Roman" w:cs="Times New Roman" w:eastAsia="Times New Roman" w:hAnsi="Times New Roman"/>
          <w:sz w:val="18"/>
          <w:szCs w:val="18"/>
          <w:color w:val="auto"/>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depend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distributors to market and distribute our products in international markets. If our distributors fail to successfully market and distribute our products, our business will be materially harmed.</w:t>
      </w:r>
    </w:p>
    <w:p>
      <w:pPr>
        <w:spacing w:after="0" w:line="199"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We have strategic relationships with a number of key distributors for sales and service of our products in certain foreign countries, including the JV in China and other third-party distributors in other regions, including Europe, Russia, the Middle East, Africa, the Asia Pacific region, and Latin America. Many of the countries in these regions are not highly developed at this time and therefore, sales opportunities may be limited.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 unit price of the CyberKnife and TomoTherapy platforms, as well as other factors, may contribute to substantial fluctuations in our operating results, which could adversely affect our stock price.</w:t>
      </w:r>
    </w:p>
    <w:p>
      <w:pPr>
        <w:spacing w:after="0" w:line="159" w:lineRule="exact"/>
        <w:rPr>
          <w:sz w:val="20"/>
          <w:szCs w:val="20"/>
          <w:color w:val="auto"/>
        </w:rPr>
      </w:pPr>
    </w:p>
    <w:p>
      <w:pPr>
        <w:ind w:firstLine="234"/>
        <w:spacing w:after="0" w:line="219" w:lineRule="exact"/>
        <w:rPr>
          <w:sz w:val="20"/>
          <w:szCs w:val="20"/>
          <w:color w:val="auto"/>
        </w:rPr>
      </w:pPr>
      <w:r>
        <w:rPr>
          <w:rFonts w:ascii="Times New Roman" w:cs="Times New Roman" w:eastAsia="Times New Roman" w:hAnsi="Times New Roman"/>
          <w:sz w:val="18"/>
          <w:szCs w:val="18"/>
          <w:color w:val="auto"/>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These fluctuations and other potential fluctuations mean that you should not rely upon our operating results in any particular period as an indication of future performance.</w:t>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strategy to assist our sales efforts, we may offer extended payment terms, which may potentially result in higher days sales outstanding, reduced cash flows in a particular period and greater payment defaults.</w:t>
      </w:r>
    </w:p>
    <w:p>
      <w:pPr>
        <w:spacing w:after="0" w:line="159" w:lineRule="exact"/>
        <w:rPr>
          <w:sz w:val="20"/>
          <w:szCs w:val="20"/>
          <w:color w:val="auto"/>
        </w:rPr>
      </w:pPr>
    </w:p>
    <w:p>
      <w:pPr>
        <w:ind w:right="80" w:firstLine="234"/>
        <w:spacing w:after="0" w:line="258" w:lineRule="auto"/>
        <w:rPr>
          <w:sz w:val="20"/>
          <w:szCs w:val="20"/>
          <w:color w:val="auto"/>
        </w:rPr>
      </w:pPr>
      <w:r>
        <w:rPr>
          <w:rFonts w:ascii="Times New Roman" w:cs="Times New Roman" w:eastAsia="Times New Roman" w:hAnsi="Times New Roman"/>
          <w:sz w:val="18"/>
          <w:szCs w:val="18"/>
          <w:color w:val="auto"/>
        </w:rPr>
        <w:t>We offer longer or extended payment terms for qualified customers in some circumstances. As of March 31, 2026, customer contracts with extended payment terms of more than one year amounted to approximately 5%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spacing w:after="0" w:line="159" w:lineRule="exact"/>
        <w:rPr>
          <w:sz w:val="20"/>
          <w:szCs w:val="20"/>
          <w:color w:val="auto"/>
        </w:rPr>
      </w:pPr>
    </w:p>
    <w:p>
      <w:pPr>
        <w:ind w:right="140" w:firstLine="234"/>
        <w:spacing w:after="0" w:line="282" w:lineRule="auto"/>
        <w:rPr>
          <w:sz w:val="20"/>
          <w:szCs w:val="20"/>
          <w:color w:val="auto"/>
        </w:rPr>
      </w:pPr>
      <w:r>
        <w:rPr>
          <w:rFonts w:ascii="Times New Roman" w:cs="Times New Roman" w:eastAsia="Times New Roman" w:hAnsi="Times New Roman"/>
          <w:sz w:val="18"/>
          <w:szCs w:val="18"/>
          <w:color w:val="auto"/>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spacing w:after="0" w:line="162" w:lineRule="exact"/>
        <w:rPr>
          <w:sz w:val="20"/>
          <w:szCs w:val="20"/>
          <w:color w:val="auto"/>
        </w:rPr>
      </w:pPr>
    </w:p>
    <w:p>
      <w:pPr>
        <w:ind w:left="780" w:right="360" w:hanging="327"/>
        <w:spacing w:after="0" w:line="261"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right="80" w:hanging="327"/>
        <w:spacing w:after="0" w:line="266"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spacing w:after="0" w:line="175" w:lineRule="exact"/>
        <w:rPr>
          <w:rFonts w:ascii="Times New Roman" w:cs="Times New Roman" w:eastAsia="Times New Roman" w:hAnsi="Times New Roman"/>
          <w:sz w:val="18"/>
          <w:szCs w:val="18"/>
          <w:color w:val="auto"/>
        </w:rPr>
      </w:pPr>
    </w:p>
    <w:p>
      <w:pPr>
        <w:ind w:left="780" w:right="80" w:hanging="327"/>
        <w:spacing w:after="0" w:line="258"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spacing w:after="0" w:line="183" w:lineRule="exact"/>
        <w:rPr>
          <w:rFonts w:ascii="Times New Roman" w:cs="Times New Roman" w:eastAsia="Times New Roman" w:hAnsi="Times New Roman"/>
          <w:sz w:val="18"/>
          <w:szCs w:val="18"/>
          <w:color w:val="auto"/>
        </w:rPr>
      </w:pPr>
    </w:p>
    <w:p>
      <w:pPr>
        <w:ind w:left="780" w:hanging="327"/>
        <w:spacing w:after="0" w:line="25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 For example, our JV partner, CNNC High Energy Equipment (Tianjin) Co., Ltd., is a subsidiary of China Isotope and Radiation Corporation, which is a holding subsidiary of China National Nuclear Corporation (“CNNC”), which is a Chinese state-owned entity. CNNC is currently listed on the Non-SDN Chinese Military-Industrial Complex Companies List maintained by the U.S. Treasury Department’s Office of Foreign Assets Control (“OFAC”) as well as the United States Department of Defense’s list of Chinese Military Companies operating directly or indirectly in the United States under Section 1260H of the National Defense Authorization Act for Fiscal Year 2021. Although these designations do not prohibit us from transacting with CNNC, CNNC’s subsidiaries or the JV, we may be exposed to certain commercial, operational, and reputational risks as a result of CNNC being a state-owned entity and thus controlled by the Chinese government where CNNC may make politically motivated business decisions that do not align with our commercial interests. In addition, CNNC could conduct business with other companies, organizations or institutions that attract unfavorable political attention in the United States, which could harm our reputation. These designation may result in negative publicity for us and the JV. Further regulatory changes adding CNNC or our JV partner to additional lists or export and sanctions related restricted or prohibited parties or further controls on entities viewed as connected to the Chinese military could impact the JV. Additionally, the United States government could use other measures to impose additional restrictions or export controls, which could apply to CNNC. Any such regulatory actions, including the imposition of sanctions, expansion of the United States Department of Defense’s list of Chinese Military Companies operating directly or indirectly in the United States, or other export control measures applicable to CNNC or its affiliates, could restrict our ability to sell products to or through the JV, receive payments from the JV, provide technology, software updates, services, or other support, or otherwise conduct business in China, and could require us to modify or terminate aspects of the JV or our broader China commercial strategy, any of, which could materially and adversely affect our business, financial condition, results of operations and profitability;</w:t>
      </w:r>
    </w:p>
    <w:p>
      <w:pPr>
        <w:spacing w:after="0" w:line="189" w:lineRule="exact"/>
        <w:rPr>
          <w:rFonts w:ascii="Times New Roman" w:cs="Times New Roman" w:eastAsia="Times New Roman" w:hAnsi="Times New Roman"/>
          <w:sz w:val="18"/>
          <w:szCs w:val="18"/>
          <w:color w:val="auto"/>
        </w:rPr>
      </w:pPr>
    </w:p>
    <w:p>
      <w:pPr>
        <w:ind w:left="780" w:right="40" w:hanging="327"/>
        <w:spacing w:after="0" w:line="28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partnerships, alliances and joint ventures can be difficult to manage and may involve significant expense and divert the focus and attention of our management and other key personnel away from our existing businesses;</w:t>
      </w:r>
    </w:p>
    <w:p>
      <w:pPr>
        <w:spacing w:after="0" w:line="161" w:lineRule="exact"/>
        <w:rPr>
          <w:rFonts w:ascii="Times New Roman" w:cs="Times New Roman" w:eastAsia="Times New Roman" w:hAnsi="Times New Roman"/>
          <w:sz w:val="18"/>
          <w:szCs w:val="18"/>
          <w:color w:val="auto"/>
        </w:rPr>
      </w:pPr>
    </w:p>
    <w:p>
      <w:pPr>
        <w:ind w:left="780" w:right="280" w:hanging="327"/>
        <w:spacing w:after="0" w:line="28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joint ventures, we may not be able to attract qualified employees, acquire customers or develop reliable supply, distribution or other partnerships;</w:t>
      </w:r>
    </w:p>
    <w:p>
      <w:pPr>
        <w:spacing w:after="0" w:line="161"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damage to existing customer relationships or lack of customer acceptance or inability to attract new customers as a result of certain collaborations, partnerships, alliances and joint ventures;</w:t>
      </w:r>
    </w:p>
    <w:p>
      <w:pPr>
        <w:spacing w:after="0" w:line="161" w:lineRule="exact"/>
        <w:rPr>
          <w:rFonts w:ascii="Times New Roman" w:cs="Times New Roman" w:eastAsia="Times New Roman" w:hAnsi="Times New Roman"/>
          <w:sz w:val="18"/>
          <w:szCs w:val="18"/>
          <w:color w:val="auto"/>
        </w:rPr>
      </w:pPr>
    </w:p>
    <w:p>
      <w:pPr>
        <w:ind w:left="780" w:right="80" w:hanging="327"/>
        <w:spacing w:after="0" w:line="266"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spacing w:after="0" w:line="175" w:lineRule="exact"/>
        <w:rPr>
          <w:rFonts w:ascii="Times New Roman" w:cs="Times New Roman" w:eastAsia="Times New Roman" w:hAnsi="Times New Roman"/>
          <w:sz w:val="18"/>
          <w:szCs w:val="18"/>
          <w:color w:val="auto"/>
        </w:rPr>
      </w:pPr>
    </w:p>
    <w:p>
      <w:pPr>
        <w:ind w:left="780" w:right="220" w:hanging="327"/>
        <w:spacing w:after="0" w:line="266"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spacing w:after="0" w:line="176" w:lineRule="exact"/>
        <w:rPr>
          <w:sz w:val="20"/>
          <w:szCs w:val="20"/>
          <w:color w:val="auto"/>
        </w:rPr>
      </w:pPr>
    </w:p>
    <w:p>
      <w:pPr>
        <w:ind w:right="280" w:firstLine="234"/>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may not realize the expected benefits of any collaboration, partnership, strategic alliance or joint venture or such benefits may not be realized at expected levels or within the expected time period.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spacing w:after="0" w:line="175"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8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system of internal controls as of June 30, 2025, September 30, 2025, December 31, 2025 and March 31, 2026, and are in the process of remediation. If we fail to remediate such material weaknesses or otherwise fail to achieve and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spacing w:after="0" w:line="183"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As more fully disclosed in Part I, Item 4 “Controls and Procedures,” the Company concluded that as of June 30, 2025, September 30, 2025, December 31, 2025, and March 31, 2026, its internal control over financial reporting was not effective as a result of two material weaknesses. The material weaknesses related to the review of the footnote schedules supporting financial statement disclosures and inadequate controls to appropriately analyze all relevant information required for complete and accurate presentation and disclosure under GAAP principally resulting from incorrect assessment during the initial adoption of ASC 606. The material weaknesses resulted in misstatements related to the disclosure of remaining performance obligations included in Note 2, Revenue of the Company’s financial statements, which resulted in the restatement of our financial statements for the year ended June 30, 2025 and the three-months ended September 30, 2024, December 31, 2024, March 31, 2025, and September 30, 2025. In addition, based on these material weaknesses, management re-evaluated the effectiveness of internal control over financial reporting and concluded that as of June 30, 2025, September 30, 2025, and December 31, 2025, the Company had not maintained effective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 identified above, but remediation efforts can be time consuming and costly. Additionally, we previously identified material weaknesses in our system of internal controls as of June 30, 2024, which were remediated as of March 31, 2025. In the future, we may not be successful in promptly remediating the material weaknesses identified by management or be able to identify and remediate additional control deficiencies, including material weaknesses. We cannot assure you that the measures we have taken to date, or any measures we may take in the future, will be sufficient to prevent or avoid potential future material weaknesses. Our management may also be unable to conclude in future periods that our disclosure controls and procedures are effective due to the effects of various factors, which may, in part, include unremediated material weaknesses in internal control over financial reporting. Additionally, any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w:t>
      </w:r>
    </w:p>
    <w:p>
      <w:pPr>
        <w:spacing w:after="0" w:line="192"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spacing w:after="0" w:line="192" w:lineRule="exact"/>
        <w:rPr>
          <w:sz w:val="20"/>
          <w:szCs w:val="20"/>
          <w:color w:val="auto"/>
        </w:rPr>
      </w:pPr>
    </w:p>
    <w:p>
      <w:pPr>
        <w:ind w:right="60" w:firstLine="234"/>
        <w:spacing w:after="0" w:line="261" w:lineRule="auto"/>
        <w:rPr>
          <w:sz w:val="20"/>
          <w:szCs w:val="20"/>
          <w:color w:val="auto"/>
        </w:rPr>
      </w:pPr>
      <w:r>
        <w:rPr>
          <w:rFonts w:ascii="Times New Roman" w:cs="Times New Roman" w:eastAsia="Times New Roman" w:hAnsi="Times New Roman"/>
          <w:sz w:val="18"/>
          <w:szCs w:val="18"/>
          <w:color w:val="auto"/>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or obtain financing in the future may be limited, and our failure to raise capital when needed could prevent us from executing our growth strategy.</w:t>
      </w:r>
    </w:p>
    <w:p>
      <w:pPr>
        <w:spacing w:after="0" w:line="159" w:lineRule="exact"/>
        <w:rPr>
          <w:sz w:val="20"/>
          <w:szCs w:val="20"/>
          <w:color w:val="auto"/>
        </w:rPr>
      </w:pPr>
    </w:p>
    <w:p>
      <w:pPr>
        <w:jc w:val="both"/>
        <w:ind w:right="20" w:firstLine="234"/>
        <w:spacing w:after="0" w:line="266"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2"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make it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In particular, the Warrants that we issued to the lenders in connection with the Credit Facilities contain anti-dilution provisions, among other things, including price protection anti-dilution protection in the event that the Company sells stock at a price below $1.00 per share in the case of the Penny Warrants, $1.25 per share in the case of the June 2025 Premium Warrants, $0.93 per share in case of the December 2025 Premium Warrants and $1.12 per share in case of the Super Premium Warrants. We cannot assure that additional financing, if required or desired, will be available in amounts or on terms acceptable to us, if at all.</w:t>
      </w:r>
    </w:p>
    <w:p>
      <w:pPr>
        <w:spacing w:after="0" w:line="197" w:lineRule="exact"/>
        <w:rPr>
          <w:sz w:val="20"/>
          <w:szCs w:val="20"/>
          <w:color w:val="auto"/>
        </w:rPr>
      </w:pPr>
    </w:p>
    <w:p>
      <w:pPr>
        <w:jc w:val="both"/>
        <w:ind w:right="100" w:firstLine="234"/>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support our business growth and to respond to business challenges, and our business and ability to continue as a going concern may be adversely affected. If we need to accept less favorable terms, it could increase our cost of capital, reduce our cash balances or otherwise restrict our ability to grow.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certain tax loss carryforwards.</w:t>
      </w:r>
    </w:p>
    <w:p>
      <w:pPr>
        <w:spacing w:after="0" w:line="229" w:lineRule="exact"/>
        <w:rPr>
          <w:sz w:val="20"/>
          <w:szCs w:val="20"/>
          <w:color w:val="auto"/>
        </w:rPr>
      </w:pPr>
    </w:p>
    <w:p>
      <w:pPr>
        <w:ind w:right="120" w:firstLine="234"/>
        <w:spacing w:after="0" w:line="258" w:lineRule="auto"/>
        <w:rPr>
          <w:sz w:val="20"/>
          <w:szCs w:val="20"/>
          <w:color w:val="auto"/>
        </w:rPr>
      </w:pPr>
      <w:r>
        <w:rPr>
          <w:rFonts w:ascii="Times New Roman" w:cs="Times New Roman" w:eastAsia="Times New Roman" w:hAnsi="Times New Roman"/>
          <w:sz w:val="18"/>
          <w:szCs w:val="18"/>
          <w:color w:val="auto"/>
        </w:rPr>
        <w:t>At the end of fiscal year 2025, we had approximately $260.9 million and $119.9 million in federal and state net operating loss carryforwards, respectively. The federal and state carryforwards expire in varying amounts beginning in 2029 for federal and 2026 for state purposes. In addition, as of fiscal year 2025 we had federal and state research and development tax credit carryforwards of approximately $28.5 million and $22.8 million, respectively. The California research credits have no expiration date, but if not utilized, the federal research credits and other non-California state research credits will begin to expire in 2026.</w:t>
      </w:r>
    </w:p>
    <w:p>
      <w:pPr>
        <w:spacing w:after="0" w:line="183"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(“IRC”) and similar state provisions to us. Future changes in our stock ownership, including future offerings, as well as changes that may be outside of our control, could result in an ownership change under Section 382 of the IRC. In addition, the use of our net operating losses and other tax attributes may be subject to other limitations under applicable law. Additionally, one of the provisions under the Tax Cuts and Jobs Act that became effective in tax years beginning after December 31, 2021 required the capitalization and amortization of domestic and foreign research and experimental expenditures. On July 4, 2025,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The adoption of the OBBB Act did not have a material impact on our financial statements due to our current losses and full valuation allowance recorded against our U.S. deferred tax asset.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tax laws of various foreign jurisdictions, as well as within the United States, which are subject to unanticipated changes and interpretation and could harm our future results.</w:t>
      </w:r>
    </w:p>
    <w:p>
      <w:pPr>
        <w:spacing w:after="0" w:line="159" w:lineRule="exact"/>
        <w:rPr>
          <w:sz w:val="20"/>
          <w:szCs w:val="20"/>
          <w:color w:val="auto"/>
        </w:rPr>
      </w:pPr>
    </w:p>
    <w:p>
      <w:pPr>
        <w:ind w:right="40" w:firstLine="234"/>
        <w:spacing w:after="0" w:line="269" w:lineRule="auto"/>
        <w:rPr>
          <w:sz w:val="20"/>
          <w:szCs w:val="20"/>
          <w:color w:val="auto"/>
        </w:rPr>
      </w:pPr>
      <w:r>
        <w:rPr>
          <w:rFonts w:ascii="Times New Roman" w:cs="Times New Roman" w:eastAsia="Times New Roman" w:hAnsi="Times New Roman"/>
          <w:sz w:val="17"/>
          <w:szCs w:val="17"/>
          <w:color w:val="auto"/>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("Pillar Two"), and have adopted or intend to adopt laws to implement this initiative.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Many countries and organizations are also actively considering changes to existing tax laws or have proposed or enacted new laws, such as the OBBB Act, that could increase our tax obligations in countries where we do business or cause us to change the way we operate our business, which could materially impact our results of operation.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 and Business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spacing w:after="0" w:line="180" w:lineRule="exact"/>
        <w:rPr>
          <w:sz w:val="20"/>
          <w:szCs w:val="20"/>
          <w:color w:val="auto"/>
        </w:rPr>
      </w:pPr>
    </w:p>
    <w:p>
      <w:pPr>
        <w:ind w:firstLine="234"/>
        <w:spacing w:after="0" w:line="242" w:lineRule="auto"/>
        <w:rPr>
          <w:sz w:val="20"/>
          <w:szCs w:val="20"/>
          <w:color w:val="auto"/>
        </w:rPr>
      </w:pPr>
      <w:r>
        <w:rPr>
          <w:rFonts w:ascii="Times New Roman" w:cs="Times New Roman" w:eastAsia="Times New Roman" w:hAnsi="Times New Roman"/>
          <w:sz w:val="18"/>
          <w:szCs w:val="18"/>
          <w:color w:val="auto"/>
        </w:rPr>
        <w:t>The CyberKnife and TomoTherapy platforms, including the Radixact System, as well as the Precision Treatment Planning software are medical devices that are subject to extensive regulation in the United States by local, state and the federal government, including the FDA. The iDMS Data Management System connects these systems and may be regulated as a medical device in some markets. The FDA most recently cleared Surface Guided Radiation Therapy (SGRT) on Radixact System under K223159 on June 23, 2023. ClearRT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spacing w:after="0" w:line="205" w:lineRule="exact"/>
        <w:rPr>
          <w:sz w:val="20"/>
          <w:szCs w:val="20"/>
          <w:color w:val="auto"/>
        </w:rPr>
      </w:pPr>
    </w:p>
    <w:p>
      <w:pPr>
        <w:ind w:right="80" w:firstLine="234"/>
        <w:spacing w:after="0" w:line="253" w:lineRule="auto"/>
        <w:rPr>
          <w:sz w:val="20"/>
          <w:szCs w:val="20"/>
          <w:color w:val="auto"/>
        </w:rPr>
      </w:pPr>
      <w:r>
        <w:rPr>
          <w:rFonts w:ascii="Times New Roman" w:cs="Times New Roman" w:eastAsia="Times New Roman" w:hAnsi="Times New Roman"/>
          <w:sz w:val="18"/>
          <w:szCs w:val="18"/>
          <w:color w:val="auto"/>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Quality Management System Regulation (“QMSR”)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6" w:lineRule="auto"/>
        <w:rPr>
          <w:sz w:val="20"/>
          <w:szCs w:val="20"/>
          <w:color w:val="auto"/>
        </w:rPr>
      </w:pPr>
      <w:r>
        <w:rPr>
          <w:rFonts w:ascii="Times New Roman" w:cs="Times New Roman" w:eastAsia="Times New Roman" w:hAnsi="Times New Roman"/>
          <w:sz w:val="18"/>
          <w:szCs w:val="18"/>
          <w:color w:val="auto"/>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spacing w:after="0" w:line="187" w:lineRule="exact"/>
        <w:rPr>
          <w:sz w:val="20"/>
          <w:szCs w:val="20"/>
          <w:color w:val="auto"/>
        </w:rPr>
      </w:pPr>
    </w:p>
    <w:p>
      <w:pPr>
        <w:ind w:right="140" w:firstLine="234"/>
        <w:spacing w:after="0" w:line="277" w:lineRule="auto"/>
        <w:rPr>
          <w:sz w:val="20"/>
          <w:szCs w:val="20"/>
          <w:color w:val="auto"/>
        </w:rPr>
      </w:pPr>
      <w:r>
        <w:rPr>
          <w:rFonts w:ascii="Times New Roman" w:cs="Times New Roman" w:eastAsia="Times New Roman" w:hAnsi="Times New Roman"/>
          <w:sz w:val="17"/>
          <w:szCs w:val="17"/>
          <w:color w:val="auto"/>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spacing w:after="0" w:line="168"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spacing w:after="0" w:line="192" w:lineRule="exact"/>
        <w:rPr>
          <w:sz w:val="20"/>
          <w:szCs w:val="20"/>
          <w:color w:val="auto"/>
        </w:rPr>
      </w:pPr>
    </w:p>
    <w:p>
      <w:pPr>
        <w:ind w:firstLine="234"/>
        <w:spacing w:after="0" w:line="255"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applicable to our operations, the violation of which could result in substantial penalties and harm our business.</w:t>
      </w:r>
    </w:p>
    <w:p>
      <w:pPr>
        <w:spacing w:after="0" w:line="159" w:lineRule="exact"/>
        <w:rPr>
          <w:sz w:val="20"/>
          <w:szCs w:val="20"/>
          <w:color w:val="auto"/>
        </w:rPr>
      </w:pPr>
    </w:p>
    <w:p>
      <w:pPr>
        <w:ind w:right="40" w:firstLine="234"/>
        <w:spacing w:after="0" w:line="258" w:lineRule="auto"/>
        <w:rPr>
          <w:sz w:val="20"/>
          <w:szCs w:val="20"/>
          <w:color w:val="auto"/>
        </w:rPr>
      </w:pPr>
      <w:r>
        <w:rPr>
          <w:rFonts w:ascii="Times New Roman" w:cs="Times New Roman" w:eastAsia="Times New Roman" w:hAnsi="Times New Roman"/>
          <w:sz w:val="18"/>
          <w:szCs w:val="18"/>
          <w:color w:val="auto"/>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40" w:firstLine="23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Laws and ethical rules governing interactions with healthcare providers. </w:t>
      </w:r>
      <w:r>
        <w:rPr>
          <w:rFonts w:ascii="Times New Roman" w:cs="Times New Roman" w:eastAsia="Times New Roman" w:hAnsi="Times New Roman"/>
          <w:sz w:val="18"/>
          <w:szCs w:val="18"/>
          <w:color w:val="auto"/>
        </w:rPr>
        <w:t>The Medicare and Medicaid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 similar state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spacing w:after="0" w:line="206"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spacing w:after="0" w:line="151" w:lineRule="exact"/>
        <w:rPr>
          <w:sz w:val="20"/>
          <w:szCs w:val="20"/>
          <w:color w:val="auto"/>
        </w:rPr>
      </w:pPr>
    </w:p>
    <w:p>
      <w:pPr>
        <w:ind w:right="100" w:firstLine="234"/>
        <w:spacing w:after="0" w:line="226" w:lineRule="exact"/>
        <w:rPr>
          <w:sz w:val="20"/>
          <w:szCs w:val="20"/>
          <w:color w:val="auto"/>
        </w:rPr>
      </w:pP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1" w:lineRule="exact"/>
        <w:rPr>
          <w:sz w:val="20"/>
          <w:szCs w:val="20"/>
          <w:color w:val="auto"/>
        </w:rPr>
      </w:pPr>
    </w:p>
    <w:p>
      <w:pPr>
        <w:ind w:right="120" w:firstLine="234"/>
        <w:spacing w:after="0" w:line="231"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any of these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20" w:firstLine="234"/>
        <w:spacing w:after="0" w:line="224"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We are also subject to laws regarding the conduct of business overseas, such as the FCPA, the U.K. Bribery Act of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spacing w:after="0" w:line="196" w:lineRule="exact"/>
        <w:rPr>
          <w:sz w:val="20"/>
          <w:szCs w:val="20"/>
          <w:color w:val="auto"/>
        </w:rPr>
      </w:pPr>
    </w:p>
    <w:p>
      <w:pPr>
        <w:ind w:right="60" w:firstLine="23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Laws protecting patient health information. </w:t>
      </w:r>
      <w:r>
        <w:rPr>
          <w:rFonts w:ascii="Times New Roman" w:cs="Times New Roman" w:eastAsia="Times New Roman" w:hAnsi="Times New Roman"/>
          <w:sz w:val="18"/>
          <w:szCs w:val="18"/>
          <w:color w:val="auto"/>
        </w:rPr>
        <w:t>There are a number of federal and state laws protecting the confidentiality of certain patient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spacing w:after="0" w:line="190"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Transparency laws. </w:t>
      </w:r>
      <w:r>
        <w:rPr>
          <w:rFonts w:ascii="Times New Roman" w:cs="Times New Roman" w:eastAsia="Times New Roman" w:hAnsi="Times New Roman"/>
          <w:sz w:val="18"/>
          <w:szCs w:val="18"/>
          <w:color w:val="auto"/>
        </w:rPr>
        <w:t>The Sunshine Act, which was enacted by Congress as part of the Patient Protection and Affordable Care Act on December 14,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spacing w:after="0" w:line="187" w:lineRule="exact"/>
        <w:rPr>
          <w:sz w:val="20"/>
          <w:szCs w:val="20"/>
          <w:color w:val="auto"/>
        </w:rPr>
      </w:pPr>
    </w:p>
    <w:p>
      <w:pPr>
        <w:ind w:right="80" w:firstLine="234"/>
        <w:spacing w:after="0" w:line="257" w:lineRule="auto"/>
        <w:rPr>
          <w:sz w:val="20"/>
          <w:szCs w:val="20"/>
          <w:color w:val="auto"/>
        </w:rPr>
      </w:pP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The Dodd Frank Wall Street Reform and Consumer Protection Act and the rules promulgated by the SEC under such act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the necessary regulatory approvals in a specific country, we will not be able to market and sell our products in that country.</w:t>
      </w:r>
    </w:p>
    <w:p>
      <w:pPr>
        <w:spacing w:after="0" w:line="159" w:lineRule="exact"/>
        <w:rPr>
          <w:sz w:val="20"/>
          <w:szCs w:val="20"/>
          <w:color w:val="auto"/>
        </w:rPr>
      </w:pPr>
    </w:p>
    <w:p>
      <w:pPr>
        <w:ind w:right="40" w:firstLine="234"/>
        <w:spacing w:after="0" w:line="217" w:lineRule="exact"/>
        <w:rPr>
          <w:sz w:val="20"/>
          <w:szCs w:val="20"/>
          <w:color w:val="auto"/>
        </w:rPr>
      </w:pPr>
      <w:r>
        <w:rPr>
          <w:rFonts w:ascii="Times New Roman" w:cs="Times New Roman" w:eastAsia="Times New Roman" w:hAnsi="Times New Roman"/>
          <w:sz w:val="18"/>
          <w:szCs w:val="18"/>
          <w:color w:val="auto"/>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disruptive to our business to transfer the required regulatory approvals, particularly if such approvals are maintained by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spacing w:after="0" w:line="209" w:lineRule="exact"/>
        <w:rPr>
          <w:sz w:val="20"/>
          <w:szCs w:val="20"/>
          <w:color w:val="auto"/>
        </w:rPr>
      </w:pPr>
    </w:p>
    <w:p>
      <w:pPr>
        <w:ind w:firstLine="234"/>
        <w:spacing w:after="0" w:line="218" w:lineRule="exact"/>
        <w:rPr>
          <w:sz w:val="20"/>
          <w:szCs w:val="20"/>
          <w:color w:val="auto"/>
        </w:rPr>
      </w:pPr>
      <w:r>
        <w:rPr>
          <w:rFonts w:ascii="Times New Roman" w:cs="Times New Roman" w:eastAsia="Times New Roman" w:hAnsi="Times New Roman"/>
          <w:sz w:val="18"/>
          <w:szCs w:val="18"/>
          <w:color w:val="auto"/>
        </w:rPr>
        <w:t>Within the EU, we are required under the Medical Device Directive to affix the Conformité Européene (“CE”) mark on our products in order to sell the products in member countries of the EU. This conformity to the applicable directives is done through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spacing w:after="0" w:line="158" w:lineRule="exact"/>
        <w:rPr>
          <w:sz w:val="20"/>
          <w:szCs w:val="20"/>
          <w:color w:val="auto"/>
        </w:rPr>
      </w:pPr>
    </w:p>
    <w:p>
      <w:pPr>
        <w:ind w:right="20" w:firstLine="234"/>
        <w:spacing w:after="0" w:line="228" w:lineRule="exact"/>
        <w:rPr>
          <w:sz w:val="20"/>
          <w:szCs w:val="20"/>
          <w:color w:val="auto"/>
        </w:rPr>
      </w:pPr>
      <w:r>
        <w:rPr>
          <w:rFonts w:ascii="Times New Roman" w:cs="Times New Roman" w:eastAsia="Times New Roman" w:hAnsi="Times New Roman"/>
          <w:sz w:val="18"/>
          <w:szCs w:val="18"/>
          <w:color w:val="auto"/>
        </w:rPr>
        <w:t>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53" w:lineRule="auto"/>
        <w:rPr>
          <w:sz w:val="20"/>
          <w:szCs w:val="20"/>
          <w:color w:val="auto"/>
        </w:rPr>
      </w:pPr>
      <w:r>
        <w:rPr>
          <w:rFonts w:ascii="Times New Roman" w:cs="Times New Roman" w:eastAsia="Times New Roman" w:hAnsi="Times New Roman"/>
          <w:sz w:val="18"/>
          <w:szCs w:val="18"/>
          <w:color w:val="auto"/>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demand for our products, our revenue and our financial condition.</w:t>
      </w:r>
    </w:p>
    <w:p>
      <w:pPr>
        <w:spacing w:after="0" w:line="229"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spacing w:after="0" w:line="188" w:lineRule="exact"/>
        <w:rPr>
          <w:sz w:val="20"/>
          <w:szCs w:val="20"/>
          <w:color w:val="auto"/>
        </w:rPr>
      </w:pPr>
    </w:p>
    <w:p>
      <w:pPr>
        <w:ind w:right="140" w:firstLine="234"/>
        <w:spacing w:after="0" w:line="218" w:lineRule="exact"/>
        <w:rPr>
          <w:sz w:val="20"/>
          <w:szCs w:val="20"/>
          <w:color w:val="auto"/>
        </w:rPr>
      </w:pPr>
      <w:r>
        <w:rPr>
          <w:rFonts w:ascii="Times New Roman" w:cs="Times New Roman" w:eastAsia="Times New Roman" w:hAnsi="Times New Roman"/>
          <w:sz w:val="18"/>
          <w:szCs w:val="18"/>
          <w:color w:val="auto"/>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spacing w:after="0" w:line="204" w:lineRule="exact"/>
        <w:rPr>
          <w:sz w:val="20"/>
          <w:szCs w:val="20"/>
          <w:color w:val="auto"/>
        </w:rPr>
      </w:pPr>
    </w:p>
    <w:p>
      <w:pPr>
        <w:ind w:firstLine="234"/>
        <w:spacing w:after="0" w:line="255" w:lineRule="auto"/>
        <w:rPr>
          <w:sz w:val="20"/>
          <w:szCs w:val="20"/>
          <w:color w:val="auto"/>
        </w:rPr>
      </w:pPr>
      <w:r>
        <w:rPr>
          <w:rFonts w:ascii="Times New Roman" w:cs="Times New Roman" w:eastAsia="Times New Roman" w:hAnsi="Times New Roman"/>
          <w:sz w:val="18"/>
          <w:szCs w:val="18"/>
          <w:color w:val="auto"/>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continue to fluctuate significantly, which could lead to losses for stockholders.</w:t>
      </w:r>
    </w:p>
    <w:p>
      <w:pPr>
        <w:spacing w:after="0" w:line="229" w:lineRule="exact"/>
        <w:rPr>
          <w:sz w:val="20"/>
          <w:szCs w:val="20"/>
          <w:color w:val="auto"/>
        </w:rPr>
      </w:pPr>
    </w:p>
    <w:p>
      <w:pPr>
        <w:ind w:right="100" w:firstLine="234"/>
        <w:spacing w:after="0" w:line="255"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and has declined significantly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the other risk factors described above and below, factors affecting the trading price of our common stock include:</w:t>
      </w:r>
    </w:p>
    <w:p>
      <w:pPr>
        <w:spacing w:after="0" w:line="225" w:lineRule="exact"/>
        <w:rPr>
          <w:sz w:val="20"/>
          <w:szCs w:val="20"/>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as well as costs and expenditures;</w:t>
      </w:r>
    </w:p>
    <w:p>
      <w:pPr>
        <w:spacing w:after="0" w:line="225" w:lineRule="exact"/>
        <w:rPr>
          <w:rFonts w:ascii="Times New Roman" w:cs="Times New Roman" w:eastAsia="Times New Roman" w:hAnsi="Times New Roman"/>
          <w:sz w:val="18"/>
          <w:szCs w:val="18"/>
          <w:color w:val="auto"/>
        </w:rPr>
      </w:pPr>
    </w:p>
    <w:p>
      <w:pPr>
        <w:ind w:left="780" w:right="40" w:hanging="327"/>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or financial condition caused by concerns in connection with the global economic environment, supply chain disruptions or as a result of changes in government administration policy positions;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manufacturing, marketing or sale of the CyberKnife or TomoTherapy platform;</w:t>
      </w:r>
    </w:p>
    <w:p>
      <w:pPr>
        <w:spacing w:after="0" w:line="225" w:lineRule="exact"/>
        <w:rPr>
          <w:rFonts w:ascii="Times New Roman" w:cs="Times New Roman" w:eastAsia="Times New Roman" w:hAnsi="Times New Roman"/>
          <w:sz w:val="18"/>
          <w:szCs w:val="18"/>
          <w:color w:val="auto"/>
        </w:rPr>
      </w:pPr>
    </w:p>
    <w:p>
      <w:pPr>
        <w:ind w:left="780" w:right="80" w:hanging="327"/>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uncertainties, including as a result of the Russia-Ukraine conflict and recent escalation of conflict in Iran, the Middle East and Southwest Asia;</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w:t>
      </w:r>
    </w:p>
    <w:p>
      <w:pPr>
        <w:spacing w:after="0" w:line="225"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161" w:lineRule="exact"/>
        <w:rPr>
          <w:rFonts w:ascii="Times New Roman" w:cs="Times New Roman" w:eastAsia="Times New Roman" w:hAnsi="Times New Roman"/>
          <w:sz w:val="18"/>
          <w:szCs w:val="18"/>
          <w:color w:val="auto"/>
        </w:rPr>
      </w:pPr>
    </w:p>
    <w:p>
      <w:pPr>
        <w:ind w:left="780" w:right="300" w:hanging="327"/>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and our own estimates;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competitors and investor perception of the markets and industries in which we compete;</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strategic transactions or capital raising activities; and</w:t>
      </w:r>
    </w:p>
    <w:p>
      <w:pPr>
        <w:spacing w:after="0" w:line="225" w:lineRule="exact"/>
        <w:rPr>
          <w:rFonts w:ascii="Times New Roman" w:cs="Times New Roman" w:eastAsia="Times New Roman" w:hAnsi="Times New Roman"/>
          <w:sz w:val="18"/>
          <w:szCs w:val="18"/>
          <w:color w:val="auto"/>
        </w:rPr>
      </w:pPr>
    </w:p>
    <w:p>
      <w:pPr>
        <w:ind w:left="780" w:right="360" w:hanging="327"/>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 including the impact of increased inflation, a recession or instability in the banking and financial services sector.</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satisfy the Nasdaq Global Select Market continued listing standards and other Nasdaq rules, our common stock could be delisted, which would harm our business, the trading price of our common stock, our ability to raise additional capital and the liquidity of the market for our common stock.</w:t>
      </w:r>
    </w:p>
    <w:p>
      <w:pPr>
        <w:spacing w:after="0" w:line="175"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In order to maintain that listing, we must satisfy minimum financial and other requirements including, without limitation, a requirement that the closing bid price of our common stock be at least $1.00 per share. On February 2, 2026, we received a letter from Nasdaq indicating that, for the previous 30 consecutive business days, the bid price for the Company’s common stock had closed below the minimum $1.00 per share requirement for continued listing on Nasdaq under Nasdaq Listing Rule 5550(a)(2) (the “Minimum Bid Requirement”). Pursuant to Nasdaq Listing Rule 5810(c)(3)(A), we are provided an initial compliance period of 180 calendar days to regain compliance with the Minimum Bid Requirement. To regain compliance, the closing bid price of our common stock must meet or exceed $1.00 per share for a minimum of 10 consecutive business days prior to the deadline. If we do not achieve compliance with the Minimum Bid Requirement within 180 calendar days,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firstLine="162"/>
        <w:spacing w:after="0" w:line="261" w:lineRule="auto"/>
        <w:rPr>
          <w:sz w:val="20"/>
          <w:szCs w:val="20"/>
          <w:color w:val="auto"/>
        </w:rPr>
      </w:pPr>
      <w:r>
        <w:rPr>
          <w:rFonts w:ascii="Times New Roman" w:cs="Times New Roman" w:eastAsia="Times New Roman" w:hAnsi="Times New Roman"/>
          <w:sz w:val="18"/>
          <w:szCs w:val="18"/>
          <w:color w:val="auto"/>
        </w:rPr>
        <w:t>If we fail to regain compliance with the Minimum Bid Requirement, or if we fail to continue to meet all applicable continued listing requirements for Nasdaq in the future, Nasdaq could delist our shares of common stock. There can be no assurance that we will be able to regain compliance with</w:t>
      </w:r>
    </w:p>
    <w:p>
      <w:pPr>
        <w:ind w:right="60"/>
        <w:spacing w:after="0" w:line="252" w:lineRule="auto"/>
        <w:rPr>
          <w:sz w:val="20"/>
          <w:szCs w:val="20"/>
          <w:color w:val="auto"/>
        </w:rPr>
      </w:pPr>
      <w:r>
        <w:rPr>
          <w:rFonts w:ascii="Times New Roman" w:cs="Times New Roman" w:eastAsia="Times New Roman" w:hAnsi="Times New Roman"/>
          <w:sz w:val="18"/>
          <w:szCs w:val="18"/>
          <w:color w:val="auto"/>
        </w:rPr>
        <w:t>the Minimum Bid Requirement or maintain compliance with the other listing requirements. If our common stock were to be delisted from Nasdaq and was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reduced liquidity and marketability of our common stock, and reduced ability to access capital on favorable terms or at all, any of which could materially adversely affect our stockholders and cause the price of our common stock to further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could dilute the ownership interests of our stockholders.</w:t>
      </w:r>
    </w:p>
    <w:p>
      <w:pPr>
        <w:spacing w:after="0" w:line="229" w:lineRule="exact"/>
        <w:rPr>
          <w:sz w:val="20"/>
          <w:szCs w:val="20"/>
          <w:color w:val="auto"/>
        </w:rPr>
      </w:pPr>
    </w:p>
    <w:p>
      <w:pPr>
        <w:ind w:right="20" w:firstLine="234"/>
        <w:spacing w:after="0" w:line="258" w:lineRule="auto"/>
        <w:rPr>
          <w:sz w:val="20"/>
          <w:szCs w:val="20"/>
          <w:color w:val="auto"/>
        </w:rPr>
      </w:pPr>
      <w:r>
        <w:rPr>
          <w:rFonts w:ascii="Times New Roman" w:cs="Times New Roman" w:eastAsia="Times New Roman" w:hAnsi="Times New Roman"/>
          <w:sz w:val="18"/>
          <w:szCs w:val="18"/>
          <w:color w:val="auto"/>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 In addition, to the extent we issue common stock upon conversion of any outstanding convertible notes such as the 2026 Notes, that conversion would dilute the ownership interests of our stockholders.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for our common stock would increase the number of shares eligible for future resale in the public market and result in dilution to our stockholders.</w:t>
      </w:r>
    </w:p>
    <w:p>
      <w:pPr>
        <w:spacing w:after="0" w:line="159" w:lineRule="exact"/>
        <w:rPr>
          <w:sz w:val="20"/>
          <w:szCs w:val="20"/>
          <w:color w:val="auto"/>
        </w:rPr>
      </w:pPr>
    </w:p>
    <w:p>
      <w:pPr>
        <w:ind w:right="60" w:firstLine="252"/>
        <w:spacing w:after="0" w:line="253" w:lineRule="auto"/>
        <w:rPr>
          <w:sz w:val="20"/>
          <w:szCs w:val="20"/>
          <w:color w:val="auto"/>
        </w:rPr>
      </w:pPr>
      <w:r>
        <w:rPr>
          <w:rFonts w:ascii="Times New Roman" w:cs="Times New Roman" w:eastAsia="Times New Roman" w:hAnsi="Times New Roman"/>
          <w:sz w:val="18"/>
          <w:szCs w:val="18"/>
          <w:color w:val="auto"/>
        </w:rPr>
        <w:t>The exercise of outstanding warrants to acquire our common stock will increase the number of shares eligible for future resale in the public market and result in dilution to our stockholders. As of March 31, 2026, there are (i) 17,180,710 shares of our common stock issuable upon exercise of the June 2025 Premium Warrants, (ii) 6,247,531 shares of our common stock issuable upon exercise of the June 2025 Penny Warrants, (iii) 3,062,726 shares of common stock issuable upon exercise of the December 2025 Super Premium Warrants, (iv) 2,187,661 shares of common stock issuable upon exercise of the December 2025 Premium Warrants, and (v) 1,750,129 shares of common stock issuable upon exercise of December 2025 Penny Warrants. Sales of substantial numbers of such shares in the public market could adversely affect the market price of our shares. In addition, the perceived risk of dilution as a result of the number of outstanding Warrants may cause our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warrant holders can sell substantial amounts of our common stock in the public market could make it more difficult for us to raise additional funds through the sale of equity or equity-related securities in the future at a time and price that we deem reasonable or appropriate,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20" w:firstLine="252"/>
        <w:spacing w:after="0" w:line="258" w:lineRule="auto"/>
        <w:rPr>
          <w:sz w:val="20"/>
          <w:szCs w:val="20"/>
          <w:color w:val="auto"/>
        </w:rPr>
      </w:pPr>
      <w:r>
        <w:rPr>
          <w:rFonts w:ascii="Times New Roman" w:cs="Times New Roman" w:eastAsia="Times New Roman" w:hAnsi="Times New Roman"/>
          <w:sz w:val="18"/>
          <w:szCs w:val="18"/>
          <w:color w:val="auto"/>
        </w:rPr>
        <w:t>In addition, the Warrants have certain anti-dilution protection provisions, including price protection anti-dilution protection in the event that the Company sells stock at a price below $1.00 per share in the case of the Penny Warrants, $1.25 per share in the case of the June 2025 Premium Warrants, $0.93 per share in the case of the December 2025 Premium Warrants, and $1.12 per share in the case of the December 2025 Super Premium Warrants. Depending on the nature and price of any equity issuances by us, the number of shares of common stock issuable upon the exercise of such Warrants could be increased and that would likely make an equity financing more difficult.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the 2026 Notes, if triggered, may adversely affect our financial condition and operating results.</w:t>
      </w:r>
    </w:p>
    <w:p>
      <w:pPr>
        <w:spacing w:after="0" w:line="229" w:lineRule="exact"/>
        <w:rPr>
          <w:sz w:val="20"/>
          <w:szCs w:val="20"/>
          <w:color w:val="auto"/>
        </w:rPr>
      </w:pPr>
    </w:p>
    <w:p>
      <w:pPr>
        <w:ind w:firstLine="234"/>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features of the 2026 Notes are triggered, holders of the 2026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2026 Notes, the Financing Agreement for our Credit Facilities, our certificate of incorporation and our bylaws could discourage or prevent a takeover, even if an acquisition would be beneficial in the opinion of our stockholders.</w:t>
      </w:r>
    </w:p>
    <w:p>
      <w:pPr>
        <w:spacing w:after="0" w:line="118" w:lineRule="exact"/>
        <w:rPr>
          <w:sz w:val="20"/>
          <w:szCs w:val="20"/>
          <w:color w:val="auto"/>
        </w:rPr>
      </w:pPr>
    </w:p>
    <w:p>
      <w:pPr>
        <w:ind w:right="740" w:firstLine="234"/>
        <w:spacing w:after="0" w:line="245" w:lineRule="exact"/>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acquire us, even if doing so would be beneficial in the opinion of our stockholders. These provisions include:</w:t>
      </w:r>
    </w:p>
    <w:p>
      <w:pPr>
        <w:spacing w:after="0" w:line="199" w:lineRule="exact"/>
        <w:rPr>
          <w:sz w:val="20"/>
          <w:szCs w:val="20"/>
          <w:color w:val="auto"/>
        </w:rPr>
      </w:pPr>
    </w:p>
    <w:p>
      <w:pPr>
        <w:ind w:left="780" w:right="260" w:hanging="327"/>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could discourage a takeover attempt;</w:t>
      </w:r>
    </w:p>
    <w:p>
      <w:pPr>
        <w:spacing w:after="0" w:line="225" w:lineRule="exact"/>
        <w:rPr>
          <w:rFonts w:ascii="Times New Roman" w:cs="Times New Roman" w:eastAsia="Times New Roman" w:hAnsi="Times New Roman"/>
          <w:sz w:val="18"/>
          <w:szCs w:val="18"/>
          <w:color w:val="auto"/>
        </w:rPr>
      </w:pPr>
    </w:p>
    <w:p>
      <w:pPr>
        <w:ind w:left="780" w:right="240" w:hanging="327"/>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limit the ability of less than a majority of stockholders to elect director candidates;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requiring that all stockholder actions be taken at a meeting of our stockholders; and</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by stockholders at stockholder meetings.</w:t>
      </w:r>
    </w:p>
    <w:p>
      <w:pPr>
        <w:spacing w:after="0" w:line="162" w:lineRule="exact"/>
        <w:rPr>
          <w:sz w:val="20"/>
          <w:szCs w:val="20"/>
          <w:color w:val="auto"/>
        </w:rPr>
      </w:pPr>
    </w:p>
    <w:p>
      <w:pPr>
        <w:ind w:right="40" w:firstLine="234"/>
        <w:spacing w:after="0" w:line="229"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independent stockholders. The existence of these provisions could adversely affect the voting power of holders of common stock and limit the price that investors might be willing to pay in the future for shares of our common stock.</w:t>
      </w:r>
    </w:p>
    <w:p>
      <w:pPr>
        <w:spacing w:after="0" w:line="201" w:lineRule="exact"/>
        <w:rPr>
          <w:sz w:val="20"/>
          <w:szCs w:val="20"/>
          <w:color w:val="auto"/>
        </w:rPr>
      </w:pPr>
    </w:p>
    <w:p>
      <w:pPr>
        <w:jc w:val="both"/>
        <w:ind w:right="380" w:firstLine="234"/>
        <w:spacing w:after="0" w:line="232" w:lineRule="exact"/>
        <w:rPr>
          <w:sz w:val="20"/>
          <w:szCs w:val="20"/>
          <w:color w:val="auto"/>
        </w:rPr>
      </w:pPr>
      <w:r>
        <w:rPr>
          <w:rFonts w:ascii="Times New Roman" w:cs="Times New Roman" w:eastAsia="Times New Roman" w:hAnsi="Times New Roman"/>
          <w:sz w:val="18"/>
          <w:szCs w:val="18"/>
          <w:color w:val="auto"/>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outstanding under the Credit Facilities, including all accrued but unpaid interest thereon, to be accelerated and immediately due and payable.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34"/>
        <w:spacing w:after="0" w:line="219" w:lineRule="exact"/>
        <w:rPr>
          <w:sz w:val="20"/>
          <w:szCs w:val="20"/>
          <w:color w:val="auto"/>
        </w:rPr>
      </w:pPr>
      <w:r>
        <w:rPr>
          <w:rFonts w:ascii="Times New Roman" w:cs="Times New Roman" w:eastAsia="Times New Roman" w:hAnsi="Times New Roman"/>
          <w:sz w:val="18"/>
          <w:szCs w:val="18"/>
          <w:color w:val="auto"/>
        </w:rPr>
        <w:t>Furthermore, if a “fundamental change” (as such term is defined in the applicable indenture of the 2026 Notes) occurs, holders of the 2026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such term is defined in the applicable indenture of the 2026 Notes), we may also be required to increase the conversion rate applicable to the 2026 Notes surrendered for conversion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2026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could be adversely impacted by adverse conditions in the financial markets.</w:t>
      </w:r>
    </w:p>
    <w:p>
      <w:pPr>
        <w:spacing w:after="0" w:line="229" w:lineRule="exact"/>
        <w:rPr>
          <w:sz w:val="20"/>
          <w:szCs w:val="20"/>
          <w:color w:val="auto"/>
        </w:rPr>
      </w:pPr>
    </w:p>
    <w:p>
      <w:pPr>
        <w:ind w:right="80" w:firstLine="234"/>
        <w:spacing w:after="0" w:line="261" w:lineRule="auto"/>
        <w:rPr>
          <w:sz w:val="20"/>
          <w:szCs w:val="20"/>
          <w:color w:val="auto"/>
        </w:rPr>
      </w:pPr>
      <w:r>
        <w:rPr>
          <w:rFonts w:ascii="Times New Roman" w:cs="Times New Roman" w:eastAsia="Times New Roman" w:hAnsi="Times New Roman"/>
          <w:sz w:val="18"/>
          <w:szCs w:val="18"/>
          <w:color w:val="auto"/>
        </w:rPr>
        <w:t>At March 31, 2026, we had $38.1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spacing w:after="0" w:line="180" w:lineRule="exact"/>
        <w:rPr>
          <w:sz w:val="20"/>
          <w:szCs w:val="20"/>
          <w:color w:val="auto"/>
        </w:rPr>
      </w:pPr>
    </w:p>
    <w:p>
      <w:pPr>
        <w:ind w:right="280" w:firstLine="234"/>
        <w:spacing w:after="0" w:line="261"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make it more difficult to raise capital through either debt or equity offerings on commercially reasonable terms or at all.</w:t>
      </w:r>
    </w:p>
    <w:p>
      <w:pPr>
        <w:spacing w:after="0" w:line="180" w:lineRule="exact"/>
        <w:rPr>
          <w:sz w:val="20"/>
          <w:szCs w:val="20"/>
          <w:color w:val="auto"/>
        </w:rPr>
      </w:pPr>
    </w:p>
    <w:p>
      <w:pPr>
        <w:ind w:firstLine="234"/>
        <w:spacing w:after="0" w:line="261" w:lineRule="auto"/>
        <w:rPr>
          <w:sz w:val="20"/>
          <w:szCs w:val="20"/>
          <w:color w:val="auto"/>
        </w:rPr>
      </w:pPr>
      <w:r>
        <w:rPr>
          <w:rFonts w:ascii="Times New Roman" w:cs="Times New Roman" w:eastAsia="Times New Roman" w:hAnsi="Times New Roman"/>
          <w:sz w:val="18"/>
          <w:szCs w:val="18"/>
          <w:color w:val="auto"/>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spacing w:after="0" w:line="159" w:lineRule="exact"/>
        <w:rPr>
          <w:sz w:val="20"/>
          <w:szCs w:val="20"/>
          <w:color w:val="auto"/>
        </w:rPr>
      </w:pPr>
    </w:p>
    <w:p>
      <w:pPr>
        <w:ind w:right="60" w:firstLine="234"/>
        <w:spacing w:after="0" w:line="256" w:lineRule="auto"/>
        <w:rPr>
          <w:sz w:val="20"/>
          <w:szCs w:val="20"/>
          <w:color w:val="auto"/>
        </w:rPr>
      </w:pPr>
      <w:r>
        <w:rPr>
          <w:rFonts w:ascii="Times New Roman" w:cs="Times New Roman" w:eastAsia="Times New Roman" w:hAnsi="Times New Roman"/>
          <w:sz w:val="18"/>
          <w:szCs w:val="18"/>
          <w:color w:val="auto"/>
        </w:rPr>
        <w:t>Unexpected events beyond our control, including as a result of responses to epidemics or pandemics; fires or explosions; natural disasters, such as hurricanes, floods, tornadoes and earthquakes; war or terrorist activities (including the conflicts in Russia-Ukraine recent escalation of conflict in Iran, the Middle East and Southwest Asia);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34"/>
        <w:spacing w:after="0" w:line="253" w:lineRule="auto"/>
        <w:rPr>
          <w:sz w:val="20"/>
          <w:szCs w:val="20"/>
          <w:color w:val="auto"/>
        </w:rPr>
      </w:pPr>
      <w:r>
        <w:rPr>
          <w:rFonts w:ascii="Times New Roman" w:cs="Times New Roman" w:eastAsia="Times New Roman" w:hAnsi="Times New Roman"/>
          <w:sz w:val="18"/>
          <w:szCs w:val="18"/>
          <w:color w:val="auto"/>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w:t>
      </w:r>
    </w:p>
    <w:p>
      <w:pPr>
        <w:spacing w:after="0" w:line="192" w:lineRule="exact"/>
        <w:rPr>
          <w:sz w:val="20"/>
          <w:szCs w:val="20"/>
          <w:color w:val="auto"/>
        </w:rPr>
      </w:pPr>
    </w:p>
    <w:p>
      <w:pPr>
        <w:ind w:right="20" w:firstLine="234"/>
        <w:spacing w:after="0" w:line="252" w:lineRule="auto"/>
        <w:rPr>
          <w:sz w:val="20"/>
          <w:szCs w:val="20"/>
          <w:color w:val="auto"/>
        </w:rPr>
      </w:pPr>
      <w:r>
        <w:rPr>
          <w:rFonts w:ascii="Times New Roman" w:cs="Times New Roman" w:eastAsia="Times New Roman" w:hAnsi="Times New Roman"/>
          <w:sz w:val="18"/>
          <w:szCs w:val="18"/>
          <w:color w:val="auto"/>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 Further, Environmental, Social and Governance (“ESG”)-related laws continue to evolve in scope and complexity, including proposed, issued and implemented legislation and rulemakings in the EU and the State of California that would require companies to assess and/or disclose climate metrics, risks, opportunities, policies and practices. These initiatives are not always consistent and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has also been changing expectations from the market and other stakeholders with respect to ESG practices. Opinions, perspectives and expectations on ESG matters may differ among our stakeholders and may evolve over time. We have been and may continue to be subject to conflicting expectations and views on various matters, and legal requirements and interpretations may change.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 If we fail to comply with certain ESG-related laws, our products become non-compliant with such laws, or we fail to meet the expectations of our stakeholders on ESG-related matters, it could result in a loss of market access or a decline in our success in competitive bidding or public tender processes, and we could incur costs or face other sanctions, such as restrictions on our products entering certain jurisdictions, fines, and/or civil or criminal sanctions.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generally accepted accounting principles may adversely affect our operating results.</w:t>
      </w:r>
    </w:p>
    <w:p>
      <w:pPr>
        <w:spacing w:after="0" w:line="229" w:lineRule="exact"/>
        <w:rPr>
          <w:sz w:val="20"/>
          <w:szCs w:val="20"/>
          <w:color w:val="auto"/>
        </w:rPr>
      </w:pPr>
    </w:p>
    <w:p>
      <w:pPr>
        <w:ind w:firstLine="234"/>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foreseeable future.</w:t>
      </w:r>
    </w:p>
    <w:p>
      <w:pPr>
        <w:spacing w:after="0" w:line="229" w:lineRule="exact"/>
        <w:rPr>
          <w:sz w:val="20"/>
          <w:szCs w:val="20"/>
          <w:color w:val="auto"/>
        </w:rPr>
      </w:pPr>
    </w:p>
    <w:p>
      <w:pPr>
        <w:ind w:right="80" w:firstLine="23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860" w:firstLine="234"/>
        <w:spacing w:after="0" w:line="282" w:lineRule="auto"/>
        <w:rPr>
          <w:sz w:val="20"/>
          <w:szCs w:val="20"/>
          <w:color w:val="auto"/>
        </w:rPr>
      </w:pPr>
      <w:r>
        <w:rPr>
          <w:rFonts w:ascii="Times New Roman" w:cs="Times New Roman" w:eastAsia="Times New Roman" w:hAnsi="Times New Roman"/>
          <w:sz w:val="18"/>
          <w:szCs w:val="18"/>
          <w:color w:val="auto"/>
        </w:rPr>
        <w:t>During the third quarter of year fiscal 2026,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53"/>
        </w:trPr>
        <w:tc>
          <w:tcPr>
            <w:tcW w:w="12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060" w:type="dxa"/>
            <w:vAlign w:val="bottom"/>
            <w:gridSpan w:val="12"/>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gridSpan w:val="12"/>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9"/>
        </w:trPr>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5100" w:type="dxa"/>
            <w:vAlign w:val="bottom"/>
            <w:tcBorders>
              <w:top w:val="single" w:sz="8" w:color="auto"/>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Separation Agreement and General Release by and between Registrant</w:t>
              </w:r>
            </w:hyperlink>
          </w:p>
        </w:tc>
        <w:tc>
          <w:tcPr>
            <w:tcW w:w="300" w:type="dxa"/>
            <w:vAlign w:val="bottom"/>
            <w:tcBorders>
              <w:top w:val="single" w:sz="8" w:color="auto"/>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001-33301</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3/19/2026</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and Sandeep Chalke, dated March 13, 2026.</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520" w:type="dxa"/>
            <w:vAlign w:val="bottom"/>
            <w:gridSpan w:val="13"/>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Letter Agreement Amendment by and between Accuray Incorporated and</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001-33301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4/7/2026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Dedication Capital, LLC, dated April 1, 2026.</w:t>
              </w:r>
            </w:hyperlink>
          </w:p>
        </w:tc>
        <w:tc>
          <w:tcPr>
            <w:tcW w:w="1980" w:type="dxa"/>
            <w:vAlign w:val="bottom"/>
            <w:tcBorders>
              <w:top w:val="single" w:sz="8" w:color="0000EE"/>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13a-14(a) of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amended.</w:t>
            </w:r>
          </w:p>
        </w:tc>
        <w:tc>
          <w:tcPr>
            <w:tcW w:w="2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w:t>
            </w:r>
          </w:p>
        </w:tc>
        <w:tc>
          <w:tcPr>
            <w:tcW w:w="24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amended.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w:t>
            </w:r>
          </w:p>
        </w:tc>
        <w:tc>
          <w:tcPr>
            <w:tcW w:w="62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13a-14(b) of the Securities Exchange Act of 1934, as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amended, and 18 U.S.C. 1350.</w:t>
            </w:r>
          </w:p>
        </w:tc>
        <w:tc>
          <w:tcPr>
            <w:tcW w:w="4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firstLine="8"/>
        <w:spacing w:after="0" w:line="261"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 w:lineRule="exact"/>
        <w:rPr>
          <w:sz w:val="20"/>
          <w:szCs w:val="20"/>
          <w:color w:val="auto"/>
        </w:rPr>
      </w:pPr>
    </w:p>
    <w:p>
      <w:pPr>
        <w:ind w:left="568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STEVE LA NEVE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Steve La Neve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8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80"/>
          </w:cols>
          <w:pgMar w:left="320" w:top="121" w:right="3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La Neve,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 LA NEVE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 La Neve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Pervaiz, certify that:</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officers of Accuray Incorporated,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such officers’ knowledge, that:</w:t>
      </w:r>
    </w:p>
    <w:p>
      <w:pPr>
        <w:spacing w:after="0" w:line="205" w:lineRule="exact"/>
        <w:rPr>
          <w:sz w:val="20"/>
          <w:szCs w:val="20"/>
          <w:color w:val="auto"/>
        </w:rPr>
      </w:pPr>
    </w:p>
    <w:p>
      <w:pPr>
        <w:ind w:left="1460" w:hanging="480"/>
        <w:spacing w:after="0" w:line="284"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2026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0" w:lineRule="exact"/>
        <w:rPr>
          <w:rFonts w:ascii="Times New Roman" w:cs="Times New Roman" w:eastAsia="Times New Roman" w:hAnsi="Times New Roman"/>
          <w:sz w:val="18"/>
          <w:szCs w:val="18"/>
          <w:color w:val="auto"/>
        </w:rPr>
      </w:pPr>
    </w:p>
    <w:p>
      <w:pPr>
        <w:ind w:left="1460" w:hanging="480"/>
        <w:spacing w:after="0" w:line="282"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 LA NEVE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Steve La Neve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Pervaiz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lowerRoman"/>
      <w:start w:val="2"/>
    </w:lvl>
  </w:abstractNum>
  <w:abstractNum w:abstractNumId="7">
    <w:nsid w:val="79838CB2"/>
    <w:multiLevelType w:val="hybridMultilevel"/>
    <w:lvl w:ilvl="0">
      <w:lvlJc w:val="left"/>
      <w:lvlText w:val="(%1)"/>
      <w:numFmt w:val="lowerRoman"/>
      <w:start w:val="3"/>
    </w:lvl>
  </w:abstractNum>
  <w:abstractNum w:abstractNumId="8">
    <w:nsid w:val="4353D0CD"/>
    <w:multiLevelType w:val="hybridMultilevel"/>
    <w:lvl w:ilvl="0">
      <w:lvlJc w:val="left"/>
      <w:lvlText w:val="(%1)"/>
      <w:numFmt w:val="lowerRoman"/>
      <w:start w:val="2"/>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99" Type="http://schemas.openxmlformats.org/officeDocument/2006/relationships/hyperlink" Target="http://www.sec.gov/Archives/edgar/data/1138723/000143774926009046/ex_933552.htm" TargetMode="External"/><Relationship Id="rId100" Type="http://schemas.openxmlformats.org/officeDocument/2006/relationships/hyperlink" Target="http://www.sec.gov/Archives/edgar/data/1138723/000143774926011547/ex_9414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2026-05-06T15:25:06Z</dcterms:created>
  <dcterms:modified xsi:type="dcterms:W3CDTF">2026-05-06T15:25:06Z</dcterms:modified>
</cp:coreProperties>
</file>