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782955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113665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2" w:lineRule="exact"/>
        <w:rPr>
          <w:sz w:val="24"/>
          <w:szCs w:val="24"/>
          <w:color w:val="auto"/>
        </w:rPr>
      </w:pPr>
    </w:p>
    <w:p>
      <w:pPr>
        <w:ind w:left="480" w:right="220" w:hanging="459"/>
        <w:spacing w:after="0" w:line="262" w:lineRule="auto"/>
        <w:tabs>
          <w:tab w:leader="none" w:pos="48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December 31, 2024</w:t>
      </w:r>
    </w:p>
    <w:p>
      <w:pPr>
        <w:spacing w:after="0" w:line="1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21" w:lineRule="exact"/>
        <w:rPr>
          <w:sz w:val="24"/>
          <w:szCs w:val="24"/>
          <w:color w:val="auto"/>
        </w:rPr>
      </w:pPr>
    </w:p>
    <w:p>
      <w:pPr>
        <w:ind w:left="480" w:right="240" w:hanging="459"/>
        <w:spacing w:after="0" w:line="262" w:lineRule="auto"/>
        <w:tabs>
          <w:tab w:leader="none" w:pos="48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64" w:lineRule="exact"/>
        <w:rPr>
          <w:sz w:val="24"/>
          <w:szCs w:val="24"/>
          <w:color w:val="auto"/>
        </w:rPr>
      </w:pPr>
    </w:p>
    <w:p>
      <w:pPr>
        <w:ind w:left="4060"/>
        <w:spacing w:after="0"/>
        <w:tabs>
          <w:tab w:leader="none" w:pos="70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1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001-33301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ACCURAY INCORPORATED</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49" w:lineRule="exact"/>
        <w:rPr>
          <w:sz w:val="24"/>
          <w:szCs w:val="24"/>
          <w:color w:val="auto"/>
        </w:rPr>
      </w:pPr>
    </w:p>
    <w:tbl>
      <w:tblPr>
        <w:tblLayout w:type="fixed"/>
        <w:tblInd w:w="1820" w:type="dxa"/>
        <w:tblCellMar>
          <w:top w:w="0" w:type="dxa"/>
          <w:left w:w="0" w:type="dxa"/>
          <w:bottom w:w="0" w:type="dxa"/>
          <w:right w:w="0" w:type="dxa"/>
        </w:tblCellMar>
      </w:tblPr>
      <w:tr>
        <w:trPr>
          <w:trHeight w:val="214"/>
        </w:trPr>
        <w:tc>
          <w:tcPr>
            <w:tcW w:w="4000" w:type="dxa"/>
            <w:vAlign w:val="bottom"/>
          </w:tcPr>
          <w:p>
            <w:pPr>
              <w:jc w:val="center"/>
              <w:ind w:right="204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40" w:type="dxa"/>
            <w:vAlign w:val="bottom"/>
          </w:tcPr>
          <w:p>
            <w:pPr>
              <w:jc w:val="center"/>
              <w:ind w:left="2022"/>
              <w:spacing w:after="0"/>
              <w:rPr>
                <w:sz w:val="20"/>
                <w:szCs w:val="20"/>
                <w:color w:val="auto"/>
              </w:rPr>
            </w:pPr>
            <w:r>
              <w:rPr>
                <w:rFonts w:ascii="Times New Roman" w:cs="Times New Roman" w:eastAsia="Times New Roman" w:hAnsi="Times New Roman"/>
                <w:sz w:val="18"/>
                <w:szCs w:val="18"/>
                <w:b w:val="1"/>
                <w:bCs w:val="1"/>
                <w:color w:val="auto"/>
                <w:w w:val="98"/>
              </w:rPr>
              <w:t>20-8370041</w:t>
            </w:r>
          </w:p>
        </w:tc>
      </w:tr>
      <w:tr>
        <w:trPr>
          <w:trHeight w:val="149"/>
        </w:trPr>
        <w:tc>
          <w:tcPr>
            <w:tcW w:w="4000" w:type="dxa"/>
            <w:vAlign w:val="bottom"/>
          </w:tcPr>
          <w:p>
            <w:pPr>
              <w:jc w:val="center"/>
              <w:ind w:right="204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240" w:type="dxa"/>
            <w:vAlign w:val="bottom"/>
          </w:tcPr>
          <w:p>
            <w:pPr>
              <w:jc w:val="center"/>
              <w:ind w:left="202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000" w:type="dxa"/>
            <w:vAlign w:val="bottom"/>
          </w:tcPr>
          <w:p>
            <w:pPr>
              <w:jc w:val="center"/>
              <w:ind w:right="204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240" w:type="dxa"/>
            <w:vAlign w:val="bottom"/>
          </w:tcPr>
          <w:p>
            <w:pPr>
              <w:jc w:val="center"/>
              <w:ind w:left="202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1240 Deming Way</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Madison, Wisconsin 53717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Including Zip Code)</w:t>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(608) 824-2800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91440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26" w:lineRule="exact"/>
        <w:rPr>
          <w:sz w:val="24"/>
          <w:szCs w:val="24"/>
          <w:color w:val="auto"/>
        </w:rPr>
      </w:pPr>
    </w:p>
    <w:tbl>
      <w:tblPr>
        <w:tblLayout w:type="fixed"/>
        <w:tblInd w:w="10" w:type="dxa"/>
        <w:tblCellMar>
          <w:top w:w="0" w:type="dxa"/>
          <w:left w:w="0" w:type="dxa"/>
          <w:bottom w:w="0" w:type="dxa"/>
          <w:right w:w="0" w:type="dxa"/>
        </w:tblCellMar>
      </w:tblPr>
      <w:tr>
        <w:trPr>
          <w:trHeight w:val="287"/>
        </w:trPr>
        <w:tc>
          <w:tcPr>
            <w:tcW w:w="39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Title of each class</w:t>
            </w:r>
          </w:p>
        </w:tc>
        <w:tc>
          <w:tcPr>
            <w:tcW w:w="33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9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30"/>
        </w:trPr>
        <w:tc>
          <w:tcPr>
            <w:tcW w:w="39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ARAY</w:t>
            </w:r>
          </w:p>
        </w:tc>
        <w:tc>
          <w:tcPr>
            <w:tcW w:w="3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03" w:lineRule="exact"/>
        <w:rPr>
          <w:sz w:val="24"/>
          <w:szCs w:val="24"/>
          <w:color w:val="auto"/>
        </w:rPr>
      </w:pPr>
    </w:p>
    <w:p>
      <w:pPr>
        <w:ind w:right="40" w:firstLine="255"/>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76" w:lineRule="exact"/>
        <w:rPr>
          <w:sz w:val="24"/>
          <w:szCs w:val="24"/>
          <w:color w:val="auto"/>
        </w:rPr>
      </w:pPr>
    </w:p>
    <w:p>
      <w:pPr>
        <w:jc w:val="both"/>
        <w:ind w:right="80" w:firstLine="255"/>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20" w:firstLine="255"/>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1" w:lineRule="exact"/>
        <w:rPr>
          <w:sz w:val="24"/>
          <w:szCs w:val="24"/>
          <w:color w:val="auto"/>
        </w:rPr>
      </w:pPr>
    </w:p>
    <w:tbl>
      <w:tblPr>
        <w:tblLayout w:type="fixed"/>
        <w:tblInd w:w="20" w:type="dxa"/>
        <w:tblCellMar>
          <w:top w:w="0" w:type="dxa"/>
          <w:left w:w="0" w:type="dxa"/>
          <w:bottom w:w="0" w:type="dxa"/>
          <w:right w:w="0" w:type="dxa"/>
        </w:tblCellMar>
      </w:tblPr>
      <w:tr>
        <w:trPr>
          <w:trHeight w:val="221"/>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00" w:type="dxa"/>
            <w:vAlign w:val="bottom"/>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Accelerated filer</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00" w:type="dxa"/>
            <w:vAlign w:val="bottom"/>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4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478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Emerging growth company</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0" w:lineRule="exact"/>
        <w:rPr>
          <w:sz w:val="24"/>
          <w:szCs w:val="24"/>
          <w:color w:val="auto"/>
        </w:rPr>
      </w:pPr>
    </w:p>
    <w:p>
      <w:pPr>
        <w:ind w:right="240" w:firstLine="255"/>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35" w:lineRule="exact"/>
        <w:rPr>
          <w:sz w:val="24"/>
          <w:szCs w:val="24"/>
          <w:color w:val="auto"/>
        </w:rPr>
      </w:pPr>
    </w:p>
    <w:p>
      <w:pPr>
        <w:ind w:left="260" w:right="1500"/>
        <w:spacing w:after="0" w:line="304"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As of January 31, 2025, there were 102,830,522 shares of the Registrant’s Common Stock, par value $0.001 per share, outstanding.</w:t>
      </w:r>
    </w:p>
    <w:p>
      <w:pPr>
        <w:jc w:val="center"/>
        <w:spacing w:after="0" w:line="220" w:lineRule="auto"/>
        <w:rPr>
          <w:sz w:val="20"/>
          <w:szCs w:val="20"/>
          <w:color w:val="auto"/>
        </w:rPr>
      </w:pPr>
      <w:r>
        <w:rPr>
          <w:rFonts w:ascii="Times New Roman" w:cs="Times New Roman" w:eastAsia="Times New Roman" w:hAnsi="Times New Roman"/>
          <w:sz w:val="4"/>
          <w:szCs w:val="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8"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3" w:lineRule="exact"/>
        <w:rPr>
          <w:sz w:val="20"/>
          <w:szCs w:val="20"/>
          <w:color w:val="auto"/>
        </w:rPr>
      </w:pPr>
    </w:p>
    <w:tbl>
      <w:tblPr>
        <w:tblLayout w:type="fixed"/>
        <w:tblInd w:w="30" w:type="dxa"/>
        <w:tblCellMar>
          <w:top w:w="0" w:type="dxa"/>
          <w:left w:w="0" w:type="dxa"/>
          <w:bottom w:w="0" w:type="dxa"/>
          <w:right w:w="0" w:type="dxa"/>
        </w:tblCellMar>
      </w:tblPr>
      <w:tr>
        <w:trPr>
          <w:trHeight w:val="173"/>
        </w:trPr>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 No.</w:t>
            </w:r>
          </w:p>
        </w:tc>
      </w:tr>
      <w:tr>
        <w:trPr>
          <w:trHeight w:val="331"/>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50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700" w:type="dxa"/>
            <w:vAlign w:val="bottom"/>
          </w:tcPr>
          <w:p>
            <w:pPr>
              <w:spacing w:after="0"/>
              <w:rPr>
                <w:sz w:val="24"/>
                <w:szCs w:val="24"/>
                <w:color w:val="auto"/>
              </w:rPr>
            </w:pPr>
          </w:p>
        </w:tc>
      </w:tr>
      <w:tr>
        <w:trPr>
          <w:trHeight w:val="297"/>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5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Unaudited Condensed Consolidated Financial Statements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8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18"/>
        </w:trPr>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5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Unaudited Condensed Consolidated Balance Sheets as of December 31, 2024 and June 30, 2024</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8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tcBorders>
              <w:left w:val="single" w:sz="8" w:color="0000FF"/>
            </w:tcBorders>
            <w:gridSpan w:val="2"/>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500" w:type="dxa"/>
            <w:vAlign w:val="bottom"/>
            <w:tcBorders>
              <w:right w:val="single" w:sz="8" w:color="0000EE"/>
            </w:tcBorders>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18"/>
        </w:trPr>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5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Operations and Comprehensive Loss for the three and six months ended</w:t>
            </w:r>
          </w:p>
        </w:tc>
        <w:tc>
          <w:tcPr>
            <w:tcW w:w="700" w:type="dxa"/>
            <w:vAlign w:val="bottom"/>
          </w:tcPr>
          <w:p>
            <w:pPr>
              <w:spacing w:after="0"/>
              <w:rPr>
                <w:sz w:val="24"/>
                <w:szCs w:val="24"/>
                <w:color w:val="auto"/>
              </w:rPr>
            </w:pPr>
          </w:p>
        </w:tc>
      </w:tr>
      <w:tr>
        <w:trPr>
          <w:trHeight w:val="196"/>
        </w:trPr>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8680" w:type="dxa"/>
            <w:vAlign w:val="bottom"/>
            <w:tcBorders>
              <w:top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December 31, 2024 and 2023</w:t>
            </w:r>
          </w:p>
        </w:tc>
        <w:tc>
          <w:tcPr>
            <w:tcW w:w="620" w:type="dxa"/>
            <w:vAlign w:val="bottom"/>
            <w:gridSpan w:val="2"/>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tcBorders>
              <w:left w:val="single" w:sz="8" w:color="0000EE"/>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18"/>
        </w:trPr>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5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9"/>
              </w:rPr>
              <w:t>Unaudited Condensed Consolidated Statements of Stockholders’ Equity for the three and six months ended December 31, 2024 and</w:t>
            </w:r>
          </w:p>
        </w:tc>
        <w:tc>
          <w:tcPr>
            <w:tcW w:w="700" w:type="dxa"/>
            <w:vAlign w:val="bottom"/>
          </w:tcPr>
          <w:p>
            <w:pPr>
              <w:spacing w:after="0"/>
              <w:rPr>
                <w:sz w:val="24"/>
                <w:szCs w:val="24"/>
                <w:color w:val="auto"/>
              </w:rPr>
            </w:pPr>
          </w:p>
        </w:tc>
      </w:tr>
      <w:tr>
        <w:trPr>
          <w:trHeight w:val="196"/>
        </w:trPr>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36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4"/>
              </w:rPr>
              <w:t>2023</w:t>
            </w:r>
          </w:p>
        </w:tc>
        <w:tc>
          <w:tcPr>
            <w:tcW w:w="20" w:type="dxa"/>
            <w:vAlign w:val="bottom"/>
            <w:tcBorders>
              <w:top w:val="single" w:sz="8" w:color="0000FF"/>
              <w:bottom w:val="single" w:sz="8" w:color="0000EE"/>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18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1660" w:type="dxa"/>
            <w:vAlign w:val="bottom"/>
            <w:tcBorders>
              <w:top w:val="single" w:sz="8" w:color="0000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154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318"/>
        </w:trPr>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5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Cash Flows for the six months ended December 31, 2024 and 2023</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8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tcBorders>
              <w:left w:val="single" w:sz="8" w:color="0000FF"/>
            </w:tcBorders>
            <w:gridSpan w:val="2"/>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18"/>
        </w:trPr>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5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8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tcBorders>
              <w:left w:val="single" w:sz="8" w:color="0000FF"/>
            </w:tcBorders>
            <w:gridSpan w:val="2"/>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60" w:type="dxa"/>
            <w:vAlign w:val="bottom"/>
            <w:gridSpan w:val="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18"/>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5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0"/>
        </w:trPr>
        <w:tc>
          <w:tcPr>
            <w:tcW w:w="8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tcBorders>
              <w:left w:val="single" w:sz="8" w:color="0000FF"/>
            </w:tcBorders>
            <w:gridSpan w:val="2"/>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3060" w:type="dxa"/>
            <w:vAlign w:val="bottom"/>
            <w:gridSpan w:val="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18"/>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95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8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tcBorders>
              <w:left w:val="single" w:sz="8" w:color="0000FF"/>
            </w:tcBorders>
            <w:gridSpan w:val="2"/>
            <w:shd w:val="clear" w:color="auto" w:fill="0000FF"/>
          </w:tcPr>
          <w:p>
            <w:pPr>
              <w:spacing w:after="0" w:line="20" w:lineRule="exact"/>
              <w:rPr>
                <w:sz w:val="1"/>
                <w:szCs w:val="1"/>
                <w:color w:val="auto"/>
              </w:rPr>
            </w:pPr>
          </w:p>
        </w:tc>
        <w:tc>
          <w:tcPr>
            <w:tcW w:w="5180" w:type="dxa"/>
            <w:vAlign w:val="bottom"/>
            <w:tcBorders>
              <w:left w:val="single" w:sz="8" w:color="0000FF"/>
            </w:tcBorders>
            <w:gridSpan w:val="7"/>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18"/>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5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8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180" w:type="dxa"/>
            <w:vAlign w:val="bottom"/>
            <w:gridSpan w:val="7"/>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58"/>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50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700" w:type="dxa"/>
            <w:vAlign w:val="bottom"/>
          </w:tcPr>
          <w:p>
            <w:pPr>
              <w:spacing w:after="0"/>
              <w:rPr>
                <w:sz w:val="24"/>
                <w:szCs w:val="24"/>
                <w:color w:val="auto"/>
              </w:rPr>
            </w:pPr>
          </w:p>
        </w:tc>
      </w:tr>
      <w:tr>
        <w:trPr>
          <w:trHeight w:val="297"/>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5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0"/>
        </w:trPr>
        <w:tc>
          <w:tcPr>
            <w:tcW w:w="8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180" w:type="dxa"/>
            <w:vAlign w:val="bottom"/>
            <w:gridSpan w:val="7"/>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18"/>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5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0"/>
        </w:trPr>
        <w:tc>
          <w:tcPr>
            <w:tcW w:w="8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180" w:type="dxa"/>
            <w:vAlign w:val="bottom"/>
            <w:gridSpan w:val="7"/>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18"/>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5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0"/>
        </w:trPr>
        <w:tc>
          <w:tcPr>
            <w:tcW w:w="8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2020" w:type="dxa"/>
            <w:vAlign w:val="bottom"/>
            <w:tcBorders>
              <w:left w:val="single" w:sz="8" w:color="0000FF"/>
            </w:tcBorders>
            <w:gridSpan w:val="2"/>
            <w:shd w:val="clear" w:color="auto" w:fill="0000FF"/>
          </w:tcPr>
          <w:p>
            <w:pPr>
              <w:spacing w:after="0" w:line="20" w:lineRule="exact"/>
              <w:rPr>
                <w:sz w:val="1"/>
                <w:szCs w:val="1"/>
                <w:color w:val="auto"/>
              </w:rPr>
            </w:pPr>
          </w:p>
        </w:tc>
        <w:tc>
          <w:tcPr>
            <w:tcW w:w="5180" w:type="dxa"/>
            <w:vAlign w:val="bottom"/>
            <w:gridSpan w:val="7"/>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18"/>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95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0"/>
        </w:trPr>
        <w:tc>
          <w:tcPr>
            <w:tcW w:w="8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7200" w:type="dxa"/>
            <w:vAlign w:val="bottom"/>
            <w:gridSpan w:val="9"/>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18"/>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5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0"/>
        </w:trPr>
        <w:tc>
          <w:tcPr>
            <w:tcW w:w="8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7760" w:type="dxa"/>
            <w:vAlign w:val="bottom"/>
            <w:gridSpan w:val="1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18"/>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95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0"/>
        </w:trPr>
        <w:tc>
          <w:tcPr>
            <w:tcW w:w="8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200" w:type="dxa"/>
            <w:vAlign w:val="bottom"/>
            <w:gridSpan w:val="11"/>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18"/>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95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Exhibits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318"/>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20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0"/>
        </w:trPr>
        <w:tc>
          <w:tcPr>
            <w:tcW w:w="820" w:type="dxa"/>
            <w:vAlign w:val="bottom"/>
            <w:tcBorders>
              <w:lef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bl>
    <w:p>
      <w:pPr>
        <w:spacing w:after="0" w:line="225" w:lineRule="exact"/>
        <w:rPr>
          <w:sz w:val="20"/>
          <w:szCs w:val="20"/>
          <w:color w:val="auto"/>
        </w:rPr>
      </w:pPr>
    </w:p>
    <w:p>
      <w:pPr>
        <w:ind w:right="60" w:firstLine="255"/>
        <w:spacing w:after="0" w:line="237" w:lineRule="exact"/>
        <w:rPr>
          <w:sz w:val="20"/>
          <w:szCs w:val="20"/>
          <w:color w:val="auto"/>
        </w:rPr>
      </w:pPr>
      <w:r>
        <w:rPr>
          <w:rFonts w:ascii="Times New Roman" w:cs="Times New Roman" w:eastAsia="Times New Roman" w:hAnsi="Times New Roman"/>
          <w:sz w:val="18"/>
          <w:szCs w:val="18"/>
          <w:color w:val="auto"/>
        </w:rPr>
        <w:t>We own or have rights to various trademarks and tradenames used in our business in the United States or other countries, including the following: Accuray</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Accuray Logo</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CyberKnife</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Hi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Art</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RoboCouch</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Synchrony</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TomoTherapy</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xml:space="preserve"> Xsight</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Accuray Precision</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AutoSegmentation™, CTrue™, H™ Series, iDMS</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InCise™, Iris™, CyberKnife M6™ Series, Accuray OIS Connect™, PreciseART</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PreciseRTX</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Treatment Planning System™, TomoDirect™, TomoEDGE™, TomoH</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TomoHD</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TomoHDA™, TomoHelical™, TomoTherapy Quality Assurance™, Radixact</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Onrad ™, S7™, Accuray Helix™, CyberComm™, AEX</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ClearRT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XChange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and VoLO™.</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3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Unaudited Condensed Consolidated Financial Statements</w:t>
      </w:r>
    </w:p>
    <w:p>
      <w:pPr>
        <w:spacing w:after="0" w:line="131"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Accuray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amounts and par value)</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Pr>
          <w:p>
            <w:pPr>
              <w:spacing w:after="0"/>
              <w:rPr>
                <w:sz w:val="13"/>
                <w:szCs w:val="13"/>
                <w:color w:val="auto"/>
              </w:rPr>
            </w:pPr>
          </w:p>
        </w:tc>
        <w:tc>
          <w:tcPr>
            <w:tcW w:w="144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73"/>
        </w:trPr>
        <w:tc>
          <w:tcPr>
            <w:tcW w:w="75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09"/>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62,584</w:t>
            </w: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68,570</w:t>
            </w:r>
          </w:p>
        </w:tc>
        <w:tc>
          <w:tcPr>
            <w:tcW w:w="100" w:type="dxa"/>
            <w:vAlign w:val="bottom"/>
            <w:shd w:val="clear" w:color="auto" w:fill="CFF0FC"/>
          </w:tcPr>
          <w:p>
            <w:pPr>
              <w:spacing w:after="0"/>
              <w:rPr>
                <w:sz w:val="18"/>
                <w:szCs w:val="18"/>
                <w:color w:val="auto"/>
              </w:rPr>
            </w:pPr>
          </w:p>
        </w:tc>
      </w:tr>
      <w:tr>
        <w:trPr>
          <w:trHeight w:val="216"/>
        </w:trPr>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tcPr>
          <w:p>
            <w:pPr>
              <w:spacing w:after="0"/>
              <w:rPr>
                <w:sz w:val="18"/>
                <w:szCs w:val="18"/>
                <w:color w:val="auto"/>
              </w:rPr>
            </w:pPr>
          </w:p>
        </w:tc>
      </w:tr>
      <w:tr>
        <w:trPr>
          <w:trHeight w:val="198"/>
        </w:trPr>
        <w:tc>
          <w:tcPr>
            <w:tcW w:w="7520" w:type="dxa"/>
            <w:vAlign w:val="bottom"/>
            <w:shd w:val="clear" w:color="auto" w:fill="CFF0FC"/>
          </w:tcPr>
          <w:p>
            <w:pPr>
              <w:ind w:left="20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for credit losses of $821 and $2,251 as of December 31,</w:t>
            </w:r>
          </w:p>
        </w:tc>
        <w:tc>
          <w:tcPr>
            <w:tcW w:w="26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2024, and June 30, 2024, respectively (a)</w:t>
            </w:r>
          </w:p>
        </w:tc>
        <w:tc>
          <w:tcPr>
            <w:tcW w:w="26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87,275</w:t>
            </w:r>
          </w:p>
        </w:tc>
        <w:tc>
          <w:tcPr>
            <w:tcW w:w="3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92,001</w:t>
            </w:r>
          </w:p>
        </w:tc>
        <w:tc>
          <w:tcPr>
            <w:tcW w:w="100" w:type="dxa"/>
            <w:vAlign w:val="bottom"/>
            <w:shd w:val="clear" w:color="auto" w:fill="CFF0FC"/>
          </w:tcPr>
          <w:p>
            <w:pPr>
              <w:spacing w:after="0"/>
              <w:rPr>
                <w:sz w:val="20"/>
                <w:szCs w:val="20"/>
                <w:color w:val="auto"/>
              </w:rPr>
            </w:pPr>
          </w:p>
        </w:tc>
      </w:tr>
      <w:tr>
        <w:trPr>
          <w:trHeight w:val="216"/>
        </w:trPr>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Inventories, net</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148,826</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138,324</w:t>
            </w:r>
          </w:p>
        </w:tc>
        <w:tc>
          <w:tcPr>
            <w:tcW w:w="100" w:type="dxa"/>
            <w:vAlign w:val="bottom"/>
          </w:tcPr>
          <w:p>
            <w:pPr>
              <w:spacing w:after="0"/>
              <w:rPr>
                <w:sz w:val="18"/>
                <w:szCs w:val="18"/>
                <w:color w:val="auto"/>
              </w:rPr>
            </w:pPr>
          </w:p>
        </w:tc>
      </w:tr>
      <w:tr>
        <w:trPr>
          <w:trHeight w:val="216"/>
        </w:trPr>
        <w:tc>
          <w:tcPr>
            <w:tcW w:w="7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 (b)</w:t>
            </w:r>
          </w:p>
        </w:tc>
        <w:tc>
          <w:tcPr>
            <w:tcW w:w="2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25,440</w:t>
            </w: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23,006</w:t>
            </w:r>
          </w:p>
        </w:tc>
        <w:tc>
          <w:tcPr>
            <w:tcW w:w="100" w:type="dxa"/>
            <w:vAlign w:val="bottom"/>
            <w:shd w:val="clear" w:color="auto" w:fill="CFF0FC"/>
          </w:tcPr>
          <w:p>
            <w:pPr>
              <w:spacing w:after="0"/>
              <w:rPr>
                <w:sz w:val="18"/>
                <w:szCs w:val="18"/>
                <w:color w:val="auto"/>
              </w:rPr>
            </w:pPr>
          </w:p>
        </w:tc>
      </w:tr>
      <w:tr>
        <w:trPr>
          <w:trHeight w:val="216"/>
        </w:trPr>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cost of revenue</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3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tcPr>
          <w:p>
            <w:pPr>
              <w:spacing w:after="0"/>
              <w:rPr>
                <w:sz w:val="18"/>
                <w:szCs w:val="18"/>
                <w:color w:val="auto"/>
              </w:rPr>
            </w:pPr>
          </w:p>
        </w:tc>
      </w:tr>
      <w:tr>
        <w:trPr>
          <w:trHeight w:val="210"/>
        </w:trPr>
        <w:tc>
          <w:tcPr>
            <w:tcW w:w="75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325,891</w:t>
            </w: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323,236</w:t>
            </w:r>
          </w:p>
        </w:tc>
        <w:tc>
          <w:tcPr>
            <w:tcW w:w="100" w:type="dxa"/>
            <w:vAlign w:val="bottom"/>
            <w:shd w:val="clear" w:color="auto" w:fill="CFF0FC"/>
          </w:tcPr>
          <w:p>
            <w:pPr>
              <w:spacing w:after="0"/>
              <w:rPr>
                <w:sz w:val="18"/>
                <w:szCs w:val="18"/>
                <w:color w:val="auto"/>
              </w:rPr>
            </w:pPr>
          </w:p>
        </w:tc>
      </w:tr>
      <w:tr>
        <w:trPr>
          <w:trHeight w:val="216"/>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26,881</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24,774</w:t>
            </w:r>
          </w:p>
        </w:tc>
        <w:tc>
          <w:tcPr>
            <w:tcW w:w="100" w:type="dxa"/>
            <w:vAlign w:val="bottom"/>
          </w:tcPr>
          <w:p>
            <w:pPr>
              <w:spacing w:after="0"/>
              <w:rPr>
                <w:sz w:val="18"/>
                <w:szCs w:val="18"/>
                <w:color w:val="auto"/>
              </w:rPr>
            </w:pPr>
          </w:p>
        </w:tc>
      </w:tr>
      <w:tr>
        <w:trPr>
          <w:trHeight w:val="216"/>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 in joint venture</w:t>
            </w:r>
          </w:p>
        </w:tc>
        <w:tc>
          <w:tcPr>
            <w:tcW w:w="2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12,837</w:t>
            </w: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9,826</w:t>
            </w:r>
          </w:p>
        </w:tc>
        <w:tc>
          <w:tcPr>
            <w:tcW w:w="100" w:type="dxa"/>
            <w:vAlign w:val="bottom"/>
            <w:shd w:val="clear" w:color="auto" w:fill="CFF0FC"/>
          </w:tcPr>
          <w:p>
            <w:pPr>
              <w:spacing w:after="0"/>
              <w:rPr>
                <w:sz w:val="18"/>
                <w:szCs w:val="18"/>
                <w:color w:val="auto"/>
              </w:rPr>
            </w:pPr>
          </w:p>
        </w:tc>
      </w:tr>
      <w:tr>
        <w:trPr>
          <w:trHeight w:val="216"/>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31,716</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33,773</w:t>
            </w:r>
          </w:p>
        </w:tc>
        <w:tc>
          <w:tcPr>
            <w:tcW w:w="100" w:type="dxa"/>
            <w:vAlign w:val="bottom"/>
          </w:tcPr>
          <w:p>
            <w:pPr>
              <w:spacing w:after="0"/>
              <w:rPr>
                <w:sz w:val="18"/>
                <w:szCs w:val="18"/>
                <w:color w:val="auto"/>
              </w:rPr>
            </w:pPr>
          </w:p>
        </w:tc>
      </w:tr>
      <w:tr>
        <w:trPr>
          <w:trHeight w:val="216"/>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57,643</w:t>
            </w: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57,672</w:t>
            </w:r>
          </w:p>
        </w:tc>
        <w:tc>
          <w:tcPr>
            <w:tcW w:w="100" w:type="dxa"/>
            <w:vAlign w:val="bottom"/>
            <w:shd w:val="clear" w:color="auto" w:fill="CFF0FC"/>
          </w:tcPr>
          <w:p>
            <w:pPr>
              <w:spacing w:after="0"/>
              <w:rPr>
                <w:sz w:val="18"/>
                <w:szCs w:val="18"/>
                <w:color w:val="auto"/>
              </w:rPr>
            </w:pPr>
          </w:p>
        </w:tc>
      </w:tr>
      <w:tr>
        <w:trPr>
          <w:trHeight w:val="216"/>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100" w:type="dxa"/>
            <w:vAlign w:val="bottom"/>
          </w:tcPr>
          <w:p>
            <w:pPr>
              <w:spacing w:after="0"/>
              <w:rPr>
                <w:sz w:val="18"/>
                <w:szCs w:val="18"/>
                <w:color w:val="auto"/>
              </w:rPr>
            </w:pPr>
          </w:p>
        </w:tc>
      </w:tr>
      <w:tr>
        <w:trPr>
          <w:trHeight w:val="216"/>
        </w:trPr>
        <w:tc>
          <w:tcPr>
            <w:tcW w:w="7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22,043</w:t>
            </w:r>
          </w:p>
        </w:tc>
        <w:tc>
          <w:tcPr>
            <w:tcW w:w="3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18,009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478,382</w:t>
            </w:r>
          </w:p>
        </w:tc>
        <w:tc>
          <w:tcPr>
            <w:tcW w:w="30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468,627</w:t>
            </w:r>
          </w:p>
        </w:tc>
        <w:tc>
          <w:tcPr>
            <w:tcW w:w="100" w:type="dxa"/>
            <w:vAlign w:val="bottom"/>
          </w:tcPr>
          <w:p>
            <w:pPr>
              <w:spacing w:after="0"/>
              <w:rPr>
                <w:sz w:val="18"/>
                <w:szCs w:val="18"/>
                <w:color w:val="auto"/>
              </w:rPr>
            </w:pPr>
          </w:p>
        </w:tc>
      </w:tr>
      <w:tr>
        <w:trPr>
          <w:trHeight w:val="20"/>
        </w:trPr>
        <w:tc>
          <w:tcPr>
            <w:tcW w:w="7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52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53,991</w:t>
            </w: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50,020</w:t>
            </w:r>
          </w:p>
        </w:tc>
        <w:tc>
          <w:tcPr>
            <w:tcW w:w="100" w:type="dxa"/>
            <w:vAlign w:val="bottom"/>
            <w:shd w:val="clear" w:color="auto" w:fill="CFF0FC"/>
          </w:tcPr>
          <w:p>
            <w:pPr>
              <w:spacing w:after="0"/>
              <w:rPr>
                <w:sz w:val="18"/>
                <w:szCs w:val="18"/>
                <w:color w:val="auto"/>
              </w:rPr>
            </w:pPr>
          </w:p>
        </w:tc>
      </w:tr>
      <w:tr>
        <w:trPr>
          <w:trHeight w:val="216"/>
        </w:trPr>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compensation</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19,350</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17,128</w:t>
            </w:r>
          </w:p>
        </w:tc>
        <w:tc>
          <w:tcPr>
            <w:tcW w:w="100" w:type="dxa"/>
            <w:vAlign w:val="bottom"/>
          </w:tcPr>
          <w:p>
            <w:pPr>
              <w:spacing w:after="0"/>
              <w:rPr>
                <w:sz w:val="18"/>
                <w:szCs w:val="18"/>
                <w:color w:val="auto"/>
              </w:rPr>
            </w:pPr>
          </w:p>
        </w:tc>
      </w:tr>
      <w:tr>
        <w:trPr>
          <w:trHeight w:val="216"/>
        </w:trPr>
        <w:tc>
          <w:tcPr>
            <w:tcW w:w="7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7,518</w:t>
            </w: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6,218</w:t>
            </w:r>
          </w:p>
        </w:tc>
        <w:tc>
          <w:tcPr>
            <w:tcW w:w="100" w:type="dxa"/>
            <w:vAlign w:val="bottom"/>
            <w:shd w:val="clear" w:color="auto" w:fill="CFF0FC"/>
          </w:tcPr>
          <w:p>
            <w:pPr>
              <w:spacing w:after="0"/>
              <w:rPr>
                <w:sz w:val="18"/>
                <w:szCs w:val="18"/>
                <w:color w:val="auto"/>
              </w:rPr>
            </w:pPr>
          </w:p>
        </w:tc>
      </w:tr>
      <w:tr>
        <w:trPr>
          <w:trHeight w:val="216"/>
        </w:trPr>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27,987</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28,508</w:t>
            </w:r>
          </w:p>
        </w:tc>
        <w:tc>
          <w:tcPr>
            <w:tcW w:w="100" w:type="dxa"/>
            <w:vAlign w:val="bottom"/>
          </w:tcPr>
          <w:p>
            <w:pPr>
              <w:spacing w:after="0"/>
              <w:rPr>
                <w:sz w:val="18"/>
                <w:szCs w:val="18"/>
                <w:color w:val="auto"/>
              </w:rPr>
            </w:pPr>
          </w:p>
        </w:tc>
      </w:tr>
      <w:tr>
        <w:trPr>
          <w:trHeight w:val="216"/>
        </w:trPr>
        <w:tc>
          <w:tcPr>
            <w:tcW w:w="7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Customer advances</w:t>
            </w:r>
          </w:p>
        </w:tc>
        <w:tc>
          <w:tcPr>
            <w:tcW w:w="2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12,959</w:t>
            </w: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13,988</w:t>
            </w:r>
          </w:p>
        </w:tc>
        <w:tc>
          <w:tcPr>
            <w:tcW w:w="100" w:type="dxa"/>
            <w:vAlign w:val="bottom"/>
            <w:shd w:val="clear" w:color="auto" w:fill="CFF0FC"/>
          </w:tcPr>
          <w:p>
            <w:pPr>
              <w:spacing w:after="0"/>
              <w:rPr>
                <w:sz w:val="18"/>
                <w:szCs w:val="18"/>
                <w:color w:val="auto"/>
              </w:rPr>
            </w:pPr>
          </w:p>
        </w:tc>
      </w:tr>
      <w:tr>
        <w:trPr>
          <w:trHeight w:val="216"/>
        </w:trPr>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72,088</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71,649</w:t>
            </w:r>
          </w:p>
        </w:tc>
        <w:tc>
          <w:tcPr>
            <w:tcW w:w="100" w:type="dxa"/>
            <w:vAlign w:val="bottom"/>
          </w:tcPr>
          <w:p>
            <w:pPr>
              <w:spacing w:after="0"/>
              <w:rPr>
                <w:sz w:val="18"/>
                <w:szCs w:val="18"/>
                <w:color w:val="auto"/>
              </w:rPr>
            </w:pPr>
          </w:p>
        </w:tc>
      </w:tr>
      <w:tr>
        <w:trPr>
          <w:trHeight w:val="216"/>
        </w:trPr>
        <w:tc>
          <w:tcPr>
            <w:tcW w:w="75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Short-term debt</w:t>
            </w:r>
          </w:p>
        </w:tc>
        <w:tc>
          <w:tcPr>
            <w:tcW w:w="2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7,560</w:t>
            </w:r>
          </w:p>
        </w:tc>
        <w:tc>
          <w:tcPr>
            <w:tcW w:w="3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201,453</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195,267</w:t>
            </w:r>
          </w:p>
        </w:tc>
        <w:tc>
          <w:tcPr>
            <w:tcW w:w="100" w:type="dxa"/>
            <w:vAlign w:val="bottom"/>
          </w:tcPr>
          <w:p>
            <w:pPr>
              <w:spacing w:after="0"/>
              <w:rPr>
                <w:sz w:val="18"/>
                <w:szCs w:val="18"/>
                <w:color w:val="auto"/>
              </w:rPr>
            </w:pPr>
          </w:p>
        </w:tc>
      </w:tr>
      <w:tr>
        <w:trPr>
          <w:trHeight w:val="216"/>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liabilities:</w:t>
            </w:r>
          </w:p>
        </w:tc>
        <w:tc>
          <w:tcPr>
            <w:tcW w:w="2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30,459</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32,373</w:t>
            </w:r>
          </w:p>
        </w:tc>
        <w:tc>
          <w:tcPr>
            <w:tcW w:w="100" w:type="dxa"/>
            <w:vAlign w:val="bottom"/>
          </w:tcPr>
          <w:p>
            <w:pPr>
              <w:spacing w:after="0"/>
              <w:rPr>
                <w:sz w:val="18"/>
                <w:szCs w:val="18"/>
                <w:color w:val="auto"/>
              </w:rPr>
            </w:pPr>
          </w:p>
        </w:tc>
      </w:tr>
      <w:tr>
        <w:trPr>
          <w:trHeight w:val="216"/>
        </w:trPr>
        <w:tc>
          <w:tcPr>
            <w:tcW w:w="7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Long-term other liabilities</w:t>
            </w:r>
          </w:p>
        </w:tc>
        <w:tc>
          <w:tcPr>
            <w:tcW w:w="2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6,010</w:t>
            </w: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7,389</w:t>
            </w:r>
          </w:p>
        </w:tc>
        <w:tc>
          <w:tcPr>
            <w:tcW w:w="100" w:type="dxa"/>
            <w:vAlign w:val="bottom"/>
            <w:shd w:val="clear" w:color="auto" w:fill="CFF0FC"/>
          </w:tcPr>
          <w:p>
            <w:pPr>
              <w:spacing w:after="0"/>
              <w:rPr>
                <w:sz w:val="18"/>
                <w:szCs w:val="18"/>
                <w:color w:val="auto"/>
              </w:rPr>
            </w:pPr>
          </w:p>
        </w:tc>
      </w:tr>
      <w:tr>
        <w:trPr>
          <w:trHeight w:val="216"/>
        </w:trPr>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24,616</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24,114</w:t>
            </w:r>
          </w:p>
        </w:tc>
        <w:tc>
          <w:tcPr>
            <w:tcW w:w="100" w:type="dxa"/>
            <w:vAlign w:val="bottom"/>
          </w:tcPr>
          <w:p>
            <w:pPr>
              <w:spacing w:after="0"/>
              <w:rPr>
                <w:sz w:val="18"/>
                <w:szCs w:val="18"/>
                <w:color w:val="auto"/>
              </w:rPr>
            </w:pPr>
          </w:p>
        </w:tc>
      </w:tr>
      <w:tr>
        <w:trPr>
          <w:trHeight w:val="216"/>
        </w:trPr>
        <w:tc>
          <w:tcPr>
            <w:tcW w:w="75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Long-term debt</w:t>
            </w:r>
          </w:p>
        </w:tc>
        <w:tc>
          <w:tcPr>
            <w:tcW w:w="2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167,953</w:t>
            </w:r>
          </w:p>
        </w:tc>
        <w:tc>
          <w:tcPr>
            <w:tcW w:w="3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164,400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430,491</w:t>
            </w:r>
          </w:p>
        </w:tc>
        <w:tc>
          <w:tcPr>
            <w:tcW w:w="3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423,543</w:t>
            </w:r>
          </w:p>
        </w:tc>
        <w:tc>
          <w:tcPr>
            <w:tcW w:w="100" w:type="dxa"/>
            <w:vAlign w:val="bottom"/>
          </w:tcPr>
          <w:p>
            <w:pPr>
              <w:spacing w:after="0"/>
              <w:rPr>
                <w:sz w:val="18"/>
                <w:szCs w:val="18"/>
                <w:color w:val="auto"/>
              </w:rPr>
            </w:pPr>
          </w:p>
        </w:tc>
      </w:tr>
      <w:tr>
        <w:trPr>
          <w:trHeight w:val="210"/>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7)</w:t>
            </w:r>
          </w:p>
        </w:tc>
        <w:tc>
          <w:tcPr>
            <w:tcW w:w="2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520" w:type="dxa"/>
            <w:vAlign w:val="bottom"/>
            <w:shd w:val="clear" w:color="auto" w:fill="CFF0FC"/>
          </w:tcPr>
          <w:p>
            <w:pPr>
              <w:ind w:left="200"/>
              <w:spacing w:after="0" w:line="198" w:lineRule="exact"/>
              <w:rPr>
                <w:sz w:val="20"/>
                <w:szCs w:val="20"/>
                <w:color w:val="auto"/>
              </w:rPr>
            </w:pPr>
            <w:r>
              <w:rPr>
                <w:rFonts w:ascii="Times New Roman" w:cs="Times New Roman" w:eastAsia="Times New Roman" w:hAnsi="Times New Roman"/>
                <w:sz w:val="18"/>
                <w:szCs w:val="18"/>
                <w:color w:val="auto"/>
              </w:rPr>
              <w:t>Common stock, $0.001 par value; authorized: 200,000,000 shares as of December 31, 2024, and</w:t>
            </w:r>
          </w:p>
        </w:tc>
        <w:tc>
          <w:tcPr>
            <w:tcW w:w="26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June 30, 2024, respectively; issued and outstanding: 102,808,518 and 100,194,932 shares at</w:t>
            </w:r>
          </w:p>
        </w:tc>
        <w:tc>
          <w:tcPr>
            <w:tcW w:w="2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7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December 31, 2024, and June 30, 2024, respectively</w:t>
            </w:r>
          </w:p>
        </w:tc>
        <w:tc>
          <w:tcPr>
            <w:tcW w:w="26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3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FF0FC"/>
          </w:tcPr>
          <w:p>
            <w:pPr>
              <w:spacing w:after="0"/>
              <w:rPr>
                <w:sz w:val="20"/>
                <w:szCs w:val="20"/>
                <w:color w:val="auto"/>
              </w:rPr>
            </w:pPr>
          </w:p>
        </w:tc>
      </w:tr>
      <w:tr>
        <w:trPr>
          <w:trHeight w:val="216"/>
        </w:trPr>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paid-in-capital</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572,287</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566,887</w:t>
            </w:r>
          </w:p>
        </w:tc>
        <w:tc>
          <w:tcPr>
            <w:tcW w:w="100" w:type="dxa"/>
            <w:vAlign w:val="bottom"/>
          </w:tcPr>
          <w:p>
            <w:pPr>
              <w:spacing w:after="0"/>
              <w:rPr>
                <w:sz w:val="18"/>
                <w:szCs w:val="18"/>
                <w:color w:val="auto"/>
              </w:rPr>
            </w:pPr>
          </w:p>
        </w:tc>
      </w:tr>
      <w:tr>
        <w:trPr>
          <w:trHeight w:val="216"/>
        </w:trPr>
        <w:tc>
          <w:tcPr>
            <w:tcW w:w="7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6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(5,401 )</w:t>
            </w:r>
          </w:p>
        </w:tc>
        <w:tc>
          <w:tcPr>
            <w:tcW w:w="3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(4,222 )</w:t>
            </w:r>
          </w:p>
        </w:tc>
      </w:tr>
      <w:tr>
        <w:trPr>
          <w:trHeight w:val="216"/>
        </w:trPr>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tcPr>
          <w:p>
            <w:pPr>
              <w:spacing w:after="0"/>
              <w:rPr>
                <w:sz w:val="18"/>
                <w:szCs w:val="18"/>
                <w:color w:val="auto"/>
              </w:rPr>
            </w:pP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(519,098 )</w:t>
            </w:r>
          </w:p>
        </w:tc>
        <w:tc>
          <w:tcPr>
            <w:tcW w:w="3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(517,681 )</w:t>
            </w:r>
          </w:p>
        </w:tc>
      </w:tr>
      <w:tr>
        <w:trPr>
          <w:trHeight w:val="209"/>
        </w:trPr>
        <w:tc>
          <w:tcPr>
            <w:tcW w:w="75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47,891</w:t>
            </w:r>
          </w:p>
        </w:tc>
        <w:tc>
          <w:tcPr>
            <w:tcW w:w="3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45,084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478,382</w:t>
            </w:r>
          </w:p>
        </w:tc>
        <w:tc>
          <w:tcPr>
            <w:tcW w:w="30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468,627</w:t>
            </w:r>
          </w:p>
        </w:tc>
        <w:tc>
          <w:tcPr>
            <w:tcW w:w="100" w:type="dxa"/>
            <w:vAlign w:val="bottom"/>
          </w:tcPr>
          <w:p>
            <w:pPr>
              <w:spacing w:after="0"/>
              <w:rPr>
                <w:sz w:val="18"/>
                <w:szCs w:val="18"/>
                <w:color w:val="auto"/>
              </w:rPr>
            </w:pPr>
          </w:p>
        </w:tc>
      </w:tr>
      <w:tr>
        <w:trPr>
          <w:trHeight w:val="20"/>
        </w:trPr>
        <w:tc>
          <w:tcPr>
            <w:tcW w:w="7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-3805555</wp:posOffset>
            </wp:positionV>
            <wp:extent cx="68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-3805555</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-2399665</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-2399665</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-1567815</wp:posOffset>
            </wp:positionV>
            <wp:extent cx="6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-1567815</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-170815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ind w:left="380" w:hanging="372"/>
        <w:spacing w:after="0"/>
        <w:tabs>
          <w:tab w:leader="none" w:pos="3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accounts receivable from the joint venture, an equity method investment, of $26,082 and $25,339 at December 31, 2024, and June 30, 2024, respectively. See Note 12.</w:t>
      </w:r>
    </w:p>
    <w:p>
      <w:pPr>
        <w:spacing w:after="0" w:line="3" w:lineRule="exact"/>
        <w:rPr>
          <w:rFonts w:ascii="Times New Roman" w:cs="Times New Roman" w:eastAsia="Times New Roman" w:hAnsi="Times New Roman"/>
          <w:sz w:val="14"/>
          <w:szCs w:val="14"/>
          <w:color w:val="auto"/>
        </w:rPr>
      </w:pPr>
    </w:p>
    <w:p>
      <w:pPr>
        <w:ind w:left="380" w:hanging="372"/>
        <w:spacing w:after="0"/>
        <w:tabs>
          <w:tab w:leader="none" w:pos="3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other receivables from the joint venture, an equity method investment, of $377 and $743 at December 31, 2024, and June 30, 2024, respectively.</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Accuray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0" w:type="dxa"/>
            <w:vAlign w:val="bottom"/>
            <w:gridSpan w:val="5"/>
          </w:tcPr>
          <w:p>
            <w:pPr>
              <w:jc w:val="right"/>
              <w:ind w:right="10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3"/>
                <w:szCs w:val="13"/>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52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2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1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2"/>
                <w:szCs w:val="12"/>
                <w:color w:val="auto"/>
              </w:rPr>
            </w:pPr>
          </w:p>
        </w:tc>
      </w:tr>
      <w:tr>
        <w:trPr>
          <w:trHeight w:val="209"/>
        </w:trPr>
        <w:tc>
          <w:tcPr>
            <w:tcW w:w="5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Products (a)</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61,189</w:t>
            </w:r>
          </w:p>
        </w:tc>
        <w:tc>
          <w:tcPr>
            <w:tcW w:w="30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51,538</w:t>
            </w:r>
          </w:p>
        </w:tc>
        <w:tc>
          <w:tcPr>
            <w:tcW w:w="3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109,558</w:t>
            </w:r>
          </w:p>
        </w:tc>
        <w:tc>
          <w:tcPr>
            <w:tcW w:w="280" w:type="dxa"/>
            <w:vAlign w:val="bottom"/>
          </w:tcPr>
          <w:p>
            <w:pPr>
              <w:spacing w:after="0"/>
              <w:rPr>
                <w:sz w:val="18"/>
                <w:szCs w:val="18"/>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104,888</w:t>
            </w:r>
          </w:p>
        </w:tc>
        <w:tc>
          <w:tcPr>
            <w:tcW w:w="100" w:type="dxa"/>
            <w:vAlign w:val="bottom"/>
          </w:tcPr>
          <w:p>
            <w:pPr>
              <w:spacing w:after="0"/>
              <w:rPr>
                <w:sz w:val="18"/>
                <w:szCs w:val="18"/>
                <w:color w:val="auto"/>
              </w:rPr>
            </w:pPr>
          </w:p>
        </w:tc>
      </w:tr>
      <w:tr>
        <w:trPr>
          <w:trHeight w:val="216"/>
        </w:trPr>
        <w:tc>
          <w:tcPr>
            <w:tcW w:w="52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Services (b)</w:t>
            </w:r>
          </w:p>
        </w:tc>
        <w:tc>
          <w:tcPr>
            <w:tcW w:w="3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54,985</w:t>
            </w:r>
          </w:p>
        </w:tc>
        <w:tc>
          <w:tcPr>
            <w:tcW w:w="3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55,700</w:t>
            </w:r>
          </w:p>
        </w:tc>
        <w:tc>
          <w:tcPr>
            <w:tcW w:w="3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108,161</w:t>
            </w:r>
          </w:p>
        </w:tc>
        <w:tc>
          <w:tcPr>
            <w:tcW w:w="2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106,242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revenue</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116,174</w:t>
            </w:r>
          </w:p>
        </w:tc>
        <w:tc>
          <w:tcPr>
            <w:tcW w:w="3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107,238</w:t>
            </w:r>
          </w:p>
        </w:tc>
        <w:tc>
          <w:tcPr>
            <w:tcW w:w="3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217,719</w:t>
            </w:r>
          </w:p>
        </w:tc>
        <w:tc>
          <w:tcPr>
            <w:tcW w:w="2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211,130</w:t>
            </w:r>
          </w:p>
        </w:tc>
        <w:tc>
          <w:tcPr>
            <w:tcW w:w="100" w:type="dxa"/>
            <w:vAlign w:val="bottom"/>
          </w:tcPr>
          <w:p>
            <w:pPr>
              <w:spacing w:after="0"/>
              <w:rPr>
                <w:sz w:val="18"/>
                <w:szCs w:val="18"/>
                <w:color w:val="auto"/>
              </w:rPr>
            </w:pPr>
          </w:p>
        </w:tc>
      </w:tr>
      <w:tr>
        <w:trPr>
          <w:trHeight w:val="209"/>
        </w:trPr>
        <w:tc>
          <w:tcPr>
            <w:tcW w:w="5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products</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34,553</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34,333</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67,014</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70,032</w:t>
            </w:r>
          </w:p>
        </w:tc>
        <w:tc>
          <w:tcPr>
            <w:tcW w:w="100" w:type="dxa"/>
            <w:vAlign w:val="bottom"/>
          </w:tcPr>
          <w:p>
            <w:pPr>
              <w:spacing w:after="0"/>
              <w:rPr>
                <w:sz w:val="18"/>
                <w:szCs w:val="18"/>
                <w:color w:val="auto"/>
              </w:rPr>
            </w:pPr>
          </w:p>
        </w:tc>
      </w:tr>
      <w:tr>
        <w:trPr>
          <w:trHeight w:val="216"/>
        </w:trPr>
        <w:tc>
          <w:tcPr>
            <w:tcW w:w="52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 of services</w:t>
            </w:r>
          </w:p>
        </w:tc>
        <w:tc>
          <w:tcPr>
            <w:tcW w:w="3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39,729</w:t>
            </w:r>
          </w:p>
        </w:tc>
        <w:tc>
          <w:tcPr>
            <w:tcW w:w="3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37,003</w:t>
            </w:r>
          </w:p>
        </w:tc>
        <w:tc>
          <w:tcPr>
            <w:tcW w:w="3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74,344</w:t>
            </w:r>
          </w:p>
        </w:tc>
        <w:tc>
          <w:tcPr>
            <w:tcW w:w="2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65,703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Total cost of revenue </w:t>
            </w:r>
            <w:r>
              <w:rPr>
                <w:rFonts w:ascii="Times New Roman" w:cs="Times New Roman" w:eastAsia="Times New Roman" w:hAnsi="Times New Roman"/>
                <w:sz w:val="16"/>
                <w:szCs w:val="16"/>
                <w:color w:val="auto"/>
              </w:rPr>
              <w:t>(c)</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74,282</w:t>
            </w:r>
          </w:p>
        </w:tc>
        <w:tc>
          <w:tcPr>
            <w:tcW w:w="3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71,336</w:t>
            </w:r>
          </w:p>
        </w:tc>
        <w:tc>
          <w:tcPr>
            <w:tcW w:w="3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141,358</w:t>
            </w:r>
          </w:p>
        </w:tc>
        <w:tc>
          <w:tcPr>
            <w:tcW w:w="2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135,735</w:t>
            </w:r>
          </w:p>
        </w:tc>
        <w:tc>
          <w:tcPr>
            <w:tcW w:w="100" w:type="dxa"/>
            <w:vAlign w:val="bottom"/>
          </w:tcPr>
          <w:p>
            <w:pPr>
              <w:spacing w:after="0"/>
              <w:rPr>
                <w:sz w:val="18"/>
                <w:szCs w:val="18"/>
                <w:color w:val="auto"/>
              </w:rPr>
            </w:pPr>
          </w:p>
        </w:tc>
      </w:tr>
      <w:tr>
        <w:trPr>
          <w:trHeight w:val="209"/>
        </w:trPr>
        <w:tc>
          <w:tcPr>
            <w:tcW w:w="5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41,892</w:t>
            </w: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35,902</w:t>
            </w: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76,361</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75,395</w:t>
            </w:r>
          </w:p>
        </w:tc>
        <w:tc>
          <w:tcPr>
            <w:tcW w:w="100" w:type="dxa"/>
            <w:vAlign w:val="bottom"/>
            <w:shd w:val="clear" w:color="auto" w:fill="CFF0FC"/>
          </w:tcPr>
          <w:p>
            <w:pPr>
              <w:spacing w:after="0"/>
              <w:rPr>
                <w:sz w:val="18"/>
                <w:szCs w:val="18"/>
                <w:color w:val="auto"/>
              </w:rPr>
            </w:pPr>
          </w:p>
        </w:tc>
      </w:tr>
      <w:tr>
        <w:trPr>
          <w:trHeight w:val="216"/>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 xml:space="preserve">Research and development </w:t>
            </w:r>
            <w:r>
              <w:rPr>
                <w:rFonts w:ascii="Times New Roman" w:cs="Times New Roman" w:eastAsia="Times New Roman" w:hAnsi="Times New Roman"/>
                <w:sz w:val="16"/>
                <w:szCs w:val="16"/>
                <w:color w:val="auto"/>
              </w:rPr>
              <w:t>(d)</w:t>
            </w: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13,644</w:t>
            </w: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15,281</w:t>
            </w: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25,760</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29,294</w:t>
            </w:r>
          </w:p>
        </w:tc>
        <w:tc>
          <w:tcPr>
            <w:tcW w:w="100" w:type="dxa"/>
            <w:vAlign w:val="bottom"/>
            <w:shd w:val="clear" w:color="auto" w:fill="CFF0FC"/>
          </w:tcPr>
          <w:p>
            <w:pPr>
              <w:spacing w:after="0"/>
              <w:rPr>
                <w:sz w:val="18"/>
                <w:szCs w:val="18"/>
                <w:color w:val="auto"/>
              </w:rPr>
            </w:pPr>
          </w:p>
        </w:tc>
      </w:tr>
      <w:tr>
        <w:trPr>
          <w:trHeight w:val="216"/>
        </w:trPr>
        <w:tc>
          <w:tcPr>
            <w:tcW w:w="5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and marketing</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11,114</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11,361</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22,796</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21,605</w:t>
            </w:r>
          </w:p>
        </w:tc>
        <w:tc>
          <w:tcPr>
            <w:tcW w:w="100" w:type="dxa"/>
            <w:vAlign w:val="bottom"/>
          </w:tcPr>
          <w:p>
            <w:pPr>
              <w:spacing w:after="0"/>
              <w:rPr>
                <w:sz w:val="18"/>
                <w:szCs w:val="18"/>
                <w:color w:val="auto"/>
              </w:rPr>
            </w:pPr>
          </w:p>
        </w:tc>
      </w:tr>
      <w:tr>
        <w:trPr>
          <w:trHeight w:val="216"/>
        </w:trPr>
        <w:tc>
          <w:tcPr>
            <w:tcW w:w="52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12,427</w:t>
            </w:r>
          </w:p>
        </w:tc>
        <w:tc>
          <w:tcPr>
            <w:tcW w:w="3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13,224</w:t>
            </w:r>
          </w:p>
        </w:tc>
        <w:tc>
          <w:tcPr>
            <w:tcW w:w="3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25,247</w:t>
            </w:r>
          </w:p>
        </w:tc>
        <w:tc>
          <w:tcPr>
            <w:tcW w:w="2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26,247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37,185</w:t>
            </w:r>
          </w:p>
        </w:tc>
        <w:tc>
          <w:tcPr>
            <w:tcW w:w="3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39,866</w:t>
            </w:r>
          </w:p>
        </w:tc>
        <w:tc>
          <w:tcPr>
            <w:tcW w:w="3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73,803</w:t>
            </w:r>
          </w:p>
        </w:tc>
        <w:tc>
          <w:tcPr>
            <w:tcW w:w="2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77,146</w:t>
            </w:r>
          </w:p>
        </w:tc>
        <w:tc>
          <w:tcPr>
            <w:tcW w:w="100" w:type="dxa"/>
            <w:vAlign w:val="bottom"/>
          </w:tcPr>
          <w:p>
            <w:pPr>
              <w:spacing w:after="0"/>
              <w:rPr>
                <w:sz w:val="18"/>
                <w:szCs w:val="18"/>
                <w:color w:val="auto"/>
              </w:rPr>
            </w:pPr>
          </w:p>
        </w:tc>
      </w:tr>
      <w:tr>
        <w:trPr>
          <w:trHeight w:val="210"/>
        </w:trPr>
        <w:tc>
          <w:tcPr>
            <w:tcW w:w="5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4,707</w:t>
            </w: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(3,964 )</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2,558</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(1,751 )</w:t>
            </w:r>
          </w:p>
        </w:tc>
      </w:tr>
      <w:tr>
        <w:trPr>
          <w:trHeight w:val="216"/>
        </w:trPr>
        <w:tc>
          <w:tcPr>
            <w:tcW w:w="5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(loss) from equity method investment, net</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(427 )</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r>
      <w:tr>
        <w:trPr>
          <w:trHeight w:val="216"/>
        </w:trPr>
        <w:tc>
          <w:tcPr>
            <w:tcW w:w="5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(2,883 )</w:t>
            </w:r>
          </w:p>
        </w:tc>
        <w:tc>
          <w:tcPr>
            <w:tcW w:w="3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(2,922 )</w:t>
            </w:r>
          </w:p>
        </w:tc>
        <w:tc>
          <w:tcPr>
            <w:tcW w:w="2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(5,838 )</w:t>
            </w:r>
          </w:p>
        </w:tc>
        <w:tc>
          <w:tcPr>
            <w:tcW w:w="4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(5,844 )</w:t>
            </w:r>
          </w:p>
        </w:tc>
      </w:tr>
      <w:tr>
        <w:trPr>
          <w:trHeight w:val="216"/>
        </w:trPr>
        <w:tc>
          <w:tcPr>
            <w:tcW w:w="5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(196 )</w:t>
            </w:r>
          </w:p>
        </w:tc>
        <w:tc>
          <w:tcPr>
            <w:tcW w:w="36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(1,430 )</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(2,189 )</w:t>
            </w:r>
          </w:p>
        </w:tc>
      </w:tr>
      <w:tr>
        <w:trPr>
          <w:trHeight w:val="20"/>
        </w:trPr>
        <w:tc>
          <w:tcPr>
            <w:tcW w:w="5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3,232</w:t>
            </w: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(8,743 )</w:t>
            </w:r>
          </w:p>
        </w:tc>
        <w:tc>
          <w:tcPr>
            <w:tcW w:w="2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(97 )</w:t>
            </w:r>
          </w:p>
        </w:tc>
        <w:tc>
          <w:tcPr>
            <w:tcW w:w="4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(9,780 )</w:t>
            </w:r>
          </w:p>
        </w:tc>
      </w:tr>
      <w:tr>
        <w:trPr>
          <w:trHeight w:val="216"/>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3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3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2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2,810</w:t>
            </w:r>
          </w:p>
        </w:tc>
        <w:tc>
          <w:tcPr>
            <w:tcW w:w="100" w:type="dxa"/>
            <w:vAlign w:val="bottom"/>
          </w:tcPr>
          <w:p>
            <w:pPr>
              <w:spacing w:after="0"/>
              <w:rPr>
                <w:sz w:val="18"/>
                <w:szCs w:val="18"/>
                <w:color w:val="auto"/>
              </w:rPr>
            </w:pPr>
          </w:p>
        </w:tc>
      </w:tr>
      <w:tr>
        <w:trPr>
          <w:trHeight w:val="229"/>
        </w:trPr>
        <w:tc>
          <w:tcPr>
            <w:tcW w:w="5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2,537</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(9,621 )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(1,417 )</w:t>
            </w:r>
          </w:p>
        </w:tc>
        <w:tc>
          <w:tcPr>
            <w:tcW w:w="46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(12,590 )</w:t>
            </w:r>
          </w:p>
        </w:tc>
      </w:tr>
      <w:tr>
        <w:trPr>
          <w:trHeight w:val="20"/>
        </w:trPr>
        <w:tc>
          <w:tcPr>
            <w:tcW w:w="5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97"/>
        </w:trPr>
        <w:tc>
          <w:tcPr>
            <w:tcW w:w="52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(loss) per share - basic</w:t>
            </w:r>
          </w:p>
        </w:tc>
        <w:tc>
          <w:tcPr>
            <w:tcW w:w="300" w:type="dxa"/>
            <w:vAlign w:val="bottom"/>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0.03</w:t>
            </w:r>
          </w:p>
        </w:tc>
        <w:tc>
          <w:tcPr>
            <w:tcW w:w="300" w:type="dxa"/>
            <w:vAlign w:val="bottom"/>
          </w:tcPr>
          <w:p>
            <w:pPr>
              <w:spacing w:after="0"/>
              <w:rPr>
                <w:sz w:val="17"/>
                <w:szCs w:val="17"/>
                <w:color w:val="auto"/>
              </w:rPr>
            </w:pPr>
          </w:p>
        </w:tc>
        <w:tc>
          <w:tcPr>
            <w:tcW w:w="360" w:type="dxa"/>
            <w:vAlign w:val="bottom"/>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(0.10 )</w:t>
            </w:r>
          </w:p>
        </w:tc>
        <w:tc>
          <w:tcPr>
            <w:tcW w:w="280" w:type="dxa"/>
            <w:vAlign w:val="bottom"/>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(0.01 )</w:t>
            </w:r>
          </w:p>
        </w:tc>
        <w:tc>
          <w:tcPr>
            <w:tcW w:w="460" w:type="dxa"/>
            <w:vAlign w:val="bottom"/>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(0.13 )</w:t>
            </w:r>
          </w:p>
        </w:tc>
      </w:tr>
      <w:tr>
        <w:trPr>
          <w:trHeight w:val="20"/>
        </w:trPr>
        <w:tc>
          <w:tcPr>
            <w:tcW w:w="5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526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(loss) per share - diluted</w:t>
            </w:r>
          </w:p>
        </w:tc>
        <w:tc>
          <w:tcPr>
            <w:tcW w:w="300" w:type="dxa"/>
            <w:vAlign w:val="bottom"/>
            <w:shd w:val="clear" w:color="auto" w:fill="CFF0FC"/>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0.02</w:t>
            </w: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(0.10 )</w:t>
            </w:r>
          </w:p>
        </w:tc>
        <w:tc>
          <w:tcPr>
            <w:tcW w:w="280" w:type="dxa"/>
            <w:vAlign w:val="bottom"/>
            <w:shd w:val="clear" w:color="auto" w:fill="CFF0FC"/>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(0.01 )</w:t>
            </w:r>
          </w:p>
        </w:tc>
        <w:tc>
          <w:tcPr>
            <w:tcW w:w="460" w:type="dxa"/>
            <w:vAlign w:val="bottom"/>
            <w:shd w:val="clear" w:color="auto" w:fill="CFF0FC"/>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(0.13 )</w:t>
            </w:r>
          </w:p>
        </w:tc>
      </w:tr>
      <w:tr>
        <w:trPr>
          <w:trHeight w:val="178"/>
        </w:trPr>
        <w:tc>
          <w:tcPr>
            <w:tcW w:w="5260" w:type="dxa"/>
            <w:vAlign w:val="bottom"/>
            <w:tcBorders>
              <w:top w:val="single" w:sz="8" w:color="CFF0FC"/>
            </w:tcBorders>
          </w:tcPr>
          <w:p>
            <w:pPr>
              <w:ind w:left="20"/>
              <w:spacing w:after="0" w:line="178" w:lineRule="exact"/>
              <w:rPr>
                <w:sz w:val="20"/>
                <w:szCs w:val="20"/>
                <w:color w:val="auto"/>
              </w:rPr>
            </w:pPr>
            <w:r>
              <w:rPr>
                <w:rFonts w:ascii="Times New Roman" w:cs="Times New Roman" w:eastAsia="Times New Roman" w:hAnsi="Times New Roman"/>
                <w:sz w:val="18"/>
                <w:szCs w:val="18"/>
                <w:color w:val="auto"/>
              </w:rPr>
              <w:t>Weighted average common shares used in computing net income</w:t>
            </w:r>
          </w:p>
        </w:tc>
        <w:tc>
          <w:tcPr>
            <w:tcW w:w="3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300" w:type="dxa"/>
            <w:vAlign w:val="bottom"/>
            <w:tcBorders>
              <w:top w:val="single" w:sz="8" w:color="CFF0FC"/>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300" w:type="dxa"/>
            <w:vAlign w:val="bottom"/>
            <w:tcBorders>
              <w:top w:val="single" w:sz="8" w:color="CFF0FC"/>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80" w:type="dxa"/>
            <w:vAlign w:val="bottom"/>
            <w:tcBorders>
              <w:top w:val="single" w:sz="8" w:color="CFF0FC"/>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234"/>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per share:</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6"/>
        </w:trPr>
        <w:tc>
          <w:tcPr>
            <w:tcW w:w="52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101,405</w:t>
            </w:r>
          </w:p>
        </w:tc>
        <w:tc>
          <w:tcPr>
            <w:tcW w:w="30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97,776</w:t>
            </w:r>
          </w:p>
        </w:tc>
        <w:tc>
          <w:tcPr>
            <w:tcW w:w="30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100,796</w:t>
            </w:r>
          </w:p>
        </w:tc>
        <w:tc>
          <w:tcPr>
            <w:tcW w:w="280" w:type="dxa"/>
            <w:vAlign w:val="bottom"/>
            <w:tcBorders>
              <w:bottom w:val="single" w:sz="8" w:color="CFF0FC"/>
            </w:tcBorders>
            <w:shd w:val="clear" w:color="auto" w:fill="CFF0FC"/>
          </w:tcPr>
          <w:p>
            <w:pPr>
              <w:spacing w:after="0"/>
              <w:rPr>
                <w:sz w:val="22"/>
                <w:szCs w:val="22"/>
                <w:color w:val="auto"/>
              </w:rPr>
            </w:pPr>
          </w:p>
        </w:tc>
        <w:tc>
          <w:tcPr>
            <w:tcW w:w="460" w:type="dxa"/>
            <w:vAlign w:val="bottom"/>
            <w:tcBorders>
              <w:bottom w:val="single" w:sz="8" w:color="auto"/>
            </w:tcBorders>
            <w:shd w:val="clear" w:color="auto" w:fill="CFF0FC"/>
          </w:tcPr>
          <w:p>
            <w:pPr>
              <w:spacing w:after="0"/>
              <w:rPr>
                <w:sz w:val="22"/>
                <w:szCs w:val="22"/>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97,165</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196"/>
        </w:trPr>
        <w:tc>
          <w:tcPr>
            <w:tcW w:w="526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103,746</w:t>
            </w:r>
          </w:p>
        </w:tc>
        <w:tc>
          <w:tcPr>
            <w:tcW w:w="3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97,776</w:t>
            </w:r>
          </w:p>
        </w:tc>
        <w:tc>
          <w:tcPr>
            <w:tcW w:w="3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100,796</w:t>
            </w:r>
          </w:p>
        </w:tc>
        <w:tc>
          <w:tcPr>
            <w:tcW w:w="2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97,165</w:t>
            </w:r>
          </w:p>
        </w:tc>
        <w:tc>
          <w:tcPr>
            <w:tcW w:w="100" w:type="dxa"/>
            <w:vAlign w:val="bottom"/>
          </w:tcPr>
          <w:p>
            <w:pPr>
              <w:spacing w:after="0"/>
              <w:rPr>
                <w:sz w:val="17"/>
                <w:szCs w:val="17"/>
                <w:color w:val="auto"/>
              </w:rPr>
            </w:pPr>
          </w:p>
        </w:tc>
      </w:tr>
      <w:tr>
        <w:trPr>
          <w:trHeight w:val="20"/>
        </w:trPr>
        <w:tc>
          <w:tcPr>
            <w:tcW w:w="5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26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Other comprehensive loss:</w:t>
            </w:r>
          </w:p>
        </w:tc>
        <w:tc>
          <w:tcPr>
            <w:tcW w:w="3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2,537</w:t>
            </w:r>
          </w:p>
        </w:tc>
        <w:tc>
          <w:tcPr>
            <w:tcW w:w="30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(9,621 )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(1,417 )</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(12,590 )</w:t>
            </w:r>
          </w:p>
        </w:tc>
      </w:tr>
      <w:tr>
        <w:trPr>
          <w:trHeight w:val="216"/>
        </w:trPr>
        <w:tc>
          <w:tcPr>
            <w:tcW w:w="5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(2,919 )</w:t>
            </w:r>
          </w:p>
        </w:tc>
        <w:tc>
          <w:tcPr>
            <w:tcW w:w="3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2,773</w:t>
            </w: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(1,179 )</w:t>
            </w:r>
          </w:p>
        </w:tc>
        <w:tc>
          <w:tcPr>
            <w:tcW w:w="4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shd w:val="clear" w:color="auto" w:fill="CFF0FC"/>
          </w:tcPr>
          <w:p>
            <w:pPr>
              <w:spacing w:after="0"/>
              <w:rPr>
                <w:sz w:val="18"/>
                <w:szCs w:val="18"/>
                <w:color w:val="auto"/>
              </w:rPr>
            </w:pPr>
          </w:p>
        </w:tc>
      </w:tr>
      <w:tr>
        <w:trPr>
          <w:trHeight w:val="20"/>
        </w:trPr>
        <w:tc>
          <w:tcPr>
            <w:tcW w:w="5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(382 )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(6,848 )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(2,596 )</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(11,955 )</w:t>
            </w:r>
          </w:p>
        </w:tc>
      </w:tr>
      <w:tr>
        <w:trPr>
          <w:trHeight w:val="20"/>
        </w:trPr>
        <w:tc>
          <w:tcPr>
            <w:tcW w:w="5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-4070985</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-4070985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-4070985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-4070985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-3505200</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-3505200</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-3505200</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-3505200</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-2665095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-2665095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-2665095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-2665095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-1533525</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-1516380</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-1533525</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-1516380</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-1533525</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-1516380</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-1533525</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-1516380</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-1207770</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-1190625</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-1207770</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-1190625</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-1207770</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-1190625</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-1207770</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-1190625</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-770890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-753745</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-770890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-753745</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-770890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-753745</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-770890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-753745</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-170815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-170815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-170815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1" w:lineRule="exact"/>
        <w:rPr>
          <w:sz w:val="20"/>
          <w:szCs w:val="20"/>
          <w:color w:val="auto"/>
        </w:rPr>
      </w:pPr>
    </w:p>
    <w:p>
      <w:pPr>
        <w:ind w:left="380" w:right="160" w:hanging="372"/>
        <w:spacing w:after="0" w:line="261" w:lineRule="auto"/>
        <w:tabs>
          <w:tab w:leader="none" w:pos="3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sales of products to the joint venture, an equity method investment, of $29,722 and $58,366 during the three and six months ended December 31, 2024 and $17,890 and $39,842 during the three and six months ended December 31, 2023, respectively. See Note 12.</w:t>
      </w:r>
    </w:p>
    <w:p>
      <w:pPr>
        <w:spacing w:after="0" w:line="54" w:lineRule="exact"/>
        <w:rPr>
          <w:rFonts w:ascii="Times New Roman" w:cs="Times New Roman" w:eastAsia="Times New Roman" w:hAnsi="Times New Roman"/>
          <w:sz w:val="14"/>
          <w:szCs w:val="14"/>
          <w:color w:val="auto"/>
        </w:rPr>
      </w:pPr>
    </w:p>
    <w:p>
      <w:pPr>
        <w:ind w:left="380" w:right="80" w:hanging="372"/>
        <w:spacing w:after="0" w:line="261" w:lineRule="auto"/>
        <w:tabs>
          <w:tab w:leader="none" w:pos="3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sales of services to the joint venture, an equity method investment, of $5,179 and $9,237 during the three and six months ended December 31, 2024 and $4,134 and $6,988 during the three and six months ended December 31, 2023, respectively. See Note 12.</w:t>
      </w:r>
    </w:p>
    <w:p>
      <w:pPr>
        <w:spacing w:after="0" w:line="54" w:lineRule="exact"/>
        <w:rPr>
          <w:rFonts w:ascii="Times New Roman" w:cs="Times New Roman" w:eastAsia="Times New Roman" w:hAnsi="Times New Roman"/>
          <w:sz w:val="14"/>
          <w:szCs w:val="14"/>
          <w:color w:val="auto"/>
        </w:rPr>
      </w:pPr>
    </w:p>
    <w:p>
      <w:pPr>
        <w:ind w:left="380" w:right="120" w:hanging="372"/>
        <w:spacing w:after="0" w:line="261" w:lineRule="auto"/>
        <w:tabs>
          <w:tab w:leader="none" w:pos="3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cost of revenue from sales to the joint venture, an equity method investment, of $15,001 and $35,892 during the three and six months ended December 31, 2024 and $11,102 and $26,373 during the three and six months ended December 31, 2023, respectively.</w:t>
      </w:r>
    </w:p>
    <w:p>
      <w:pPr>
        <w:spacing w:after="0" w:line="54" w:lineRule="exact"/>
        <w:rPr>
          <w:rFonts w:ascii="Times New Roman" w:cs="Times New Roman" w:eastAsia="Times New Roman" w:hAnsi="Times New Roman"/>
          <w:sz w:val="14"/>
          <w:szCs w:val="14"/>
          <w:color w:val="auto"/>
        </w:rPr>
      </w:pPr>
    </w:p>
    <w:p>
      <w:pPr>
        <w:ind w:left="380" w:right="100" w:hanging="372"/>
        <w:spacing w:after="0" w:line="261" w:lineRule="auto"/>
        <w:tabs>
          <w:tab w:leader="none" w:pos="3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charge backs to the joint venture, an equity method investment, related to research and development of $377 and $732 during the three and six months ended December 31, 2024, and $67 and $199 during the three and six months ended December 31, 2023, respectively.</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Accuray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40" w:type="dxa"/>
            <w:vAlign w:val="bottom"/>
            <w:gridSpan w:val="7"/>
            <w:vMerge w:val="restart"/>
          </w:tcPr>
          <w:p>
            <w:pPr>
              <w:jc w:val="right"/>
              <w:ind w:right="72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ind w:left="10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7"/>
        </w:trPr>
        <w:tc>
          <w:tcPr>
            <w:tcW w:w="3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40" w:type="dxa"/>
            <w:vAlign w:val="bottom"/>
            <w:tcBorders>
              <w:bottom w:val="single" w:sz="8" w:color="auto"/>
            </w:tcBorders>
            <w:gridSpan w:val="7"/>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3"/>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80" w:type="dxa"/>
            <w:vAlign w:val="bottom"/>
          </w:tcPr>
          <w:p>
            <w:pPr>
              <w:spacing w:after="0"/>
              <w:rPr>
                <w:sz w:val="13"/>
                <w:szCs w:val="13"/>
                <w:color w:val="auto"/>
              </w:rPr>
            </w:pPr>
          </w:p>
        </w:tc>
        <w:tc>
          <w:tcPr>
            <w:tcW w:w="1260" w:type="dxa"/>
            <w:vAlign w:val="bottom"/>
            <w:gridSpan w:val="3"/>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120" w:type="dxa"/>
            <w:vAlign w:val="bottom"/>
          </w:tcPr>
          <w:p>
            <w:pPr>
              <w:spacing w:after="0"/>
              <w:rPr>
                <w:sz w:val="13"/>
                <w:szCs w:val="13"/>
                <w:color w:val="auto"/>
              </w:rPr>
            </w:pP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3"/>
                <w:szCs w:val="13"/>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42"/>
        </w:trPr>
        <w:tc>
          <w:tcPr>
            <w:tcW w:w="3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Borders>
              <w:bottom w:val="single" w:sz="8" w:color="auto"/>
            </w:tcBorders>
            <w:gridSpan w:val="2"/>
          </w:tcPr>
          <w:p>
            <w:pPr>
              <w:jc w:val="right"/>
              <w:ind w:right="360"/>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jc w:val="right"/>
              <w:ind w:right="280"/>
              <w:spacing w:after="0" w:line="142" w:lineRule="exact"/>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2"/>
          </w:tcPr>
          <w:p>
            <w:pPr>
              <w:jc w:val="right"/>
              <w:ind w:right="320"/>
              <w:spacing w:after="0" w:line="142" w:lineRule="exact"/>
              <w:rPr>
                <w:sz w:val="20"/>
                <w:szCs w:val="20"/>
                <w:color w:val="auto"/>
              </w:rPr>
            </w:pPr>
            <w:r>
              <w:rPr>
                <w:rFonts w:ascii="Times New Roman" w:cs="Times New Roman" w:eastAsia="Times New Roman" w:hAnsi="Times New Roman"/>
                <w:sz w:val="13"/>
                <w:szCs w:val="13"/>
                <w:b w:val="1"/>
                <w:bCs w:val="1"/>
                <w:color w:val="auto"/>
              </w:rPr>
              <w:t>Capital</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center"/>
              <w:ind w:right="53"/>
              <w:spacing w:after="0" w:line="142" w:lineRule="exact"/>
              <w:rPr>
                <w:sz w:val="20"/>
                <w:szCs w:val="20"/>
                <w:color w:val="auto"/>
              </w:rPr>
            </w:pPr>
            <w:r>
              <w:rPr>
                <w:rFonts w:ascii="Times New Roman" w:cs="Times New Roman" w:eastAsia="Times New Roman" w:hAnsi="Times New Roman"/>
                <w:sz w:val="13"/>
                <w:szCs w:val="13"/>
                <w:b w:val="1"/>
                <w:bCs w:val="1"/>
                <w:color w:val="auto"/>
              </w:rPr>
              <w:t>Loss</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3"/>
                <w:szCs w:val="13"/>
                <w:b w:val="1"/>
                <w:bCs w:val="1"/>
                <w:color w:val="auto"/>
              </w:rPr>
              <w:t>Deficit</w:t>
            </w: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35"/>
              <w:spacing w:after="0" w:line="142" w:lineRule="exact"/>
              <w:rPr>
                <w:sz w:val="20"/>
                <w:szCs w:val="20"/>
                <w:color w:val="auto"/>
              </w:rPr>
            </w:pPr>
            <w:r>
              <w:rPr>
                <w:rFonts w:ascii="Times New Roman" w:cs="Times New Roman" w:eastAsia="Times New Roman" w:hAnsi="Times New Roman"/>
                <w:sz w:val="13"/>
                <w:szCs w:val="13"/>
                <w:b w:val="1"/>
                <w:bCs w:val="1"/>
                <w:color w:val="auto"/>
              </w:rPr>
              <w:t>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7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2024</w:t>
            </w: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100,195</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gridSpan w:val="2"/>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566,887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(4,222 )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(517,681 )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45,084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00" w:type="dxa"/>
            <w:vAlign w:val="bottom"/>
            <w:tcBorders>
              <w:top w:val="single" w:sz="8" w:color="CFF0FC"/>
            </w:tcBorders>
            <w:gridSpan w:val="2"/>
          </w:tcPr>
          <w:p>
            <w:pPr>
              <w:ind w:left="20"/>
              <w:spacing w:after="0"/>
              <w:rPr>
                <w:sz w:val="20"/>
                <w:szCs w:val="20"/>
                <w:color w:val="auto"/>
              </w:rPr>
            </w:pPr>
            <w:r>
              <w:rPr>
                <w:rFonts w:ascii="Times New Roman" w:cs="Times New Roman" w:eastAsia="Times New Roman" w:hAnsi="Times New Roman"/>
                <w:sz w:val="18"/>
                <w:szCs w:val="18"/>
                <w:color w:val="auto"/>
              </w:rPr>
              <w:t>Issuance of common stock to employees</w:t>
            </w:r>
          </w:p>
        </w:tc>
        <w:tc>
          <w:tcPr>
            <w:tcW w:w="108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1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2,353</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16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(3,954 )</w:t>
            </w: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(3,954 )</w:t>
            </w:r>
          </w:p>
        </w:tc>
        <w:tc>
          <w:tcPr>
            <w:tcW w:w="0" w:type="dxa"/>
            <w:vAlign w:val="bottom"/>
          </w:tcPr>
          <w:p>
            <w:pPr>
              <w:spacing w:after="0"/>
              <w:rPr>
                <w:sz w:val="1"/>
                <w:szCs w:val="1"/>
                <w:color w:val="auto"/>
              </w:rPr>
            </w:pPr>
          </w:p>
        </w:tc>
      </w:tr>
      <w:tr>
        <w:trPr>
          <w:trHeight w:val="216"/>
        </w:trPr>
        <w:tc>
          <w:tcPr>
            <w:tcW w:w="370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080" w:type="dxa"/>
            <w:vAlign w:val="bottom"/>
            <w:tcBorders>
              <w:bottom w:val="single" w:sz="8" w:color="auto"/>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220" w:type="dxa"/>
            <w:vAlign w:val="bottom"/>
            <w:tcBorders>
              <w:bottom w:val="single" w:sz="8" w:color="CFF0FC"/>
              <w:right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right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2024</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100,435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569,240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(2,482 )</w:t>
            </w: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(521,635 )</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Issuance of common stock to employees</w:t>
            </w: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2,419</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853</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16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70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Tax withholding upon vesting of restricted stock</w:t>
            </w: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units</w:t>
            </w:r>
          </w:p>
        </w:tc>
        <w:tc>
          <w:tcPr>
            <w:tcW w:w="11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(45 )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(90 )</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(90 )</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1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2,284</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16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(2,919 )</w:t>
            </w:r>
          </w:p>
        </w:tc>
        <w:tc>
          <w:tcPr>
            <w:tcW w:w="120" w:type="dxa"/>
            <w:vAlign w:val="bottom"/>
            <w:shd w:val="clear" w:color="auto" w:fill="CFF0FC"/>
          </w:tcPr>
          <w:p>
            <w:pPr>
              <w:spacing w:after="0"/>
              <w:rPr>
                <w:sz w:val="18"/>
                <w:szCs w:val="18"/>
                <w:color w:val="auto"/>
              </w:rPr>
            </w:pPr>
          </w:p>
        </w:tc>
        <w:tc>
          <w:tcPr>
            <w:tcW w:w="116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(2,919 )</w:t>
            </w:r>
          </w:p>
        </w:tc>
        <w:tc>
          <w:tcPr>
            <w:tcW w:w="0" w:type="dxa"/>
            <w:vAlign w:val="bottom"/>
          </w:tcPr>
          <w:p>
            <w:pPr>
              <w:spacing w:after="0"/>
              <w:rPr>
                <w:sz w:val="1"/>
                <w:szCs w:val="1"/>
                <w:color w:val="auto"/>
              </w:rPr>
            </w:pPr>
          </w:p>
        </w:tc>
      </w:tr>
      <w:tr>
        <w:trPr>
          <w:trHeight w:val="20"/>
        </w:trPr>
        <w:tc>
          <w:tcPr>
            <w:tcW w:w="35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102,809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w:t>
            </w:r>
          </w:p>
        </w:tc>
        <w:tc>
          <w:tcPr>
            <w:tcW w:w="240" w:type="dxa"/>
            <w:vAlign w:val="bottom"/>
            <w:gridSpan w:val="2"/>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572,287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(5,401 )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(519,098 )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4"/>
        </w:trPr>
        <w:tc>
          <w:tcPr>
            <w:tcW w:w="3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3"/>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40" w:type="dxa"/>
            <w:vAlign w:val="bottom"/>
            <w:gridSpan w:val="6"/>
            <w:vMerge w:val="restart"/>
          </w:tcPr>
          <w:p>
            <w:pPr>
              <w:jc w:val="right"/>
              <w:ind w:right="672"/>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48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2"/>
        </w:trPr>
        <w:tc>
          <w:tcPr>
            <w:tcW w:w="35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gridSpan w:val="6"/>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3"/>
          </w:tcPr>
          <w:p>
            <w:pPr>
              <w:ind w:left="10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340" w:type="dxa"/>
            <w:vAlign w:val="bottom"/>
            <w:gridSpan w:val="4"/>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1280" w:type="dxa"/>
            <w:vAlign w:val="bottom"/>
            <w:gridSpan w:val="3"/>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3"/>
                <w:szCs w:val="13"/>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96"/>
        </w:trPr>
        <w:tc>
          <w:tcPr>
            <w:tcW w:w="35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gridSpan w:val="2"/>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220" w:type="dxa"/>
            <w:vAlign w:val="bottom"/>
            <w:gridSpan w:val="2"/>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center"/>
              <w:ind w:right="73"/>
              <w:spacing w:after="0"/>
              <w:rPr>
                <w:sz w:val="20"/>
                <w:szCs w:val="20"/>
                <w:color w:val="auto"/>
              </w:rPr>
            </w:pPr>
            <w:r>
              <w:rPr>
                <w:rFonts w:ascii="Times New Roman" w:cs="Times New Roman" w:eastAsia="Times New Roman" w:hAnsi="Times New Roman"/>
                <w:sz w:val="13"/>
                <w:szCs w:val="13"/>
                <w:b w:val="1"/>
                <w:bCs w:val="1"/>
                <w:color w:val="auto"/>
              </w:rPr>
              <w:t>Income (loss)</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2023</w:t>
            </w: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96,535</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555,276</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24"/>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2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(502,136 )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53,659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Issuance of common stock to employees</w:t>
            </w: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gridSpan w:val="2"/>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18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2,392</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tcBorders>
              <w:right w:val="single" w:sz="8" w:color="CFF0FC"/>
            </w:tcBorders>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16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(2,969 )</w:t>
            </w: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(2,969 )</w:t>
            </w:r>
          </w:p>
        </w:tc>
        <w:tc>
          <w:tcPr>
            <w:tcW w:w="0" w:type="dxa"/>
            <w:vAlign w:val="bottom"/>
          </w:tcPr>
          <w:p>
            <w:pPr>
              <w:spacing w:after="0"/>
              <w:rPr>
                <w:sz w:val="1"/>
                <w:szCs w:val="1"/>
                <w:color w:val="auto"/>
              </w:rPr>
            </w:pPr>
          </w:p>
        </w:tc>
      </w:tr>
      <w:tr>
        <w:trPr>
          <w:trHeight w:val="216"/>
        </w:trPr>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(2,138 )</w:t>
            </w:r>
          </w:p>
        </w:tc>
        <w:tc>
          <w:tcPr>
            <w:tcW w:w="120" w:type="dxa"/>
            <w:vAlign w:val="bottom"/>
            <w:shd w:val="clear" w:color="auto" w:fill="CFF0FC"/>
          </w:tcPr>
          <w:p>
            <w:pPr>
              <w:spacing w:after="0"/>
              <w:rPr>
                <w:sz w:val="18"/>
                <w:szCs w:val="18"/>
                <w:color w:val="auto"/>
              </w:rPr>
            </w:pPr>
          </w:p>
        </w:tc>
        <w:tc>
          <w:tcPr>
            <w:tcW w:w="116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(2,138 )</w:t>
            </w:r>
          </w:p>
        </w:tc>
        <w:tc>
          <w:tcPr>
            <w:tcW w:w="0" w:type="dxa"/>
            <w:vAlign w:val="bottom"/>
          </w:tcPr>
          <w:p>
            <w:pPr>
              <w:spacing w:after="0"/>
              <w:rPr>
                <w:sz w:val="1"/>
                <w:szCs w:val="1"/>
                <w:color w:val="auto"/>
              </w:rPr>
            </w:pPr>
          </w:p>
        </w:tc>
      </w:tr>
      <w:tr>
        <w:trPr>
          <w:trHeight w:val="20"/>
        </w:trPr>
        <w:tc>
          <w:tcPr>
            <w:tcW w:w="35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tcBorders>
              <w:right w:val="single" w:sz="8" w:color="CFF0FC"/>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2023</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96,727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557,668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(1,716 )</w:t>
            </w: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(505,105 )</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Issuance of common stock to employees</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2,484</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tcBorders>
              <w:right w:val="single" w:sz="8" w:color="CFF0FC"/>
            </w:tcBorders>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16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70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Tax withholding upon vesting of restricted</w:t>
            </w: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 units</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(117 )</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(117 )</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18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2,314</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tcBorders>
              <w:right w:val="single" w:sz="8" w:color="CFF0FC"/>
            </w:tcBorders>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16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(9,621 )</w:t>
            </w: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(9,621 )</w:t>
            </w:r>
          </w:p>
        </w:tc>
        <w:tc>
          <w:tcPr>
            <w:tcW w:w="0" w:type="dxa"/>
            <w:vAlign w:val="bottom"/>
          </w:tcPr>
          <w:p>
            <w:pPr>
              <w:spacing w:after="0"/>
              <w:rPr>
                <w:sz w:val="1"/>
                <w:szCs w:val="1"/>
                <w:color w:val="auto"/>
              </w:rPr>
            </w:pPr>
          </w:p>
        </w:tc>
      </w:tr>
      <w:tr>
        <w:trPr>
          <w:trHeight w:val="216"/>
        </w:trPr>
        <w:tc>
          <w:tcPr>
            <w:tcW w:w="3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gridSpan w:val="2"/>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gridSpan w:val="2"/>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2,773</w:t>
            </w:r>
          </w:p>
        </w:tc>
        <w:tc>
          <w:tcPr>
            <w:tcW w:w="220" w:type="dxa"/>
            <w:vAlign w:val="bottom"/>
            <w:tcBorders>
              <w:bottom w:val="single" w:sz="8" w:color="CFF0FC"/>
              <w:right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right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99,164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561,223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gridSpan w:val="2"/>
          </w:tcPr>
          <w:p>
            <w:pPr>
              <w:jc w:val="right"/>
              <w:ind w:right="24"/>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(514,726 )</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-4225290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-4225290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-4225290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-4225290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-4225290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-4225290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-3668395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-3668395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-3668395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-3668395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-3668395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-3668395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-2700020</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-2700020</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-2700020</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-2700020</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-2700020</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-2700020</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-1696720</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-1696720</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-1696720</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-1696720</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-1696720</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-1696720</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-1139190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-1139190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-1139190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-1139190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-1139190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-1139190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-170815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-170815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-170815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-170815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-170815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Accuray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00" w:lineRule="exact"/>
        <w:rPr>
          <w:sz w:val="20"/>
          <w:szCs w:val="20"/>
          <w:color w:val="auto"/>
        </w:rPr>
      </w:pPr>
    </w:p>
    <w:p>
      <w:pPr>
        <w:jc w:val="center"/>
        <w:ind w:left="8080"/>
        <w:spacing w:after="0"/>
        <w:rPr>
          <w:sz w:val="20"/>
          <w:szCs w:val="20"/>
          <w:color w:val="auto"/>
        </w:rPr>
      </w:pPr>
      <w:r>
        <w:rPr>
          <w:rFonts w:ascii="Times New Roman" w:cs="Times New Roman" w:eastAsia="Times New Roman" w:hAnsi="Times New Roman"/>
          <w:sz w:val="14"/>
          <w:szCs w:val="14"/>
          <w:b w:val="1"/>
          <w:bCs w:val="1"/>
          <w:color w:val="auto"/>
        </w:rPr>
        <w:t>Six Months Ended</w:t>
      </w:r>
    </w:p>
    <w:p>
      <w:pPr>
        <w:jc w:val="center"/>
        <w:ind w:left="808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822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5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3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r>
      <w:tr>
        <w:trPr>
          <w:trHeight w:val="209"/>
        </w:trPr>
        <w:tc>
          <w:tcPr>
            <w:tcW w:w="8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(1,417 )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(12,590 )</w:t>
            </w:r>
          </w:p>
        </w:tc>
      </w:tr>
      <w:tr>
        <w:trPr>
          <w:trHeight w:val="216"/>
        </w:trPr>
        <w:tc>
          <w:tcPr>
            <w:tcW w:w="8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8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2,977</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2,797</w:t>
            </w:r>
          </w:p>
        </w:tc>
        <w:tc>
          <w:tcPr>
            <w:tcW w:w="120" w:type="dxa"/>
            <w:vAlign w:val="bottom"/>
          </w:tcPr>
          <w:p>
            <w:pPr>
              <w:spacing w:after="0"/>
              <w:rPr>
                <w:sz w:val="18"/>
                <w:szCs w:val="18"/>
                <w:color w:val="auto"/>
              </w:rPr>
            </w:pPr>
          </w:p>
        </w:tc>
      </w:tr>
      <w:tr>
        <w:trPr>
          <w:trHeight w:val="216"/>
        </w:trPr>
        <w:tc>
          <w:tcPr>
            <w:tcW w:w="82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Share-based compensation</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4,637</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4,706</w:t>
            </w:r>
          </w:p>
        </w:tc>
        <w:tc>
          <w:tcPr>
            <w:tcW w:w="120" w:type="dxa"/>
            <w:vAlign w:val="bottom"/>
            <w:shd w:val="clear" w:color="auto" w:fill="CFF0FC"/>
          </w:tcPr>
          <w:p>
            <w:pPr>
              <w:spacing w:after="0"/>
              <w:rPr>
                <w:sz w:val="18"/>
                <w:szCs w:val="18"/>
                <w:color w:val="auto"/>
              </w:rPr>
            </w:pPr>
          </w:p>
        </w:tc>
      </w:tr>
      <w:tr>
        <w:trPr>
          <w:trHeight w:val="216"/>
        </w:trPr>
        <w:tc>
          <w:tcPr>
            <w:tcW w:w="8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20" w:type="dxa"/>
            <w:vAlign w:val="bottom"/>
          </w:tcPr>
          <w:p>
            <w:pPr>
              <w:spacing w:after="0"/>
              <w:rPr>
                <w:sz w:val="18"/>
                <w:szCs w:val="18"/>
                <w:color w:val="auto"/>
              </w:rPr>
            </w:pPr>
          </w:p>
        </w:tc>
      </w:tr>
      <w:tr>
        <w:trPr>
          <w:trHeight w:val="216"/>
        </w:trPr>
        <w:tc>
          <w:tcPr>
            <w:tcW w:w="82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Provision (recovery) from credit losses</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(218 )</w:t>
            </w:r>
          </w:p>
        </w:tc>
      </w:tr>
      <w:tr>
        <w:trPr>
          <w:trHeight w:val="216"/>
        </w:trPr>
        <w:tc>
          <w:tcPr>
            <w:tcW w:w="8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Provision for write-down of inventories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2,231</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2,676</w:t>
            </w:r>
          </w:p>
        </w:tc>
        <w:tc>
          <w:tcPr>
            <w:tcW w:w="120" w:type="dxa"/>
            <w:vAlign w:val="bottom"/>
          </w:tcPr>
          <w:p>
            <w:pPr>
              <w:spacing w:after="0"/>
              <w:rPr>
                <w:sz w:val="18"/>
                <w:szCs w:val="18"/>
                <w:color w:val="auto"/>
              </w:rPr>
            </w:pPr>
          </w:p>
        </w:tc>
      </w:tr>
      <w:tr>
        <w:trPr>
          <w:trHeight w:val="216"/>
        </w:trPr>
        <w:tc>
          <w:tcPr>
            <w:tcW w:w="82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(Income) loss from equity method investment</w:t>
            </w:r>
          </w:p>
        </w:tc>
        <w:tc>
          <w:tcPr>
            <w:tcW w:w="3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rPr>
              <w:t>(1,532 )</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16"/>
        </w:trPr>
        <w:tc>
          <w:tcPr>
            <w:tcW w:w="8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recognized gross profit on sales to the JV</w:t>
            </w:r>
          </w:p>
        </w:tc>
        <w:tc>
          <w:tcPr>
            <w:tcW w:w="320" w:type="dxa"/>
            <w:vAlign w:val="bottom"/>
          </w:tcPr>
          <w:p>
            <w:pPr>
              <w:spacing w:after="0"/>
              <w:rPr>
                <w:sz w:val="18"/>
                <w:szCs w:val="18"/>
                <w:color w:val="auto"/>
              </w:rPr>
            </w:pPr>
          </w:p>
        </w:tc>
        <w:tc>
          <w:tcPr>
            <w:tcW w:w="12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(894 )</w:t>
            </w:r>
          </w:p>
        </w:tc>
        <w:tc>
          <w:tcPr>
            <w:tcW w:w="3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(294 )</w:t>
            </w:r>
          </w:p>
        </w:tc>
      </w:tr>
      <w:tr>
        <w:trPr>
          <w:trHeight w:val="216"/>
        </w:trPr>
        <w:tc>
          <w:tcPr>
            <w:tcW w:w="82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Provision for deferred income taxes</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20" w:type="dxa"/>
            <w:vAlign w:val="bottom"/>
            <w:shd w:val="clear" w:color="auto" w:fill="CFF0FC"/>
          </w:tcPr>
          <w:p>
            <w:pPr>
              <w:spacing w:after="0"/>
              <w:rPr>
                <w:sz w:val="18"/>
                <w:szCs w:val="18"/>
                <w:color w:val="auto"/>
              </w:rPr>
            </w:pPr>
          </w:p>
        </w:tc>
      </w:tr>
      <w:tr>
        <w:trPr>
          <w:trHeight w:val="216"/>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2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(357 )</w:t>
            </w:r>
          </w:p>
        </w:tc>
      </w:tr>
      <w:tr>
        <w:trPr>
          <w:trHeight w:val="216"/>
        </w:trPr>
        <w:tc>
          <w:tcPr>
            <w:tcW w:w="8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Inventories</w:t>
            </w:r>
          </w:p>
        </w:tc>
        <w:tc>
          <w:tcPr>
            <w:tcW w:w="320" w:type="dxa"/>
            <w:vAlign w:val="bottom"/>
          </w:tcPr>
          <w:p>
            <w:pPr>
              <w:spacing w:after="0"/>
              <w:rPr>
                <w:sz w:val="18"/>
                <w:szCs w:val="18"/>
                <w:color w:val="auto"/>
              </w:rPr>
            </w:pPr>
          </w:p>
        </w:tc>
        <w:tc>
          <w:tcPr>
            <w:tcW w:w="12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(17,103 )</w:t>
            </w:r>
          </w:p>
        </w:tc>
        <w:tc>
          <w:tcPr>
            <w:tcW w:w="3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(14,641 )</w:t>
            </w:r>
          </w:p>
        </w:tc>
      </w:tr>
      <w:tr>
        <w:trPr>
          <w:trHeight w:val="216"/>
        </w:trPr>
        <w:tc>
          <w:tcPr>
            <w:tcW w:w="82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rPr>
              <w:t>(4,135 )</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120" w:type="dxa"/>
            <w:vAlign w:val="bottom"/>
            <w:shd w:val="clear" w:color="auto" w:fill="CFF0FC"/>
          </w:tcPr>
          <w:p>
            <w:pPr>
              <w:spacing w:after="0"/>
              <w:rPr>
                <w:sz w:val="18"/>
                <w:szCs w:val="18"/>
                <w:color w:val="auto"/>
              </w:rPr>
            </w:pPr>
          </w:p>
        </w:tc>
      </w:tr>
      <w:tr>
        <w:trPr>
          <w:trHeight w:val="216"/>
        </w:trPr>
        <w:tc>
          <w:tcPr>
            <w:tcW w:w="8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Deferred cost of revenue</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20" w:type="dxa"/>
            <w:vAlign w:val="bottom"/>
          </w:tcPr>
          <w:p>
            <w:pPr>
              <w:spacing w:after="0"/>
              <w:rPr>
                <w:sz w:val="18"/>
                <w:szCs w:val="18"/>
                <w:color w:val="auto"/>
              </w:rPr>
            </w:pPr>
          </w:p>
        </w:tc>
      </w:tr>
      <w:tr>
        <w:trPr>
          <w:trHeight w:val="216"/>
        </w:trPr>
        <w:tc>
          <w:tcPr>
            <w:tcW w:w="82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4,854</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5,103</w:t>
            </w:r>
          </w:p>
        </w:tc>
        <w:tc>
          <w:tcPr>
            <w:tcW w:w="120" w:type="dxa"/>
            <w:vAlign w:val="bottom"/>
            <w:shd w:val="clear" w:color="auto" w:fill="CFF0FC"/>
          </w:tcPr>
          <w:p>
            <w:pPr>
              <w:spacing w:after="0"/>
              <w:rPr>
                <w:sz w:val="18"/>
                <w:szCs w:val="18"/>
                <w:color w:val="auto"/>
              </w:rPr>
            </w:pPr>
          </w:p>
        </w:tc>
      </w:tr>
      <w:tr>
        <w:trPr>
          <w:trHeight w:val="216"/>
        </w:trPr>
        <w:tc>
          <w:tcPr>
            <w:tcW w:w="8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Operating lease liabilities, net of operating lease right-of-use assets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(120 )</w:t>
            </w:r>
          </w:p>
        </w:tc>
      </w:tr>
      <w:tr>
        <w:trPr>
          <w:trHeight w:val="216"/>
        </w:trPr>
        <w:tc>
          <w:tcPr>
            <w:tcW w:w="82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Accrued compensation and accrued liabilities</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(5,728 )</w:t>
            </w:r>
          </w:p>
        </w:tc>
      </w:tr>
      <w:tr>
        <w:trPr>
          <w:trHeight w:val="216"/>
        </w:trPr>
        <w:tc>
          <w:tcPr>
            <w:tcW w:w="8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Customer advances</w:t>
            </w:r>
          </w:p>
        </w:tc>
        <w:tc>
          <w:tcPr>
            <w:tcW w:w="320" w:type="dxa"/>
            <w:vAlign w:val="bottom"/>
          </w:tcPr>
          <w:p>
            <w:pPr>
              <w:spacing w:after="0"/>
              <w:rPr>
                <w:sz w:val="18"/>
                <w:szCs w:val="18"/>
                <w:color w:val="auto"/>
              </w:rPr>
            </w:pPr>
          </w:p>
        </w:tc>
        <w:tc>
          <w:tcPr>
            <w:tcW w:w="12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(963 )</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120" w:type="dxa"/>
            <w:vAlign w:val="bottom"/>
          </w:tcPr>
          <w:p>
            <w:pPr>
              <w:spacing w:after="0"/>
              <w:rPr>
                <w:sz w:val="18"/>
                <w:szCs w:val="18"/>
                <w:color w:val="auto"/>
              </w:rPr>
            </w:pPr>
          </w:p>
        </w:tc>
      </w:tr>
      <w:tr>
        <w:trPr>
          <w:trHeight w:val="216"/>
        </w:trPr>
        <w:tc>
          <w:tcPr>
            <w:tcW w:w="82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Deferred revenues</w:t>
            </w: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20" w:type="dxa"/>
            <w:vAlign w:val="bottom"/>
          </w:tcPr>
          <w:p>
            <w:pPr>
              <w:spacing w:after="0"/>
              <w:rPr>
                <w:sz w:val="18"/>
                <w:szCs w:val="18"/>
                <w:color w:val="auto"/>
              </w:rPr>
            </w:pPr>
          </w:p>
        </w:tc>
        <w:tc>
          <w:tcPr>
            <w:tcW w:w="12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(5,493 )</w:t>
            </w:r>
          </w:p>
        </w:tc>
        <w:tc>
          <w:tcPr>
            <w:tcW w:w="3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(13,684 )</w:t>
            </w:r>
          </w:p>
        </w:tc>
      </w:tr>
      <w:tr>
        <w:trPr>
          <w:trHeight w:val="216"/>
        </w:trPr>
        <w:tc>
          <w:tcPr>
            <w:tcW w:w="8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20" w:type="dxa"/>
            <w:vAlign w:val="bottom"/>
          </w:tcPr>
          <w:p>
            <w:pPr>
              <w:spacing w:after="0"/>
              <w:rPr>
                <w:sz w:val="18"/>
                <w:szCs w:val="18"/>
                <w:color w:val="auto"/>
              </w:rPr>
            </w:pPr>
          </w:p>
        </w:tc>
        <w:tc>
          <w:tcPr>
            <w:tcW w:w="12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(1,994 )</w:t>
            </w:r>
          </w:p>
        </w:tc>
        <w:tc>
          <w:tcPr>
            <w:tcW w:w="3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(2,341 )</w:t>
            </w:r>
          </w:p>
        </w:tc>
      </w:tr>
      <w:tr>
        <w:trPr>
          <w:trHeight w:val="216"/>
        </w:trPr>
        <w:tc>
          <w:tcPr>
            <w:tcW w:w="8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Capitalized costs for software to be sold</w:t>
            </w:r>
          </w:p>
        </w:tc>
        <w:tc>
          <w:tcPr>
            <w:tcW w:w="3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rPr>
              <w:t>(696 )</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(2,690</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8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the issuance of common stock to employees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120" w:type="dxa"/>
            <w:vAlign w:val="bottom"/>
          </w:tcPr>
          <w:p>
            <w:pPr>
              <w:spacing w:after="0"/>
              <w:rPr>
                <w:sz w:val="18"/>
                <w:szCs w:val="18"/>
                <w:color w:val="auto"/>
              </w:rPr>
            </w:pPr>
          </w:p>
        </w:tc>
      </w:tr>
      <w:tr>
        <w:trPr>
          <w:trHeight w:val="216"/>
        </w:trPr>
        <w:tc>
          <w:tcPr>
            <w:tcW w:w="8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3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rPr>
              <w:t>(90 )</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(117 )</w:t>
            </w:r>
          </w:p>
        </w:tc>
      </w:tr>
      <w:tr>
        <w:trPr>
          <w:trHeight w:val="216"/>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Paydown under Term Loan Facility</w:t>
            </w:r>
          </w:p>
        </w:tc>
        <w:tc>
          <w:tcPr>
            <w:tcW w:w="320" w:type="dxa"/>
            <w:vAlign w:val="bottom"/>
          </w:tcPr>
          <w:p>
            <w:pPr>
              <w:spacing w:after="0"/>
              <w:rPr>
                <w:sz w:val="18"/>
                <w:szCs w:val="18"/>
                <w:color w:val="auto"/>
              </w:rPr>
            </w:pPr>
          </w:p>
        </w:tc>
        <w:tc>
          <w:tcPr>
            <w:tcW w:w="12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(4,000 )</w:t>
            </w:r>
          </w:p>
        </w:tc>
        <w:tc>
          <w:tcPr>
            <w:tcW w:w="3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(3,000 )</w:t>
            </w:r>
          </w:p>
        </w:tc>
      </w:tr>
      <w:tr>
        <w:trPr>
          <w:trHeight w:val="216"/>
        </w:trPr>
        <w:tc>
          <w:tcPr>
            <w:tcW w:w="8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3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rPr>
              <w:t>(173 )</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Borrowings under Revolving Credit Facility</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27,000</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Repayments under Revolving Credit Facility</w:t>
            </w:r>
          </w:p>
        </w:tc>
        <w:tc>
          <w:tcPr>
            <w:tcW w:w="3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rPr>
              <w:t>(20,000 )</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2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3,593</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(1,757 )</w:t>
            </w:r>
          </w:p>
        </w:tc>
      </w:tr>
      <w:tr>
        <w:trPr>
          <w:trHeight w:val="216"/>
        </w:trPr>
        <w:tc>
          <w:tcPr>
            <w:tcW w:w="8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3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rPr>
              <w:t>(414 )</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120" w:type="dxa"/>
            <w:vAlign w:val="bottom"/>
            <w:shd w:val="clear" w:color="auto" w:fill="CFF0FC"/>
          </w:tcPr>
          <w:p>
            <w:pPr>
              <w:spacing w:after="0"/>
              <w:rPr>
                <w:sz w:val="18"/>
                <w:szCs w:val="18"/>
                <w:color w:val="auto"/>
              </w:rPr>
            </w:pPr>
          </w:p>
        </w:tc>
      </w:tr>
      <w:tr>
        <w:trPr>
          <w:trHeight w:val="20"/>
        </w:trPr>
        <w:tc>
          <w:tcPr>
            <w:tcW w:w="82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320" w:type="dxa"/>
            <w:vAlign w:val="bottom"/>
          </w:tcPr>
          <w:p>
            <w:pPr>
              <w:spacing w:after="0"/>
              <w:rPr>
                <w:sz w:val="18"/>
                <w:szCs w:val="18"/>
                <w:color w:val="auto"/>
              </w:rPr>
            </w:pPr>
          </w:p>
        </w:tc>
        <w:tc>
          <w:tcPr>
            <w:tcW w:w="12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(5,004 )</w:t>
            </w:r>
          </w:p>
        </w:tc>
        <w:tc>
          <w:tcPr>
            <w:tcW w:w="3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(16,710 )</w:t>
            </w:r>
          </w:p>
        </w:tc>
      </w:tr>
      <w:tr>
        <w:trPr>
          <w:trHeight w:val="216"/>
        </w:trPr>
        <w:tc>
          <w:tcPr>
            <w:tcW w:w="8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70,392</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91,202</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65,388</w:t>
            </w:r>
          </w:p>
        </w:tc>
        <w:tc>
          <w:tcPr>
            <w:tcW w:w="26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74,492</w:t>
            </w:r>
          </w:p>
        </w:tc>
        <w:tc>
          <w:tcPr>
            <w:tcW w:w="120" w:type="dxa"/>
            <w:vAlign w:val="bottom"/>
          </w:tcPr>
          <w:p>
            <w:pPr>
              <w:spacing w:after="0"/>
              <w:rPr>
                <w:sz w:val="18"/>
                <w:szCs w:val="18"/>
                <w:color w:val="auto"/>
              </w:rPr>
            </w:pPr>
          </w:p>
        </w:tc>
      </w:tr>
      <w:tr>
        <w:trPr>
          <w:trHeight w:val="20"/>
        </w:trPr>
        <w:tc>
          <w:tcPr>
            <w:tcW w:w="8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822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non-cash disclosure:</w:t>
            </w: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Transfers from inventory to property and equipment, net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2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2,911</w:t>
            </w:r>
          </w:p>
        </w:tc>
        <w:tc>
          <w:tcPr>
            <w:tcW w:w="120" w:type="dxa"/>
            <w:vAlign w:val="bottom"/>
          </w:tcPr>
          <w:p>
            <w:pPr>
              <w:spacing w:after="0"/>
              <w:rPr>
                <w:sz w:val="18"/>
                <w:szCs w:val="18"/>
                <w:color w:val="auto"/>
              </w:rPr>
            </w:pPr>
          </w:p>
        </w:tc>
      </w:tr>
      <w:tr>
        <w:trPr>
          <w:trHeight w:val="216"/>
        </w:trPr>
        <w:tc>
          <w:tcPr>
            <w:tcW w:w="8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Transfers from inventory to prepaid and other assets</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r>
      <w:tr>
        <w:trPr>
          <w:trHeight w:val="216"/>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liability to leasehold improvement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2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2,593</w:t>
            </w:r>
          </w:p>
        </w:tc>
        <w:tc>
          <w:tcPr>
            <w:tcW w:w="120" w:type="dxa"/>
            <w:vAlign w:val="bottom"/>
          </w:tcPr>
          <w:p>
            <w:pPr>
              <w:spacing w:after="0"/>
              <w:rPr>
                <w:sz w:val="18"/>
                <w:szCs w:val="18"/>
                <w:color w:val="auto"/>
              </w:rPr>
            </w:pPr>
          </w:p>
        </w:tc>
      </w:tr>
      <w:tr>
        <w:trPr>
          <w:trHeight w:val="216"/>
        </w:trPr>
        <w:tc>
          <w:tcPr>
            <w:tcW w:w="8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balance sheet items reclassed to property and equipment</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r>
      <w:tr>
        <w:trPr>
          <w:trHeight w:val="216"/>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Unpaid capitalized software costs to be sold at end of period</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2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r>
      <w:tr>
        <w:trPr>
          <w:trHeight w:val="216"/>
        </w:trPr>
        <w:tc>
          <w:tcPr>
            <w:tcW w:w="8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Unpaid purchase of property and equipment at end of period</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6065520</wp:posOffset>
            </wp:positionH>
            <wp:positionV relativeFrom="paragraph">
              <wp:posOffset>-3359785</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-3359785</wp:posOffset>
            </wp:positionV>
            <wp:extent cx="7747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-1696720</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-1696720</wp:posOffset>
            </wp:positionV>
            <wp:extent cx="7747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-1413510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-1413510</wp:posOffset>
            </wp:positionV>
            <wp:extent cx="7747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-1130935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-1130935</wp:posOffset>
            </wp:positionV>
            <wp:extent cx="7747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Accuray Incorporated</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The Company and its Significant Accounting Policies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jc w:val="both"/>
        <w:ind w:right="180" w:firstLine="255"/>
        <w:spacing w:after="0" w:line="266" w:lineRule="auto"/>
        <w:rPr>
          <w:sz w:val="20"/>
          <w:szCs w:val="20"/>
          <w:color w:val="auto"/>
        </w:rPr>
      </w:pPr>
      <w:r>
        <w:rPr>
          <w:rFonts w:ascii="Times New Roman" w:cs="Times New Roman" w:eastAsia="Times New Roman" w:hAnsi="Times New Roman"/>
          <w:sz w:val="18"/>
          <w:szCs w:val="18"/>
          <w:color w:val="auto"/>
        </w:rPr>
        <w:t>Accuray Incorporated (together with its subsidiaries, the “Company” or “Accuray”) designs, develops and sells advanced radiosurgery and radiation therapy systems for the treatment of tumors throughout the body. The Company is incorporated in Delaware and its headquarters are located in Madison, Wisconsin. The Company has primary offices in the United States, Switzerland, China, Hong Kong, and Japan, and conducts its business worldwide.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ind w:right="320" w:firstLine="255"/>
        <w:spacing w:after="0" w:line="282"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the accounts of the Company and its wholly-owned subsidiaries. All significant intercompany transactions and balances have been eliminated in consolidation.</w:t>
      </w:r>
    </w:p>
    <w:p>
      <w:pPr>
        <w:spacing w:after="0" w:line="135" w:lineRule="exact"/>
        <w:rPr>
          <w:sz w:val="20"/>
          <w:szCs w:val="20"/>
          <w:color w:val="auto"/>
        </w:rPr>
      </w:pPr>
    </w:p>
    <w:p>
      <w:pPr>
        <w:ind w:right="40" w:firstLine="255"/>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United States generally accepted accounting principles (“U.S. GAAP”), pursuant to the rules and regulations of the Securities and Exchange Commission (the “SEC”). Certain information and note disclosures have been condensed or omitted pursuant to such rules and regulations. The unaudited condensed consolidated financial statements have been prepared on the same basis as the annual financial statements and, in the opinion of management, reflect all adjustments, which include only normal recurring adjustments, necessary for a fair presentation of the periods presented. The results for the three and six months ended December 31, 2024 are not necessarily indicative of the results to be expected for the fiscal year ending June 30, 2025, or for any other future interim period or fiscal year.</w:t>
      </w:r>
    </w:p>
    <w:p>
      <w:pPr>
        <w:spacing w:after="0" w:line="147" w:lineRule="exact"/>
        <w:rPr>
          <w:sz w:val="20"/>
          <w:szCs w:val="20"/>
          <w:color w:val="auto"/>
        </w:rPr>
      </w:pPr>
    </w:p>
    <w:p>
      <w:pPr>
        <w:ind w:firstLine="255"/>
        <w:spacing w:after="0" w:line="266"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should be read in conjunction with the Company’s audited consolidated financial statements and accompanying notes for the fiscal year ended June 30, 2024 included in the Company’s Annual Report on Form 10-K filed with the SEC on September 19, 2024.</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Reclassifications</w:t>
      </w:r>
    </w:p>
    <w:p>
      <w:pPr>
        <w:spacing w:after="0" w:line="229" w:lineRule="exact"/>
        <w:rPr>
          <w:sz w:val="20"/>
          <w:szCs w:val="20"/>
          <w:color w:val="auto"/>
        </w:rPr>
      </w:pPr>
    </w:p>
    <w:p>
      <w:pPr>
        <w:ind w:right="360" w:firstLine="255"/>
        <w:spacing w:after="0" w:line="282" w:lineRule="auto"/>
        <w:rPr>
          <w:sz w:val="20"/>
          <w:szCs w:val="20"/>
          <w:color w:val="auto"/>
        </w:rPr>
      </w:pPr>
      <w:r>
        <w:rPr>
          <w:rFonts w:ascii="Times New Roman" w:cs="Times New Roman" w:eastAsia="Times New Roman" w:hAnsi="Times New Roman"/>
          <w:sz w:val="18"/>
          <w:szCs w:val="18"/>
          <w:color w:val="auto"/>
        </w:rPr>
        <w:t>Amounts in the prior year unaudited condensed financial statements and notes to unaudited condensed consolidated financial statements have been reclassified to conform to current year presentation.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229" w:lineRule="exact"/>
        <w:rPr>
          <w:sz w:val="20"/>
          <w:szCs w:val="20"/>
          <w:color w:val="auto"/>
        </w:rPr>
      </w:pPr>
    </w:p>
    <w:p>
      <w:pPr>
        <w:ind w:right="20" w:firstLine="255"/>
        <w:spacing w:after="0" w:line="254" w:lineRule="auto"/>
        <w:rPr>
          <w:sz w:val="20"/>
          <w:szCs w:val="20"/>
          <w:color w:val="auto"/>
        </w:rPr>
      </w:pPr>
      <w:r>
        <w:rPr>
          <w:rFonts w:ascii="Times New Roman" w:cs="Times New Roman" w:eastAsia="Times New Roman" w:hAnsi="Times New Roman"/>
          <w:sz w:val="18"/>
          <w:szCs w:val="18"/>
          <w:color w:val="auto"/>
        </w:rPr>
        <w:t>The Company is subject to risks and uncertainties caused, directly or indirectly, by events with significant geopolitical and macroeconomic impacts, including, but not limited to, inflation; actions taken to counter inflation, including high interest rates; foreign currency exchange rate fluctuations; uncertainty and volatility in the banking and financial services sector; tightening credit markets; geopolitical concerns, such as the Russia-Ukraine and Middle East conflicts and increasing tension between China and the U.S., including with respect to Taiwan; uncertainty caused by the China anti-corruption campaign and timing of the China stimulus program; the change in the U.S. presidential administration; recent executive orders to impose new tariffs on imports from Canada, Mexico and China and uncertainties regarding impact, retaliations and further escalation, including against other countries; and other factors that may emerge. The Company is also continuing to navigate supply chain and inflation challenges, and adverse foreign currency exchange rate fluctuations, all of which continues to be a significant headwind that affects the Company’s results of operations.</w:t>
      </w:r>
    </w:p>
    <w:p>
      <w:pPr>
        <w:spacing w:after="0" w:line="192" w:lineRule="exact"/>
        <w:rPr>
          <w:sz w:val="20"/>
          <w:szCs w:val="20"/>
          <w:color w:val="auto"/>
        </w:rPr>
      </w:pPr>
    </w:p>
    <w:p>
      <w:pPr>
        <w:ind w:right="80" w:firstLine="255"/>
        <w:spacing w:after="0" w:line="253" w:lineRule="auto"/>
        <w:rPr>
          <w:sz w:val="20"/>
          <w:szCs w:val="20"/>
          <w:color w:val="auto"/>
        </w:rPr>
      </w:pPr>
      <w:r>
        <w:rPr>
          <w:rFonts w:ascii="Times New Roman" w:cs="Times New Roman" w:eastAsia="Times New Roman" w:hAnsi="Times New Roman"/>
          <w:sz w:val="18"/>
          <w:szCs w:val="18"/>
          <w:color w:val="auto"/>
        </w:rPr>
        <w:t>The Company expects that the business of its customers and its own business will continue to be adversely impacted, directly or indirectly, by these macroeconomic and geopolitical issues. In addition, ongoing supply chain challenges and logistics costs, including difficulties in obtaining a sufficient supply of component materials and increased component costs, have adversely affected the Company's gross margins and net income (loss), and the Company’s current expectations are that gross margins and net income (loss) will continue to be adversely affected by increased material costs and freight and logistic expenses through fiscal year 2025. In addition, the Company expects inflation and the ongoing supply chain challenges and logistics costs to impact its cash from operations through fiscal year 2025. In addition, reduced budgets and lower capital deployment priority for radiotherapy equipment, along with longer customer installation timelines, in the United States have negatively impacted net revenue since fiscal year 2024, and the Company expects this will continue to have an impact through fiscal year 2026. The extent of the ongoing impact of these macroeconomic events on our business, our markets and on global economic activity, however, is uncertain and the related financial impact cannot be reasonably estimated with any certainty at this time. The Company’s past results may not be indicative of its future performance, and historical trends, including conversion of backlog to revenue, income (loss) from operations, net income (loss), net income (loss) per share and cash flows may differ materially.</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7" w:name="page8"/>
    <w:bookmarkEnd w:id="7"/>
    <w:p>
      <w:pPr>
        <w:ind w:firstLine="255"/>
        <w:spacing w:after="0" w:line="252" w:lineRule="auto"/>
        <w:rPr>
          <w:sz w:val="20"/>
          <w:szCs w:val="20"/>
          <w:color w:val="auto"/>
        </w:rPr>
      </w:pPr>
      <w:r>
        <w:rPr>
          <w:rFonts w:ascii="Times New Roman" w:cs="Times New Roman" w:eastAsia="Times New Roman" w:hAnsi="Times New Roman"/>
          <w:sz w:val="18"/>
          <w:szCs w:val="18"/>
          <w:color w:val="auto"/>
        </w:rPr>
        <w:t>The Company continues to critically review its liquidity and anticipated capital requirements in light of the significant uncertainty created by geopolitical and macroeconomic conditions. Based on the Company’s cash and cash equivalents balance, available debt facilities, current business plan and revenue prospects, the Company believes that it will have sufficient cash resources and anticipated cash flows to fund its operations for at least the next 12 months. The Company, however, is unable to predict with certainty the impact of geopolitical and macroeconomic conditions, including its effect on the global supply chain, inflation and foreign currency exchange rates, will have on its ability to maintain compliance with the debt covenants contained in the credit agreement related to its Credit Facilities (the "Credit Agreement"), including financial covenants regarding the consolidated fixed charge coverage ratio and consolidated senior net leverage ratio. On September 12, 2024, the Company entered into the Fourth Amendment (the "Fourth Amendment") to the Credit Agreement to (i) change the requirements of certain financial maintenance covenants under the Credit Agreement for the fiscal quarter ending September 30, 2024, (ii) add a minimum liquidity covenant to the Credit Agreement and (iii) reduce the available revolving commitments available under the Credit Agreement to no more than $20.0 million. Failing to comply with the covenants to the Credit Agreement, as amended, could adversely affect the Company’s ability to finance its future operations or capital needs, withstand a future downturn in its business or the economy in general, engage in business activities, including future opportunities that may be in its interest, and plan for or react to market conditions or otherwise execute its business strategies. The Company’s ability to comply with the covenants and other terms governing the Credit Facilities will depend in part on its future operating performance. In addition, because substantially all of the Company’s assets are pledged as a security under the Credit Facilities, if the Company is not able to cure any default or repay outstanding borrowings, such assets are subject to the risk of foreclosure by the Company’s lenders. Failure to meet the covenant requirements in the future could cause the Company to be in default and the maturity of the related debt could be accelerated and become immediately payable. This may require the Company to obtain waivers or additional amendments to the Credit Agreement in order to maintain compliance and there can be no certainty that any such waiver or amendment will be available, or what the cost of such waiver or amendment, if obtained, would be. If the Company is unable to obtain necessary waivers or amendments and the debt under such credit facility is accelerated, the Company would be required to obtain replacement financing at prevailing market rates, which may not be favorable to the Company. There is no guarantee that the Company would be able to satisfy its obligations if any of its indebtedness is accelerated</w:t>
      </w:r>
      <w:r>
        <w:rPr>
          <w:rFonts w:ascii="Times New Roman" w:cs="Times New Roman" w:eastAsia="Times New Roman" w:hAnsi="Times New Roman"/>
          <w:sz w:val="18"/>
          <w:szCs w:val="18"/>
          <w:color w:val="212529"/>
        </w:rPr>
        <w: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ind w:right="100" w:firstLine="255"/>
        <w:spacing w:after="0" w:line="261" w:lineRule="auto"/>
        <w:rPr>
          <w:sz w:val="20"/>
          <w:szCs w:val="20"/>
          <w:color w:val="auto"/>
        </w:rPr>
      </w:pPr>
      <w:r>
        <w:rPr>
          <w:rFonts w:ascii="Times New Roman" w:cs="Times New Roman" w:eastAsia="Times New Roman" w:hAnsi="Times New Roman"/>
          <w:sz w:val="18"/>
          <w:szCs w:val="18"/>
          <w:color w:val="auto"/>
        </w:rPr>
        <w:t>The preparation of unaudited condensed consolidated financial statements in conformity with U.S. GAAP requires management to make estimates and assumptions that affect the reported amounts of assets, liabilities, revenues, expenses, and related disclosures at the date of the financial statements. The Company assessed certain accounting matters that generally require consideration of forecasted financial information in context with the information reasonably available to the Company. Actual results could differ materially from those estimates.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Accounting Policies</w:t>
      </w:r>
    </w:p>
    <w:p>
      <w:pPr>
        <w:spacing w:after="0" w:line="229" w:lineRule="exact"/>
        <w:rPr>
          <w:sz w:val="20"/>
          <w:szCs w:val="20"/>
          <w:color w:val="auto"/>
        </w:rPr>
      </w:pPr>
    </w:p>
    <w:p>
      <w:pPr>
        <w:ind w:right="180" w:firstLine="255"/>
        <w:spacing w:after="0" w:line="282" w:lineRule="auto"/>
        <w:rPr>
          <w:sz w:val="20"/>
          <w:szCs w:val="20"/>
          <w:color w:val="auto"/>
        </w:rPr>
      </w:pPr>
      <w:r>
        <w:rPr>
          <w:rFonts w:ascii="Times New Roman" w:cs="Times New Roman" w:eastAsia="Times New Roman" w:hAnsi="Times New Roman"/>
          <w:sz w:val="18"/>
          <w:szCs w:val="18"/>
          <w:color w:val="212529"/>
        </w:rPr>
        <w:t>There have been no material changes in the Company’s significant accounting policies during the six months ended December 31, 2024, compared to the significant accounting policies described in its Annual Report on Form 10-K for the fiscal year ended June 30, 2024</w:t>
      </w:r>
      <w:r>
        <w:rPr>
          <w:rFonts w:ascii="Times New Roman" w:cs="Times New Roman" w:eastAsia="Times New Roman" w:hAnsi="Times New Roman"/>
          <w:sz w:val="18"/>
          <w:szCs w:val="18"/>
          <w:color w:val="000000"/>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Pronouncements - Adopted</w:t>
      </w:r>
    </w:p>
    <w:p>
      <w:pPr>
        <w:spacing w:after="0" w:line="229" w:lineRule="exact"/>
        <w:rPr>
          <w:sz w:val="20"/>
          <w:szCs w:val="20"/>
          <w:color w:val="auto"/>
        </w:rPr>
      </w:pPr>
    </w:p>
    <w:p>
      <w:pPr>
        <w:ind w:firstLine="255"/>
        <w:spacing w:after="0" w:line="255" w:lineRule="auto"/>
        <w:rPr>
          <w:sz w:val="20"/>
          <w:szCs w:val="20"/>
          <w:color w:val="auto"/>
        </w:rPr>
      </w:pPr>
      <w:r>
        <w:rPr>
          <w:rFonts w:ascii="Times New Roman" w:cs="Times New Roman" w:eastAsia="Times New Roman" w:hAnsi="Times New Roman"/>
          <w:sz w:val="18"/>
          <w:szCs w:val="18"/>
          <w:color w:val="auto"/>
        </w:rPr>
        <w:t>In November 2023, the FASB issued ASU 2023-07 to improve reportable segment disclosures. The ASU is intended to improve reportable segment disclosure requirements, primarily through enhanced disclosures about significant expenses. The ASU requires disclosures to include significant segment expenses that are regularly provided to the chief operating decision maker (“CODM”), a description of other segment items by reportable segment, and any additional measures of a segment's profit or loss used by the CODM when deciding how to allocate resources. The ASU also requires all annual disclosures to be disclosed in interim periods. The update will be effective for fiscal years beginning after December 15, 2023 and interim periods within fiscal years beginning after December 15, 2024. The Company adopted ASU 2023-07 on July 1, 2024. The Company assessed the impact of this update and expects it will not have a material impact on its consolidated financial statement disclosure requirements.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Pronouncements - Not Yet Effective</w:t>
      </w:r>
    </w:p>
    <w:p>
      <w:pPr>
        <w:spacing w:after="0" w:line="229" w:lineRule="exact"/>
        <w:rPr>
          <w:sz w:val="20"/>
          <w:szCs w:val="20"/>
          <w:color w:val="auto"/>
        </w:rPr>
      </w:pPr>
    </w:p>
    <w:p>
      <w:pPr>
        <w:ind w:right="60" w:firstLine="255"/>
        <w:spacing w:after="0" w:line="258" w:lineRule="auto"/>
        <w:rPr>
          <w:sz w:val="20"/>
          <w:szCs w:val="20"/>
          <w:color w:val="auto"/>
        </w:rPr>
      </w:pPr>
      <w:r>
        <w:rPr>
          <w:rFonts w:ascii="Times New Roman" w:cs="Times New Roman" w:eastAsia="Times New Roman" w:hAnsi="Times New Roman"/>
          <w:sz w:val="18"/>
          <w:szCs w:val="18"/>
          <w:color w:val="auto"/>
        </w:rPr>
        <w:t>In November 2024, the Financial Accounting Standards Board (“FASB”) issued accounting standard update (“ASU”) 2024-03 requiring additional disclosure of the nature of expenses included in the income statement. The new standard requires disclosures about specific types of expenses included in the expense captions presented on the face of the income statement as well as disclosures about selling expenses. The update is effective for fiscal years beginning after December 15, 2026 and interim reporting periods beginning after December 15, 2027. The requirements will be applied prospectively with the option for retrospective application. Early adoption is permitted. The Company is currently assessing the impact of adopting the updated provisions.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8" w:name="page9"/>
    <w:bookmarkEnd w:id="8"/>
    <w:p>
      <w:pPr>
        <w:ind w:right="280" w:firstLine="255"/>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to improve the transparency and usefulness of income tax disclosures. The accounting standard expands disclosures to the entity’s income tax rate reconciliation table and requires cash taxes paid disaggregated by jurisdiction. These changes will be applied on a prospective basis. The update is effective for fiscal years beginning after December 15, 2024, with early adoption permitted. The Company plans to adopt ASU 2023-09 on July 1, 2025. The ASU requires retrospective application to all prior periods presented in the financial statements. The Company is currently assessing the timing and impact of adopting the updated provisions.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270" w:lineRule="exact"/>
        <w:rPr>
          <w:sz w:val="20"/>
          <w:szCs w:val="20"/>
          <w:color w:val="auto"/>
        </w:rPr>
      </w:pPr>
    </w:p>
    <w:p>
      <w:pPr>
        <w:ind w:right="20" w:firstLine="255"/>
        <w:spacing w:after="0" w:line="256"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results in trade receivables, unbilled receivables, and deferred revenues on the unaudited condensed consolidated balance sheets. The Company may offer longer or extended payment terms of more than one year for qualified customers in some circumstances. At times, revenue recognition occurs before the billing, resulting in an unbilled receivable, which represents a contract asset. The contract asset is a component of accounts receivable and other assets for the current and non-current portions, respectively. When the Company receives advances or deposits from customers before revenue is recognized, this results in a contract liability. It can take two or more years from the time of order to revenue recognition due to the Company’s long sales cycle.</w:t>
      </w:r>
    </w:p>
    <w:p>
      <w:pPr>
        <w:spacing w:after="0" w:line="1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Changes in the contract assets and liabilities are as follows (dollars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vMerge w:val="restart"/>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60" w:type="dxa"/>
            <w:vAlign w:val="bottom"/>
            <w:tcBorders>
              <w:bottom w:val="single" w:sz="8" w:color="auto"/>
            </w:tcBorders>
            <w:gridSpan w:val="3"/>
          </w:tcPr>
          <w:p>
            <w:pPr>
              <w:ind w:left="1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40" w:type="dxa"/>
            <w:vAlign w:val="bottom"/>
            <w:gridSpan w:val="2"/>
            <w:vMerge w:val="continue"/>
          </w:tcPr>
          <w:p>
            <w:pPr>
              <w:spacing w:after="0"/>
              <w:rPr>
                <w:sz w:val="10"/>
                <w:szCs w:val="10"/>
                <w:color w:val="auto"/>
              </w:rPr>
            </w:pPr>
          </w:p>
        </w:tc>
        <w:tc>
          <w:tcPr>
            <w:tcW w:w="1280" w:type="dxa"/>
            <w:vAlign w:val="bottom"/>
            <w:vMerge w:val="restart"/>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60" w:type="dxa"/>
            <w:vAlign w:val="bottom"/>
            <w:vMerge w:val="restart"/>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5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5"/>
                <w:szCs w:val="15"/>
                <w:color w:val="auto"/>
              </w:rPr>
            </w:pPr>
          </w:p>
        </w:tc>
        <w:tc>
          <w:tcPr>
            <w:tcW w:w="128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Contract Assets:</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Unbilled accounts receivable – current </w:t>
            </w:r>
            <w:r>
              <w:rPr>
                <w:rFonts w:ascii="Times New Roman" w:cs="Times New Roman" w:eastAsia="Times New Roman" w:hAnsi="Times New Roman"/>
                <w:sz w:val="16"/>
                <w:szCs w:val="16"/>
                <w:color w:val="auto"/>
              </w:rPr>
              <w:t>(1)</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20,584</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19,131</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16"/>
        </w:trPr>
        <w:tc>
          <w:tcPr>
            <w:tcW w:w="4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xml:space="preserve">Interest receivable – current </w:t>
            </w:r>
            <w:r>
              <w:rPr>
                <w:rFonts w:ascii="Times New Roman" w:cs="Times New Roman" w:eastAsia="Times New Roman" w:hAnsi="Times New Roman"/>
                <w:sz w:val="16"/>
                <w:szCs w:val="16"/>
                <w:color w:val="auto"/>
              </w:rPr>
              <w:t>(2)</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26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(37 )</w:t>
            </w:r>
          </w:p>
        </w:tc>
        <w:tc>
          <w:tcPr>
            <w:tcW w:w="3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16"/>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Long-term accounts receivable </w:t>
            </w:r>
            <w:r>
              <w:rPr>
                <w:rFonts w:ascii="Times New Roman" w:cs="Times New Roman" w:eastAsia="Times New Roman" w:hAnsi="Times New Roman"/>
                <w:sz w:val="16"/>
                <w:szCs w:val="16"/>
                <w:color w:val="auto"/>
              </w:rPr>
              <w:t>(3)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3,254</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2,859</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16"/>
        </w:trPr>
        <w:tc>
          <w:tcPr>
            <w:tcW w:w="4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xml:space="preserve">Interest receivable – non-current </w:t>
            </w:r>
            <w:r>
              <w:rPr>
                <w:rFonts w:ascii="Times New Roman" w:cs="Times New Roman" w:eastAsia="Times New Roman" w:hAnsi="Times New Roman"/>
                <w:sz w:val="16"/>
                <w:szCs w:val="16"/>
                <w:color w:val="auto"/>
              </w:rPr>
              <w:t>(3)</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26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(80 )</w:t>
            </w:r>
          </w:p>
        </w:tc>
        <w:tc>
          <w:tcPr>
            <w:tcW w:w="3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16"/>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Contract Liabilities: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Customer advances</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12,959</w:t>
            </w: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13,988</w:t>
            </w:r>
          </w:p>
        </w:tc>
        <w:tc>
          <w:tcPr>
            <w:tcW w:w="26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(1,029 )</w:t>
            </w:r>
          </w:p>
        </w:tc>
        <w:tc>
          <w:tcPr>
            <w:tcW w:w="3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16"/>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 current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72,088</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71,649</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16"/>
        </w:trPr>
        <w:tc>
          <w:tcPr>
            <w:tcW w:w="4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revenue – non-current</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24,616</w:t>
            </w: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24,114</w:t>
            </w: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380" w:hanging="372"/>
        <w:spacing w:after="0"/>
        <w:tabs>
          <w:tab w:leader="none" w:pos="3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accounts receivable on the unaudited condensed consolidated balance sheets.</w:t>
      </w:r>
    </w:p>
    <w:p>
      <w:pPr>
        <w:spacing w:after="0" w:line="3" w:lineRule="exact"/>
        <w:rPr>
          <w:rFonts w:ascii="Times New Roman" w:cs="Times New Roman" w:eastAsia="Times New Roman" w:hAnsi="Times New Roman"/>
          <w:sz w:val="14"/>
          <w:szCs w:val="14"/>
          <w:color w:val="auto"/>
        </w:rPr>
      </w:pPr>
    </w:p>
    <w:p>
      <w:pPr>
        <w:ind w:left="380" w:hanging="372"/>
        <w:spacing w:after="0" w:line="221" w:lineRule="auto"/>
        <w:tabs>
          <w:tab w:leader="none" w:pos="3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prepaid expenses and other current assets on the unaudited condensed consolidated balance sheets.</w:t>
      </w:r>
    </w:p>
    <w:p>
      <w:pPr>
        <w:ind w:left="380" w:hanging="372"/>
        <w:spacing w:after="0"/>
        <w:tabs>
          <w:tab w:leader="none" w:pos="3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other assets on the unaudited condensed consolidated balance sheets.</w:t>
      </w:r>
    </w:p>
    <w:p>
      <w:pPr>
        <w:spacing w:after="0" w:line="192" w:lineRule="exact"/>
        <w:rPr>
          <w:sz w:val="20"/>
          <w:szCs w:val="20"/>
          <w:color w:val="auto"/>
        </w:rPr>
      </w:pPr>
    </w:p>
    <w:p>
      <w:pPr>
        <w:ind w:right="40" w:firstLine="255"/>
        <w:spacing w:after="0" w:line="261" w:lineRule="auto"/>
        <w:rPr>
          <w:sz w:val="20"/>
          <w:szCs w:val="20"/>
          <w:color w:val="auto"/>
        </w:rPr>
      </w:pPr>
      <w:r>
        <w:rPr>
          <w:rFonts w:ascii="Times New Roman" w:cs="Times New Roman" w:eastAsia="Times New Roman" w:hAnsi="Times New Roman"/>
          <w:sz w:val="18"/>
          <w:szCs w:val="18"/>
          <w:color w:val="auto"/>
        </w:rPr>
        <w:t>During the six months ended December 31, 2024, contract assets changed primarily due to changes in the timing of billings that occurred after revenues were recognized and changes in transactions with payment terms exceeding 12 months. During the six months ended December 31, 2024, contract liabilities changed due to changes in the timing of revenue recognition as a result of changes in shipping timing, modifications to the transaction price, reduced customer deposits for system sales, and for which the warranty was deferred.</w:t>
      </w:r>
    </w:p>
    <w:p>
      <w:pPr>
        <w:spacing w:after="0" w:line="180" w:lineRule="exact"/>
        <w:rPr>
          <w:sz w:val="20"/>
          <w:szCs w:val="20"/>
          <w:color w:val="auto"/>
        </w:rPr>
      </w:pPr>
    </w:p>
    <w:p>
      <w:pPr>
        <w:jc w:val="both"/>
        <w:ind w:right="180" w:firstLine="255"/>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December 31, 2024, the Company recognized revenue of $16.7 million and $44.2 million, which was included in the deferred revenue balances at June 30, 2024. During the three and six months ended December 31, 2023, the Company recognized revenue of $21.2 million and $51.2 million, which was included in the deferred revenue balances at June 30,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Remaining Performance Obligations</w:t>
      </w:r>
    </w:p>
    <w:p>
      <w:pPr>
        <w:spacing w:after="0" w:line="229" w:lineRule="exact"/>
        <w:rPr>
          <w:sz w:val="20"/>
          <w:szCs w:val="20"/>
          <w:color w:val="auto"/>
        </w:rPr>
      </w:pPr>
    </w:p>
    <w:p>
      <w:pPr>
        <w:ind w:right="60" w:firstLine="255"/>
        <w:spacing w:after="0" w:line="282" w:lineRule="auto"/>
        <w:rPr>
          <w:sz w:val="20"/>
          <w:szCs w:val="20"/>
          <w:color w:val="auto"/>
        </w:rPr>
      </w:pPr>
      <w:r>
        <w:rPr>
          <w:rFonts w:ascii="Times New Roman" w:cs="Times New Roman" w:eastAsia="Times New Roman" w:hAnsi="Times New Roman"/>
          <w:sz w:val="18"/>
          <w:szCs w:val="18"/>
          <w:color w:val="auto"/>
        </w:rPr>
        <w:t>Remaining performance obligations represent deferred revenue from open contracts for which performance has already started and the transaction price from executed contracts for which performance has not yet started. Service contracts in general are considered month-to-month contracts.</w:t>
      </w:r>
    </w:p>
    <w:p>
      <w:pPr>
        <w:spacing w:after="0" w:line="162"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8"/>
          <w:szCs w:val="18"/>
          <w:color w:val="auto"/>
        </w:rPr>
        <w:t>As of December 31, 2024, total remaining performance obligations amounted to $886.7 million. Of this total amount, $60.3 million related to long-term warranty and non-cancellable post-warranty services, which is the estimated revenue expected to be recognized over the remaining service period and warranty period for systems that have been delivered (the time bands reflect management’s best estimate of when the Company will transfer control to the customer and may change based on timing of shipment, readiness of</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 w:name="page10"/>
    <w:bookmarkEnd w:id="9"/>
    <w:p>
      <w:pPr>
        <w:ind w:right="600"/>
        <w:spacing w:after="0" w:line="282" w:lineRule="auto"/>
        <w:rPr>
          <w:sz w:val="20"/>
          <w:szCs w:val="20"/>
          <w:color w:val="auto"/>
        </w:rPr>
      </w:pPr>
      <w:r>
        <w:rPr>
          <w:rFonts w:ascii="Times New Roman" w:cs="Times New Roman" w:eastAsia="Times New Roman" w:hAnsi="Times New Roman"/>
          <w:sz w:val="18"/>
          <w:szCs w:val="18"/>
          <w:color w:val="auto"/>
        </w:rPr>
        <w:t>customers’ facilities for installation, installation requirements, and availability of products). The Company has elected the practical expedient to not disclose the unsatisfied performance obligations of contracts with an original expected duration of one year or less.</w:t>
      </w:r>
    </w:p>
    <w:p>
      <w:pPr>
        <w:spacing w:after="0" w:line="121" w:lineRule="exact"/>
        <w:rPr>
          <w:sz w:val="20"/>
          <w:szCs w:val="20"/>
          <w:color w:val="auto"/>
        </w:rPr>
      </w:pPr>
    </w:p>
    <w:p>
      <w:pPr>
        <w:ind w:right="400" w:firstLine="255"/>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Company's remaining performance obligations related to long-term warranty and non-cancellable post-warranty services as of December 31, 2024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4"/>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Fiscal years of revenue recognition</w:t>
            </w:r>
          </w:p>
        </w:tc>
        <w:tc>
          <w:tcPr>
            <w:tcW w:w="2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54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6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9"/>
              <w:spacing w:after="0" w:line="142" w:lineRule="exact"/>
              <w:rPr>
                <w:sz w:val="20"/>
                <w:szCs w:val="20"/>
                <w:color w:val="auto"/>
              </w:rPr>
            </w:pPr>
            <w:r>
              <w:rPr>
                <w:rFonts w:ascii="Times New Roman" w:cs="Times New Roman" w:eastAsia="Times New Roman" w:hAnsi="Times New Roman"/>
                <w:sz w:val="14"/>
                <w:szCs w:val="14"/>
                <w:b w:val="1"/>
                <w:bCs w:val="1"/>
                <w:color w:val="auto"/>
              </w:rPr>
              <w:t>2027</w:t>
            </w:r>
          </w:p>
        </w:tc>
        <w:tc>
          <w:tcPr>
            <w:tcW w:w="2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Thereafter</w:t>
            </w:r>
          </w:p>
        </w:tc>
        <w:tc>
          <w:tcPr>
            <w:tcW w:w="120" w:type="dxa"/>
            <w:vAlign w:val="bottom"/>
          </w:tcPr>
          <w:p>
            <w:pPr>
              <w:spacing w:after="0"/>
              <w:rPr>
                <w:sz w:val="12"/>
                <w:szCs w:val="12"/>
                <w:color w:val="auto"/>
              </w:rPr>
            </w:pPr>
          </w:p>
        </w:tc>
      </w:tr>
      <w:tr>
        <w:trPr>
          <w:trHeight w:val="210"/>
        </w:trPr>
        <w:tc>
          <w:tcPr>
            <w:tcW w:w="56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warranty and non-cancellable post-warranty services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13,751</w:t>
            </w:r>
          </w:p>
        </w:tc>
        <w:tc>
          <w:tcPr>
            <w:tcW w:w="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24,892</w:t>
            </w: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15,714</w:t>
            </w: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5,925</w:t>
            </w:r>
          </w:p>
        </w:tc>
        <w:tc>
          <w:tcPr>
            <w:tcW w:w="120" w:type="dxa"/>
            <w:vAlign w:val="bottom"/>
            <w:shd w:val="clear" w:color="auto" w:fill="CFF0FC"/>
          </w:tcPr>
          <w:p>
            <w:pPr>
              <w:spacing w:after="0"/>
              <w:rPr>
                <w:sz w:val="18"/>
                <w:szCs w:val="18"/>
                <w:color w:val="auto"/>
              </w:rPr>
            </w:pPr>
          </w:p>
        </w:tc>
      </w:tr>
    </w:tbl>
    <w:p>
      <w:pPr>
        <w:spacing w:after="0" w:line="198" w:lineRule="exact"/>
        <w:rPr>
          <w:sz w:val="20"/>
          <w:szCs w:val="20"/>
          <w:color w:val="auto"/>
        </w:rPr>
      </w:pPr>
    </w:p>
    <w:p>
      <w:pPr>
        <w:ind w:firstLine="255"/>
        <w:spacing w:after="0" w:line="255" w:lineRule="auto"/>
        <w:rPr>
          <w:sz w:val="20"/>
          <w:szCs w:val="20"/>
          <w:color w:val="auto"/>
        </w:rPr>
      </w:pPr>
      <w:r>
        <w:rPr>
          <w:rFonts w:ascii="Times New Roman" w:cs="Times New Roman" w:eastAsia="Times New Roman" w:hAnsi="Times New Roman"/>
          <w:sz w:val="18"/>
          <w:szCs w:val="18"/>
          <w:color w:val="auto"/>
        </w:rPr>
        <w:t>For the remaining $826.4 million of performance obligations (i.e., open systems sales, upgrades, training and other miscellaneous items), the Company estimates 28% to 36% will be recognized in the next 12 months, and the remaining portion will be recognized thereafter. The Company’s historical experience indicates that some of its customers will cancel or renegotiate contracts as economic conditions change or when product offerings change during the long sales cycle. The Company anticipates a portion of its open contracts may never result in revenue recognition primarily due to the long sales cycle and factors outside of its control, including changes to its customers' needs or financial condition, changes in government or health insurance reimbursement policies, or changes to regulatory requirements. Based on historical experience and management's best estimate, approximately 26% of the Company’s $781.9 million open system sales contracts as of December 31, 2024 may never result in revenue.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Capitalized Contract Costs</w:t>
      </w:r>
    </w:p>
    <w:p>
      <w:pPr>
        <w:spacing w:after="0" w:line="229" w:lineRule="exact"/>
        <w:rPr>
          <w:sz w:val="20"/>
          <w:szCs w:val="20"/>
          <w:color w:val="auto"/>
        </w:rPr>
      </w:pPr>
    </w:p>
    <w:p>
      <w:pPr>
        <w:jc w:val="both"/>
        <w:ind w:right="120" w:firstLine="255"/>
        <w:spacing w:after="0" w:line="266" w:lineRule="auto"/>
        <w:rPr>
          <w:sz w:val="20"/>
          <w:szCs w:val="20"/>
          <w:color w:val="auto"/>
        </w:rPr>
      </w:pPr>
      <w:r>
        <w:rPr>
          <w:rFonts w:ascii="Times New Roman" w:cs="Times New Roman" w:eastAsia="Times New Roman" w:hAnsi="Times New Roman"/>
          <w:sz w:val="18"/>
          <w:szCs w:val="18"/>
          <w:color w:val="auto"/>
        </w:rPr>
        <w:t>As of December 31, 2024 and June 30, 2024, the balance of capitalized costs to obtain a contract was $10.0 million and $9.6 million, respectively. The Company has classified the capitalized costs to obtain a contract as a component of prepaid expenses and other current assets and other assets with respect to the current and non-current portions of capitalized costs, respectively, on the unaudited condensed consolidated balance sheets.</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Expenses related to capitalized costs to obtain a contract consisted of the following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40" w:type="dxa"/>
            <w:vAlign w:val="bottom"/>
            <w:gridSpan w:val="4"/>
          </w:tcPr>
          <w:p>
            <w:pPr>
              <w:jc w:val="center"/>
              <w:ind w:left="20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8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6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center"/>
              <w:ind w:right="30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center"/>
              <w:ind w:left="40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61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8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9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r>
      <w:tr>
        <w:trPr>
          <w:trHeight w:val="210"/>
        </w:trPr>
        <w:tc>
          <w:tcPr>
            <w:tcW w:w="63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of capitalized contract costs</w:t>
            </w:r>
          </w:p>
        </w:tc>
        <w:tc>
          <w:tcPr>
            <w:tcW w:w="680" w:type="dxa"/>
            <w:vAlign w:val="bottom"/>
            <w:shd w:val="clear" w:color="auto" w:fill="CFF0FC"/>
          </w:tcPr>
          <w:p>
            <w:pPr>
              <w:jc w:val="right"/>
              <w:ind w:right="502"/>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940" w:type="dxa"/>
            <w:vAlign w:val="bottom"/>
            <w:gridSpan w:val="2"/>
            <w:shd w:val="clear" w:color="auto" w:fill="CFF0FC"/>
          </w:tcPr>
          <w:p>
            <w:pPr>
              <w:jc w:val="right"/>
              <w:ind w:right="50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120" w:type="dxa"/>
            <w:vAlign w:val="bottom"/>
            <w:shd w:val="clear" w:color="auto" w:fill="CFF0FC"/>
          </w:tcPr>
          <w:p>
            <w:pPr>
              <w:spacing w:after="0"/>
              <w:rPr>
                <w:sz w:val="18"/>
                <w:szCs w:val="18"/>
                <w:color w:val="auto"/>
              </w:rPr>
            </w:pPr>
          </w:p>
        </w:tc>
      </w:tr>
      <w:tr>
        <w:trPr>
          <w:trHeight w:val="234"/>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Impairment loss on capitalized contracts</w:t>
            </w:r>
          </w:p>
        </w:tc>
        <w:tc>
          <w:tcPr>
            <w:tcW w:w="68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Supplemental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 Components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receivables</w:t>
      </w:r>
    </w:p>
    <w:p>
      <w:pPr>
        <w:spacing w:after="0" w:line="229" w:lineRule="exact"/>
        <w:rPr>
          <w:sz w:val="20"/>
          <w:szCs w:val="20"/>
          <w:color w:val="auto"/>
        </w:rPr>
      </w:pPr>
    </w:p>
    <w:p>
      <w:pPr>
        <w:ind w:right="140" w:firstLine="255"/>
        <w:spacing w:after="0" w:line="218" w:lineRule="exact"/>
        <w:rPr>
          <w:sz w:val="20"/>
          <w:szCs w:val="20"/>
          <w:color w:val="auto"/>
        </w:rPr>
      </w:pPr>
      <w:r>
        <w:rPr>
          <w:rFonts w:ascii="Times New Roman" w:cs="Times New Roman" w:eastAsia="Times New Roman" w:hAnsi="Times New Roman"/>
          <w:sz w:val="18"/>
          <w:szCs w:val="18"/>
          <w:color w:val="auto"/>
        </w:rPr>
        <w:t>A financing receivable is a contractual right to receive money, on demand or on fixed or determinable dates, that is recognized as an asset on the Company’s balance sheets. The Company’s financing receivables, consisting of its accounts receivable with contractual maturities of more than one year are included in other assets on the unaudited condensed consolidated balance sheets. The Company evaluates the credit quality of a customer at contract inception and monitors credit quality over the term of the underlying transactions. The Company performs a credit analysis for all new orders and reviews payment history, current order backlog, financial performance of the customers and other variables that augment or mitigate the inherent credit risk of a particular transaction. Such variables include the underlying value and liquidity of the collateral, the essential use of the equipment, the contract term and the inclusion of credit enhancements, such as guarantees, letters of credit or security deposits. The Company classifies accounts as high risk when it considers the financing receivable to be impaired or when management believes there is a significant near-term risk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payment. The Company performs an assessment each quarter of the allowance for credit losses related to its financing receivables.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0" w:name="page11"/>
    <w:bookmarkEnd w:id="10"/>
    <w:p>
      <w:pPr>
        <w:ind w:left="260"/>
        <w:spacing w:after="0"/>
        <w:rPr>
          <w:sz w:val="20"/>
          <w:szCs w:val="20"/>
          <w:color w:val="auto"/>
        </w:rPr>
      </w:pPr>
      <w:r>
        <w:rPr>
          <w:rFonts w:ascii="Times New Roman" w:cs="Times New Roman" w:eastAsia="Times New Roman" w:hAnsi="Times New Roman"/>
          <w:sz w:val="18"/>
          <w:szCs w:val="18"/>
          <w:color w:val="auto"/>
        </w:rPr>
        <w:t>A summary of the Company’s financing receivables is presented as follows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73"/>
        </w:trPr>
        <w:tc>
          <w:tcPr>
            <w:tcW w:w="75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3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23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5"/>
                <w:szCs w:val="15"/>
                <w:color w:val="auto"/>
              </w:rPr>
            </w:pPr>
          </w:p>
        </w:tc>
      </w:tr>
      <w:tr>
        <w:trPr>
          <w:trHeight w:val="209"/>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Financing receivables</w:t>
            </w:r>
          </w:p>
        </w:tc>
        <w:tc>
          <w:tcPr>
            <w:tcW w:w="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3,481</w:t>
            </w:r>
          </w:p>
        </w:tc>
        <w:tc>
          <w:tcPr>
            <w:tcW w:w="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2,871</w:t>
            </w:r>
          </w:p>
        </w:tc>
        <w:tc>
          <w:tcPr>
            <w:tcW w:w="100" w:type="dxa"/>
            <w:vAlign w:val="bottom"/>
            <w:shd w:val="clear" w:color="auto" w:fill="CFF0FC"/>
          </w:tcPr>
          <w:p>
            <w:pPr>
              <w:spacing w:after="0"/>
              <w:rPr>
                <w:sz w:val="18"/>
                <w:szCs w:val="18"/>
                <w:color w:val="auto"/>
              </w:rPr>
            </w:pPr>
          </w:p>
        </w:tc>
      </w:tr>
      <w:tr>
        <w:trPr>
          <w:trHeight w:val="216"/>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50"/>
        </w:trPr>
        <w:tc>
          <w:tcPr>
            <w:tcW w:w="7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net</w:t>
            </w:r>
          </w:p>
        </w:tc>
        <w:tc>
          <w:tcPr>
            <w:tcW w:w="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3,481</w:t>
            </w:r>
          </w:p>
        </w:tc>
        <w:tc>
          <w:tcPr>
            <w:tcW w:w="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2,871</w:t>
            </w:r>
          </w:p>
        </w:tc>
        <w:tc>
          <w:tcPr>
            <w:tcW w:w="100" w:type="dxa"/>
            <w:vAlign w:val="bottom"/>
            <w:shd w:val="clear" w:color="auto" w:fill="CFF0FC"/>
          </w:tcPr>
          <w:p>
            <w:pPr>
              <w:spacing w:after="0"/>
              <w:rPr>
                <w:sz w:val="21"/>
                <w:szCs w:val="21"/>
                <w:color w:val="auto"/>
              </w:rPr>
            </w:pPr>
          </w:p>
        </w:tc>
      </w:tr>
      <w:tr>
        <w:trPr>
          <w:trHeight w:val="197"/>
        </w:trPr>
        <w:tc>
          <w:tcPr>
            <w:tcW w:w="7520" w:type="dxa"/>
            <w:vAlign w:val="bottom"/>
            <w:tcBorders>
              <w:top w:val="single" w:sz="8" w:color="CFF0FC"/>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Reported as:</w:t>
            </w:r>
          </w:p>
        </w:tc>
        <w:tc>
          <w:tcPr>
            <w:tcW w:w="18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7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Current</w:t>
            </w:r>
          </w:p>
        </w:tc>
        <w:tc>
          <w:tcPr>
            <w:tcW w:w="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100" w:type="dxa"/>
            <w:vAlign w:val="bottom"/>
            <w:shd w:val="clear" w:color="auto" w:fill="CFF0FC"/>
          </w:tcPr>
          <w:p>
            <w:pPr>
              <w:spacing w:after="0"/>
              <w:rPr>
                <w:sz w:val="18"/>
                <w:szCs w:val="18"/>
                <w:color w:val="auto"/>
              </w:rPr>
            </w:pPr>
          </w:p>
        </w:tc>
      </w:tr>
      <w:tr>
        <w:trPr>
          <w:trHeight w:val="216"/>
        </w:trPr>
        <w:tc>
          <w:tcPr>
            <w:tcW w:w="7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Non-current</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2,245</w:t>
            </w:r>
          </w:p>
        </w:tc>
        <w:tc>
          <w:tcPr>
            <w:tcW w:w="3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1,531</w:t>
            </w:r>
          </w:p>
        </w:tc>
        <w:tc>
          <w:tcPr>
            <w:tcW w:w="100" w:type="dxa"/>
            <w:vAlign w:val="bottom"/>
          </w:tcPr>
          <w:p>
            <w:pPr>
              <w:spacing w:after="0"/>
              <w:rPr>
                <w:sz w:val="18"/>
                <w:szCs w:val="18"/>
                <w:color w:val="auto"/>
              </w:rPr>
            </w:pPr>
          </w:p>
        </w:tc>
      </w:tr>
      <w:tr>
        <w:trPr>
          <w:trHeight w:val="249"/>
        </w:trPr>
        <w:tc>
          <w:tcPr>
            <w:tcW w:w="7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net</w:t>
            </w:r>
          </w:p>
        </w:tc>
        <w:tc>
          <w:tcPr>
            <w:tcW w:w="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3,481</w:t>
            </w:r>
          </w:p>
        </w:tc>
        <w:tc>
          <w:tcPr>
            <w:tcW w:w="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2,871</w:t>
            </w:r>
          </w:p>
        </w:tc>
        <w:tc>
          <w:tcPr>
            <w:tcW w:w="100" w:type="dxa"/>
            <w:vAlign w:val="bottom"/>
            <w:shd w:val="clear" w:color="auto" w:fill="CFF0FC"/>
          </w:tcPr>
          <w:p>
            <w:pPr>
              <w:spacing w:after="0"/>
              <w:rPr>
                <w:sz w:val="21"/>
                <w:szCs w:val="21"/>
                <w:color w:val="auto"/>
              </w:rPr>
            </w:pPr>
          </w:p>
        </w:tc>
      </w:tr>
      <w:tr>
        <w:trPr>
          <w:trHeight w:val="507"/>
        </w:trPr>
        <w:tc>
          <w:tcPr>
            <w:tcW w:w="75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Inventories, net</w:t>
            </w:r>
          </w:p>
        </w:tc>
        <w:tc>
          <w:tcPr>
            <w:tcW w:w="18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392"/>
        </w:trPr>
        <w:tc>
          <w:tcPr>
            <w:tcW w:w="7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Inventories consisted of the following (in thousands):</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0"/>
        </w:trPr>
        <w:tc>
          <w:tcPr>
            <w:tcW w:w="7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73"/>
        </w:trPr>
        <w:tc>
          <w:tcPr>
            <w:tcW w:w="7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3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23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5"/>
                <w:szCs w:val="15"/>
                <w:color w:val="auto"/>
              </w:rPr>
            </w:pPr>
          </w:p>
        </w:tc>
      </w:tr>
      <w:tr>
        <w:trPr>
          <w:trHeight w:val="209"/>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61,007</w:t>
            </w:r>
          </w:p>
        </w:tc>
        <w:tc>
          <w:tcPr>
            <w:tcW w:w="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57,699</w:t>
            </w:r>
          </w:p>
        </w:tc>
        <w:tc>
          <w:tcPr>
            <w:tcW w:w="100" w:type="dxa"/>
            <w:vAlign w:val="bottom"/>
            <w:shd w:val="clear" w:color="auto" w:fill="CFF0FC"/>
          </w:tcPr>
          <w:p>
            <w:pPr>
              <w:spacing w:after="0"/>
              <w:rPr>
                <w:sz w:val="18"/>
                <w:szCs w:val="18"/>
                <w:color w:val="auto"/>
              </w:rPr>
            </w:pPr>
          </w:p>
        </w:tc>
      </w:tr>
      <w:tr>
        <w:trPr>
          <w:trHeight w:val="216"/>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13,949</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13,629</w:t>
            </w:r>
          </w:p>
        </w:tc>
        <w:tc>
          <w:tcPr>
            <w:tcW w:w="100" w:type="dxa"/>
            <w:vAlign w:val="bottom"/>
          </w:tcPr>
          <w:p>
            <w:pPr>
              <w:spacing w:after="0"/>
              <w:rPr>
                <w:sz w:val="18"/>
                <w:szCs w:val="18"/>
                <w:color w:val="auto"/>
              </w:rPr>
            </w:pPr>
          </w:p>
        </w:tc>
      </w:tr>
      <w:tr>
        <w:trPr>
          <w:trHeight w:val="216"/>
        </w:trPr>
        <w:tc>
          <w:tcPr>
            <w:tcW w:w="7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73,870</w:t>
            </w:r>
          </w:p>
        </w:tc>
        <w:tc>
          <w:tcPr>
            <w:tcW w:w="3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66,996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Inventories, net</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148,826</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138,324</w:t>
            </w:r>
          </w:p>
        </w:tc>
        <w:tc>
          <w:tcPr>
            <w:tcW w:w="100" w:type="dxa"/>
            <w:vAlign w:val="bottom"/>
          </w:tcPr>
          <w:p>
            <w:pPr>
              <w:spacing w:after="0"/>
              <w:rPr>
                <w:sz w:val="18"/>
                <w:szCs w:val="18"/>
                <w:color w:val="auto"/>
              </w:rPr>
            </w:pPr>
          </w:p>
        </w:tc>
      </w:tr>
      <w:tr>
        <w:trPr>
          <w:trHeight w:val="20"/>
        </w:trPr>
        <w:tc>
          <w:tcPr>
            <w:tcW w:w="7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-2108200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-2091055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-2108200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-2091055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-1525270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-1508125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-1525270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-1508125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-170815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Company's inventories on the unaudited condensed consolidated balance sheets are net of reserves.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Prepaid and Other Current Assets</w:t>
      </w: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Prepaid and other current assets consisted of the following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00" w:type="dxa"/>
            <w:vAlign w:val="bottom"/>
          </w:tcPr>
          <w:p>
            <w:pPr>
              <w:spacing w:after="0"/>
              <w:rPr>
                <w:sz w:val="13"/>
                <w:szCs w:val="13"/>
                <w:color w:val="auto"/>
              </w:rPr>
            </w:pPr>
          </w:p>
        </w:tc>
        <w:tc>
          <w:tcPr>
            <w:tcW w:w="13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73"/>
        </w:trPr>
        <w:tc>
          <w:tcPr>
            <w:tcW w:w="54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3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23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Value added tax receivables</w:t>
            </w:r>
          </w:p>
        </w:tc>
        <w:tc>
          <w:tcPr>
            <w:tcW w:w="24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6,607</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commissions</w:t>
            </w:r>
          </w:p>
        </w:tc>
        <w:tc>
          <w:tcPr>
            <w:tcW w:w="2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4,894</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Capitalized contract costs</w:t>
            </w:r>
          </w:p>
        </w:tc>
        <w:tc>
          <w:tcPr>
            <w:tcW w:w="2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1,835</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receivable</w:t>
            </w:r>
          </w:p>
        </w:tc>
        <w:tc>
          <w:tcPr>
            <w:tcW w:w="2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Dividend receivable from JV</w:t>
            </w:r>
          </w:p>
        </w:tc>
        <w:tc>
          <w:tcPr>
            <w:tcW w:w="2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prepaid assets</w:t>
            </w:r>
          </w:p>
        </w:tc>
        <w:tc>
          <w:tcPr>
            <w:tcW w:w="2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6,572</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2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4,579</w:t>
            </w:r>
          </w:p>
        </w:tc>
        <w:tc>
          <w:tcPr>
            <w:tcW w:w="3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prepaid and other current assets</w:t>
            </w:r>
          </w:p>
        </w:tc>
        <w:tc>
          <w:tcPr>
            <w:tcW w:w="24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25,440</w:t>
            </w:r>
          </w:p>
        </w:tc>
        <w:tc>
          <w:tcPr>
            <w:tcW w:w="30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2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460" w:type="dxa"/>
            <w:vAlign w:val="bottom"/>
            <w:vMerge w:val="continue"/>
          </w:tcPr>
          <w:p>
            <w:pPr>
              <w:spacing w:after="0"/>
              <w:rPr>
                <w:sz w:val="24"/>
                <w:szCs w:val="24"/>
                <w:color w:val="auto"/>
              </w:rPr>
            </w:pPr>
          </w:p>
        </w:tc>
        <w:tc>
          <w:tcPr>
            <w:tcW w:w="2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tc>
        <w:tc>
          <w:tcPr>
            <w:tcW w:w="2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54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00" w:type="dxa"/>
            <w:vAlign w:val="bottom"/>
          </w:tcPr>
          <w:p>
            <w:pPr>
              <w:spacing w:after="0"/>
              <w:rPr>
                <w:sz w:val="24"/>
                <w:szCs w:val="24"/>
                <w:color w:val="auto"/>
              </w:rPr>
            </w:pPr>
          </w:p>
        </w:tc>
        <w:tc>
          <w:tcPr>
            <w:tcW w:w="13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73"/>
        </w:trPr>
        <w:tc>
          <w:tcPr>
            <w:tcW w:w="54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3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23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24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46,596</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45,539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31,652</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2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11,333</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11,308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and office equipment</w:t>
            </w:r>
          </w:p>
        </w:tc>
        <w:tc>
          <w:tcPr>
            <w:tcW w:w="2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6,430</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2,102</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4,121</w:t>
            </w:r>
          </w:p>
        </w:tc>
        <w:tc>
          <w:tcPr>
            <w:tcW w:w="3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60" w:type="dxa"/>
            <w:vAlign w:val="bottom"/>
            <w:shd w:val="clear" w:color="auto" w:fill="CFF0FC"/>
          </w:tcPr>
          <w:p>
            <w:pPr>
              <w:spacing w:after="0"/>
              <w:rPr>
                <w:sz w:val="18"/>
                <w:szCs w:val="18"/>
                <w:color w:val="auto"/>
              </w:rPr>
            </w:pPr>
          </w:p>
        </w:tc>
        <w:tc>
          <w:tcPr>
            <w:tcW w:w="2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102,234</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98,457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(75,353 )</w:t>
            </w:r>
          </w:p>
        </w:tc>
        <w:tc>
          <w:tcPr>
            <w:tcW w:w="30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(73,683 )</w:t>
            </w:r>
          </w:p>
        </w:tc>
        <w:tc>
          <w:tcPr>
            <w:tcW w:w="0" w:type="dxa"/>
            <w:vAlign w:val="bottom"/>
          </w:tcPr>
          <w:p>
            <w:pPr>
              <w:spacing w:after="0"/>
              <w:rPr>
                <w:sz w:val="1"/>
                <w:szCs w:val="1"/>
                <w:color w:val="auto"/>
              </w:rPr>
            </w:pPr>
          </w:p>
        </w:tc>
      </w:tr>
      <w:tr>
        <w:trPr>
          <w:trHeight w:val="250"/>
        </w:trPr>
        <w:tc>
          <w:tcPr>
            <w:tcW w:w="54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26,881</w:t>
            </w:r>
          </w:p>
        </w:tc>
        <w:tc>
          <w:tcPr>
            <w:tcW w:w="3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24,774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628"/>
        </w:trPr>
        <w:tc>
          <w:tcPr>
            <w:tcW w:w="5460" w:type="dxa"/>
            <w:vAlign w:val="bottom"/>
          </w:tcPr>
          <w:p>
            <w:pPr>
              <w:spacing w:after="0"/>
              <w:rPr>
                <w:sz w:val="24"/>
                <w:szCs w:val="24"/>
                <w:color w:val="auto"/>
              </w:rPr>
            </w:pPr>
          </w:p>
        </w:tc>
        <w:tc>
          <w:tcPr>
            <w:tcW w:w="2240" w:type="dxa"/>
            <w:vAlign w:val="bottom"/>
          </w:tcPr>
          <w:p>
            <w:pPr>
              <w:jc w:val="right"/>
              <w:ind w:right="1890"/>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46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-3359785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-3359785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-933450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-916305</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1" w:name="page12"/>
    <w:bookmarkEnd w:id="11"/>
    <w:p>
      <w:pPr>
        <w:ind w:right="120" w:firstLine="300"/>
        <w:spacing w:after="0" w:line="282" w:lineRule="auto"/>
        <w:rPr>
          <w:sz w:val="20"/>
          <w:szCs w:val="20"/>
          <w:color w:val="auto"/>
        </w:rPr>
      </w:pPr>
      <w:r>
        <w:rPr>
          <w:rFonts w:ascii="Times New Roman" w:cs="Times New Roman" w:eastAsia="Times New Roman" w:hAnsi="Times New Roman"/>
          <w:sz w:val="18"/>
          <w:szCs w:val="18"/>
          <w:color w:val="auto"/>
        </w:rPr>
        <w:t>Depreciation expense related to property and equipment was $1.5 million and $3.0 million during the three and six months ended December 31, 2024, and $1.5 million and $2.7 million during the three and six months ended December 31, 2023, respectively.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Activity related to goodwill consisted of the following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00" w:type="dxa"/>
            <w:vAlign w:val="bottom"/>
          </w:tcPr>
          <w:p>
            <w:pPr>
              <w:spacing w:after="0"/>
              <w:rPr>
                <w:sz w:val="13"/>
                <w:szCs w:val="13"/>
                <w:color w:val="auto"/>
              </w:rPr>
            </w:pPr>
          </w:p>
        </w:tc>
        <w:tc>
          <w:tcPr>
            <w:tcW w:w="138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73"/>
        </w:trPr>
        <w:tc>
          <w:tcPr>
            <w:tcW w:w="77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09"/>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the beginning of the period</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57,672</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57,681</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Currency translation</w:t>
            </w:r>
          </w:p>
        </w:tc>
        <w:tc>
          <w:tcPr>
            <w:tcW w:w="24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(29 )</w:t>
            </w:r>
          </w:p>
        </w:tc>
        <w:tc>
          <w:tcPr>
            <w:tcW w:w="30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(9 )</w:t>
            </w:r>
          </w:p>
        </w:tc>
      </w:tr>
      <w:tr>
        <w:trPr>
          <w:trHeight w:val="249"/>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the end of the period</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57,643</w:t>
            </w:r>
          </w:p>
        </w:tc>
        <w:tc>
          <w:tcPr>
            <w:tcW w:w="3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57,672</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-25400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-8255</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100" w:firstLine="255"/>
        <w:spacing w:after="0" w:line="282" w:lineRule="auto"/>
        <w:rPr>
          <w:sz w:val="20"/>
          <w:szCs w:val="20"/>
          <w:color w:val="auto"/>
        </w:rPr>
      </w:pPr>
      <w:r>
        <w:rPr>
          <w:rFonts w:ascii="Times New Roman" w:cs="Times New Roman" w:eastAsia="Times New Roman" w:hAnsi="Times New Roman"/>
          <w:sz w:val="18"/>
          <w:szCs w:val="18"/>
          <w:color w:val="auto"/>
        </w:rPr>
        <w:t>The Company performed its annual goodwill impairment test in the quarter ended December 31, 2024, and determined that there was no impairment to goodwill. The Company will continue to monitor its recorded goodwill for indicators of impairment every fiscal quarter.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Assets</w:t>
      </w: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Other assets consisted of the following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73"/>
        </w:trPr>
        <w:tc>
          <w:tcPr>
            <w:tcW w:w="76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09"/>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Capitalized contract costs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8,195</w:t>
            </w:r>
          </w:p>
        </w:tc>
        <w:tc>
          <w:tcPr>
            <w:tcW w:w="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7,768</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accounts receivable</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3,254</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2,859</w:t>
            </w: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Capitalized software costs</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6,976</w:t>
            </w: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4,683</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Purchased intangible assets, net</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asset</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2,919</w:t>
            </w:r>
          </w:p>
        </w:tc>
        <w:tc>
          <w:tcPr>
            <w:tcW w:w="3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1,981</w:t>
            </w:r>
          </w:p>
        </w:tc>
        <w:tc>
          <w:tcPr>
            <w:tcW w:w="100" w:type="dxa"/>
            <w:vAlign w:val="bottom"/>
          </w:tcPr>
          <w:p>
            <w:pPr>
              <w:spacing w:after="0"/>
              <w:rPr>
                <w:sz w:val="18"/>
                <w:szCs w:val="18"/>
                <w:color w:val="auto"/>
              </w:rPr>
            </w:pPr>
          </w:p>
        </w:tc>
      </w:tr>
      <w:tr>
        <w:trPr>
          <w:trHeight w:val="249"/>
        </w:trPr>
        <w:tc>
          <w:tcPr>
            <w:tcW w:w="76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other assets</w:t>
            </w: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22,043</w:t>
            </w:r>
          </w:p>
        </w:tc>
        <w:tc>
          <w:tcPr>
            <w:tcW w:w="3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18,009</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-25400</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-8255</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7"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The Company did not identify any triggering events that would indicate a potential impairment of its definite-lived intangible and long-lived assets as of December 31, 2024. There was no amortization expense or amounts written down to net realizable value for the capitalized software costs to be sold during the three and six months ended December 31, 2024 and 2023.</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Accrued Liabilities</w:t>
      </w: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Other accrued liabilities consisted of the following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73"/>
        </w:trPr>
        <w:tc>
          <w:tcPr>
            <w:tcW w:w="396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r>
      <w:tr>
        <w:trPr>
          <w:trHeight w:val="210"/>
        </w:trPr>
        <w:tc>
          <w:tcPr>
            <w:tcW w:w="3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Value added tax liabilities</w:t>
            </w:r>
          </w:p>
        </w:tc>
        <w:tc>
          <w:tcPr>
            <w:tcW w:w="3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8,016</w:t>
            </w:r>
          </w:p>
        </w:tc>
        <w:tc>
          <w:tcPr>
            <w:tcW w:w="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5,048</w:t>
            </w:r>
          </w:p>
        </w:tc>
        <w:tc>
          <w:tcPr>
            <w:tcW w:w="120" w:type="dxa"/>
            <w:vAlign w:val="bottom"/>
            <w:shd w:val="clear" w:color="auto" w:fill="CFF0FC"/>
          </w:tcPr>
          <w:p>
            <w:pPr>
              <w:spacing w:after="0"/>
              <w:rPr>
                <w:sz w:val="18"/>
                <w:szCs w:val="18"/>
                <w:color w:val="auto"/>
              </w:rPr>
            </w:pPr>
          </w:p>
        </w:tc>
      </w:tr>
      <w:tr>
        <w:trPr>
          <w:trHeight w:val="216"/>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Commissions due to third parties</w:t>
            </w:r>
          </w:p>
        </w:tc>
        <w:tc>
          <w:tcPr>
            <w:tcW w:w="3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5,202</w:t>
            </w:r>
          </w:p>
        </w:tc>
        <w:tc>
          <w:tcPr>
            <w:tcW w:w="120" w:type="dxa"/>
            <w:vAlign w:val="bottom"/>
          </w:tcPr>
          <w:p>
            <w:pPr>
              <w:spacing w:after="0"/>
              <w:rPr>
                <w:sz w:val="18"/>
                <w:szCs w:val="18"/>
                <w:color w:val="auto"/>
              </w:rPr>
            </w:pPr>
          </w:p>
        </w:tc>
      </w:tr>
      <w:tr>
        <w:trPr>
          <w:trHeight w:val="216"/>
        </w:trPr>
        <w:tc>
          <w:tcPr>
            <w:tcW w:w="3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Refunds due to customers</w:t>
            </w:r>
          </w:p>
        </w:tc>
        <w:tc>
          <w:tcPr>
            <w:tcW w:w="3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3,876</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6,079</w:t>
            </w:r>
          </w:p>
        </w:tc>
        <w:tc>
          <w:tcPr>
            <w:tcW w:w="120" w:type="dxa"/>
            <w:vAlign w:val="bottom"/>
            <w:shd w:val="clear" w:color="auto" w:fill="CFF0FC"/>
          </w:tcPr>
          <w:p>
            <w:pPr>
              <w:spacing w:after="0"/>
              <w:rPr>
                <w:sz w:val="18"/>
                <w:szCs w:val="18"/>
                <w:color w:val="auto"/>
              </w:rPr>
            </w:pPr>
          </w:p>
        </w:tc>
      </w:tr>
      <w:tr>
        <w:trPr>
          <w:trHeight w:val="216"/>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consulting</w:t>
            </w:r>
          </w:p>
        </w:tc>
        <w:tc>
          <w:tcPr>
            <w:tcW w:w="3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120" w:type="dxa"/>
            <w:vAlign w:val="bottom"/>
          </w:tcPr>
          <w:p>
            <w:pPr>
              <w:spacing w:after="0"/>
              <w:rPr>
                <w:sz w:val="18"/>
                <w:szCs w:val="18"/>
                <w:color w:val="auto"/>
              </w:rPr>
            </w:pPr>
          </w:p>
        </w:tc>
      </w:tr>
      <w:tr>
        <w:trPr>
          <w:trHeight w:val="216"/>
        </w:trPr>
        <w:tc>
          <w:tcPr>
            <w:tcW w:w="3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royalties</w:t>
            </w:r>
          </w:p>
        </w:tc>
        <w:tc>
          <w:tcPr>
            <w:tcW w:w="3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2,974</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2,939</w:t>
            </w:r>
          </w:p>
        </w:tc>
        <w:tc>
          <w:tcPr>
            <w:tcW w:w="120" w:type="dxa"/>
            <w:vAlign w:val="bottom"/>
            <w:shd w:val="clear" w:color="auto" w:fill="CFF0FC"/>
          </w:tcPr>
          <w:p>
            <w:pPr>
              <w:spacing w:after="0"/>
              <w:rPr>
                <w:sz w:val="18"/>
                <w:szCs w:val="18"/>
                <w:color w:val="auto"/>
              </w:rPr>
            </w:pPr>
          </w:p>
        </w:tc>
      </w:tr>
      <w:tr>
        <w:trPr>
          <w:trHeight w:val="216"/>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payable</w:t>
            </w:r>
          </w:p>
        </w:tc>
        <w:tc>
          <w:tcPr>
            <w:tcW w:w="3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20" w:type="dxa"/>
            <w:vAlign w:val="bottom"/>
          </w:tcPr>
          <w:p>
            <w:pPr>
              <w:spacing w:after="0"/>
              <w:rPr>
                <w:sz w:val="18"/>
                <w:szCs w:val="18"/>
                <w:color w:val="auto"/>
              </w:rPr>
            </w:pPr>
          </w:p>
        </w:tc>
      </w:tr>
      <w:tr>
        <w:trPr>
          <w:trHeight w:val="216"/>
        </w:trPr>
        <w:tc>
          <w:tcPr>
            <w:tcW w:w="3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payable</w:t>
            </w:r>
          </w:p>
        </w:tc>
        <w:tc>
          <w:tcPr>
            <w:tcW w:w="3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120" w:type="dxa"/>
            <w:vAlign w:val="bottom"/>
            <w:shd w:val="clear" w:color="auto" w:fill="CFF0FC"/>
          </w:tcPr>
          <w:p>
            <w:pPr>
              <w:spacing w:after="0"/>
              <w:rPr>
                <w:sz w:val="18"/>
                <w:szCs w:val="18"/>
                <w:color w:val="auto"/>
              </w:rPr>
            </w:pPr>
          </w:p>
        </w:tc>
      </w:tr>
      <w:tr>
        <w:trPr>
          <w:trHeight w:val="216"/>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37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7,646</w:t>
            </w:r>
          </w:p>
        </w:tc>
        <w:tc>
          <w:tcPr>
            <w:tcW w:w="3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6,311</w:t>
            </w:r>
          </w:p>
        </w:tc>
        <w:tc>
          <w:tcPr>
            <w:tcW w:w="120" w:type="dxa"/>
            <w:vAlign w:val="bottom"/>
          </w:tcPr>
          <w:p>
            <w:pPr>
              <w:spacing w:after="0"/>
              <w:rPr>
                <w:sz w:val="18"/>
                <w:szCs w:val="18"/>
                <w:color w:val="auto"/>
              </w:rPr>
            </w:pPr>
          </w:p>
        </w:tc>
      </w:tr>
      <w:tr>
        <w:trPr>
          <w:trHeight w:val="250"/>
        </w:trPr>
        <w:tc>
          <w:tcPr>
            <w:tcW w:w="3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other accrued liabilities</w:t>
            </w:r>
          </w:p>
        </w:tc>
        <w:tc>
          <w:tcPr>
            <w:tcW w:w="3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27,987</w:t>
            </w:r>
          </w:p>
        </w:tc>
        <w:tc>
          <w:tcPr>
            <w:tcW w:w="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28,508</w:t>
            </w:r>
          </w:p>
        </w:tc>
        <w:tc>
          <w:tcPr>
            <w:tcW w:w="120" w:type="dxa"/>
            <w:vAlign w:val="bottom"/>
            <w:shd w:val="clear" w:color="auto" w:fill="CFF0FC"/>
          </w:tcPr>
          <w:p>
            <w:pPr>
              <w:spacing w:after="0"/>
              <w:rPr>
                <w:sz w:val="21"/>
                <w:szCs w:val="21"/>
                <w:color w:val="auto"/>
              </w:rPr>
            </w:pPr>
          </w:p>
        </w:tc>
      </w:tr>
      <w:tr>
        <w:trPr>
          <w:trHeight w:val="628"/>
        </w:trPr>
        <w:tc>
          <w:tcPr>
            <w:tcW w:w="3960" w:type="dxa"/>
            <w:vAlign w:val="bottom"/>
            <w:tcBorders>
              <w:top w:val="single" w:sz="8" w:color="CFF0FC"/>
            </w:tcBorders>
          </w:tcPr>
          <w:p>
            <w:pPr>
              <w:spacing w:after="0"/>
              <w:rPr>
                <w:sz w:val="24"/>
                <w:szCs w:val="24"/>
                <w:color w:val="auto"/>
              </w:rPr>
            </w:pPr>
          </w:p>
        </w:tc>
        <w:tc>
          <w:tcPr>
            <w:tcW w:w="3700" w:type="dxa"/>
            <w:vAlign w:val="bottom"/>
            <w:tcBorders>
              <w:top w:val="single" w:sz="8" w:color="CFF0FC"/>
            </w:tcBorders>
          </w:tcPr>
          <w:p>
            <w:pPr>
              <w:jc w:val="right"/>
              <w:ind w:right="1850"/>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r>
      <w:tr>
        <w:trPr>
          <w:trHeight w:val="763"/>
        </w:trPr>
        <w:tc>
          <w:tcPr>
            <w:tcW w:w="3960" w:type="dxa"/>
            <w:vAlign w:val="bottom"/>
            <w:tcBorders>
              <w:bottom w:val="single" w:sz="8" w:color="9A9A9A"/>
            </w:tcBorders>
          </w:tcPr>
          <w:p>
            <w:pPr>
              <w:spacing w:after="0"/>
              <w:rPr>
                <w:sz w:val="24"/>
                <w:szCs w:val="24"/>
                <w:color w:val="auto"/>
              </w:rPr>
            </w:pPr>
          </w:p>
        </w:tc>
        <w:tc>
          <w:tcPr>
            <w:tcW w:w="37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-933450</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-916305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-933450</wp:posOffset>
            </wp:positionV>
            <wp:extent cx="7747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-916305</wp:posOffset>
            </wp:positionV>
            <wp:extent cx="7747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Treasury Stock</w:t>
      </w:r>
    </w:p>
    <w:p>
      <w:pPr>
        <w:spacing w:after="0" w:line="229" w:lineRule="exact"/>
        <w:rPr>
          <w:sz w:val="20"/>
          <w:szCs w:val="20"/>
          <w:color w:val="auto"/>
        </w:rPr>
      </w:pPr>
    </w:p>
    <w:p>
      <w:pPr>
        <w:jc w:val="both"/>
        <w:ind w:right="460" w:firstLine="255"/>
        <w:spacing w:after="0" w:line="266" w:lineRule="auto"/>
        <w:rPr>
          <w:sz w:val="20"/>
          <w:szCs w:val="20"/>
          <w:color w:val="auto"/>
        </w:rPr>
      </w:pPr>
      <w:r>
        <w:rPr>
          <w:rFonts w:ascii="Times New Roman" w:cs="Times New Roman" w:eastAsia="Times New Roman" w:hAnsi="Times New Roman"/>
          <w:sz w:val="18"/>
          <w:szCs w:val="18"/>
          <w:color w:val="auto"/>
        </w:rPr>
        <w:t>The Company records treasury stock at cost. Treasury stock is comprised of shares of common stock purchased by the Company in the secondary market. As of December 31, 2024 and June 30, 2024, the Company had 3.1 million shares of treasury stock valued at $14.1 million. Treasury stock is included in Additional paid-in capital on the unaudited condensed consolidated balance sheets.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p>
      <w:pPr>
        <w:spacing w:after="0" w:line="202" w:lineRule="exact"/>
        <w:rPr>
          <w:sz w:val="20"/>
          <w:szCs w:val="20"/>
          <w:color w:val="auto"/>
        </w:rPr>
      </w:pPr>
    </w:p>
    <w:p>
      <w:pPr>
        <w:ind w:right="80" w:firstLine="255"/>
        <w:spacing w:after="0" w:line="258" w:lineRule="auto"/>
        <w:rPr>
          <w:sz w:val="20"/>
          <w:szCs w:val="20"/>
          <w:color w:val="auto"/>
        </w:rPr>
      </w:pPr>
      <w:r>
        <w:rPr>
          <w:rFonts w:ascii="Times New Roman" w:cs="Times New Roman" w:eastAsia="Times New Roman" w:hAnsi="Times New Roman"/>
          <w:sz w:val="18"/>
          <w:szCs w:val="18"/>
          <w:color w:val="auto"/>
        </w:rPr>
        <w:t>The changes in accumulated other comprehensive loss are excluded from earnings and reported as a component of stockholders’ equity. The foreign currency translation adjustment results from those subsidiaries not using the U.S. Dollar as their functional currency since the majority of their economic activities are primarily denominated in their applicable local currency. Accordingly, all assets and liabilities related to these operations are translated to the U.S. Dollar at the current exchange rates at the end of each period. Revenues and expenses are translated at average exchange rates in effect during the period.</w:t>
      </w:r>
    </w:p>
    <w:p>
      <w:pPr>
        <w:spacing w:after="0" w:line="143" w:lineRule="exact"/>
        <w:rPr>
          <w:sz w:val="20"/>
          <w:szCs w:val="20"/>
          <w:color w:val="auto"/>
        </w:rPr>
      </w:pPr>
    </w:p>
    <w:p>
      <w:pPr>
        <w:ind w:right="680" w:firstLine="255"/>
        <w:spacing w:after="0" w:line="282" w:lineRule="auto"/>
        <w:rPr>
          <w:sz w:val="20"/>
          <w:szCs w:val="20"/>
          <w:color w:val="auto"/>
        </w:rPr>
      </w:pPr>
      <w:r>
        <w:rPr>
          <w:rFonts w:ascii="Times New Roman" w:cs="Times New Roman" w:eastAsia="Times New Roman" w:hAnsi="Times New Roman"/>
          <w:sz w:val="18"/>
          <w:szCs w:val="18"/>
          <w:color w:val="auto"/>
        </w:rPr>
        <w:t>The components of accumulated other comprehensive income (loss) in the stockholders' equity section of the Company’s unaudited condensed consolidated balance sheets are as follows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2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6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gridSpan w:val="2"/>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0"/>
        </w:trPr>
        <w:tc>
          <w:tcPr>
            <w:tcW w:w="64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Cumulative foreign currency translation adjustment</w:t>
            </w:r>
          </w:p>
        </w:tc>
        <w:tc>
          <w:tcPr>
            <w:tcW w:w="6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tcBorders>
              <w:left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(5,956 )</w:t>
            </w:r>
          </w:p>
        </w:tc>
        <w:tc>
          <w:tcPr>
            <w:tcW w:w="5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w w:val="98"/>
              </w:rPr>
              <w:t>(4,777 )</w:t>
            </w:r>
          </w:p>
        </w:tc>
      </w:tr>
      <w:tr>
        <w:trPr>
          <w:trHeight w:val="216"/>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Defined benefit pension obligation</w:t>
            </w: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tcPr>
          <w:p>
            <w:pPr>
              <w:spacing w:after="0"/>
              <w:rPr>
                <w:sz w:val="18"/>
                <w:szCs w:val="18"/>
                <w:color w:val="auto"/>
              </w:rPr>
            </w:pPr>
          </w:p>
        </w:tc>
      </w:tr>
      <w:tr>
        <w:trPr>
          <w:trHeight w:val="249"/>
        </w:trPr>
        <w:tc>
          <w:tcPr>
            <w:tcW w:w="64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6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20" w:type="dxa"/>
            <w:vAlign w:val="bottom"/>
            <w:tcBorders>
              <w:left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(5,401 )</w:t>
            </w:r>
          </w:p>
        </w:tc>
        <w:tc>
          <w:tcPr>
            <w:tcW w:w="5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w w:val="98"/>
              </w:rPr>
              <w:t>(4,222 )</w:t>
            </w:r>
          </w:p>
        </w:tc>
      </w:tr>
      <w:tr>
        <w:trPr>
          <w:trHeight w:val="413"/>
        </w:trPr>
        <w:tc>
          <w:tcPr>
            <w:tcW w:w="640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Statements of Operations</w:t>
            </w:r>
          </w:p>
        </w:tc>
        <w:tc>
          <w:tcPr>
            <w:tcW w:w="660" w:type="dxa"/>
            <w:vAlign w:val="bottom"/>
            <w:tcBorders>
              <w:top w:val="single" w:sz="8" w:color="CFF0FC"/>
            </w:tcBorders>
          </w:tcPr>
          <w:p>
            <w:pPr>
              <w:spacing w:after="0"/>
              <w:rPr>
                <w:sz w:val="24"/>
                <w:szCs w:val="24"/>
                <w:color w:val="auto"/>
              </w:rPr>
            </w:pPr>
          </w:p>
        </w:tc>
        <w:tc>
          <w:tcPr>
            <w:tcW w:w="360" w:type="dxa"/>
            <w:vAlign w:val="bottom"/>
            <w:tcBorders>
              <w:top w:val="single" w:sz="8" w:color="CFF0FC"/>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432"/>
        </w:trPr>
        <w:tc>
          <w:tcPr>
            <w:tcW w:w="64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Other income (expense), net, consisted of the following (in thousands):</w:t>
            </w: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0"/>
        </w:trPr>
        <w:tc>
          <w:tcPr>
            <w:tcW w:w="6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40" w:type="dxa"/>
            <w:vAlign w:val="bottom"/>
            <w:gridSpan w:val="6"/>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3"/>
        </w:trPr>
        <w:tc>
          <w:tcPr>
            <w:tcW w:w="6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2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7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Borders>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Borders>
              <w:bottom w:val="single" w:sz="8" w:color="auto"/>
            </w:tcBorders>
            <w:gridSpan w:val="2"/>
          </w:tcPr>
          <w:p>
            <w:pPr>
              <w:jc w:val="right"/>
              <w:ind w:right="29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09"/>
        </w:trPr>
        <w:tc>
          <w:tcPr>
            <w:tcW w:w="64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660" w:type="dxa"/>
            <w:vAlign w:val="bottom"/>
            <w:shd w:val="clear" w:color="auto" w:fill="CFF0FC"/>
          </w:tcPr>
          <w:p>
            <w:pPr>
              <w:jc w:val="right"/>
              <w:ind w:right="457"/>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220" w:type="dxa"/>
            <w:vAlign w:val="bottom"/>
            <w:shd w:val="clear" w:color="auto" w:fill="CFF0FC"/>
          </w:tcPr>
          <w:p>
            <w:pPr>
              <w:spacing w:after="0"/>
              <w:rPr>
                <w:sz w:val="18"/>
                <w:szCs w:val="18"/>
                <w:color w:val="auto"/>
              </w:rPr>
            </w:pPr>
          </w:p>
        </w:tc>
        <w:tc>
          <w:tcPr>
            <w:tcW w:w="320" w:type="dxa"/>
            <w:vAlign w:val="bottom"/>
            <w:tcBorders>
              <w:left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4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34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shd w:val="clear" w:color="auto" w:fill="CFF0FC"/>
          </w:tcPr>
          <w:p>
            <w:pPr>
              <w:spacing w:after="0"/>
              <w:rPr>
                <w:sz w:val="18"/>
                <w:szCs w:val="18"/>
                <w:color w:val="auto"/>
              </w:rPr>
            </w:pPr>
          </w:p>
        </w:tc>
      </w:tr>
      <w:tr>
        <w:trPr>
          <w:trHeight w:val="216"/>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currency exchange gain (loss)</w:t>
            </w:r>
          </w:p>
        </w:tc>
        <w:tc>
          <w:tcPr>
            <w:tcW w:w="6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(1,278 )</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2,351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8"/>
              </w:rPr>
              <w:t>(2,234 )</w:t>
            </w:r>
          </w:p>
        </w:tc>
      </w:tr>
      <w:tr>
        <w:trPr>
          <w:trHeight w:val="216"/>
        </w:trPr>
        <w:tc>
          <w:tcPr>
            <w:tcW w:w="64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Costs for hedging activities</w:t>
            </w:r>
          </w:p>
        </w:tc>
        <w:tc>
          <w:tcPr>
            <w:tcW w:w="660" w:type="dxa"/>
            <w:vAlign w:val="bottom"/>
            <w:shd w:val="clear" w:color="auto" w:fill="CFF0FC"/>
          </w:tcPr>
          <w:p>
            <w:pPr>
              <w:jc w:val="right"/>
              <w:ind w:right="457"/>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w w:val="96"/>
              </w:rPr>
              <w:t>(626 )</w:t>
            </w:r>
          </w:p>
        </w:tc>
        <w:tc>
          <w:tcPr>
            <w:tcW w:w="320" w:type="dxa"/>
            <w:vAlign w:val="bottom"/>
            <w:tcBorders>
              <w:left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(403 )</w:t>
            </w:r>
          </w:p>
        </w:tc>
        <w:tc>
          <w:tcPr>
            <w:tcW w:w="520" w:type="dxa"/>
            <w:vAlign w:val="bottom"/>
            <w:gridSpan w:val="2"/>
            <w:shd w:val="clear" w:color="auto" w:fill="CFF0FC"/>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6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w w:val="98"/>
              </w:rPr>
              <w:t>(1,196 )</w:t>
            </w:r>
          </w:p>
        </w:tc>
        <w:tc>
          <w:tcPr>
            <w:tcW w:w="600" w:type="dxa"/>
            <w:vAlign w:val="bottom"/>
            <w:gridSpan w:val="2"/>
            <w:shd w:val="clear" w:color="auto" w:fill="CFF0FC"/>
          </w:tcPr>
          <w:p>
            <w:pPr>
              <w:jc w:val="right"/>
              <w:ind w:right="34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(688 )</w:t>
            </w:r>
          </w:p>
        </w:tc>
      </w:tr>
      <w:tr>
        <w:trPr>
          <w:trHeight w:val="216"/>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66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(25 )</w:t>
            </w:r>
          </w:p>
        </w:tc>
        <w:tc>
          <w:tcPr>
            <w:tcW w:w="3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(16 )</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(85 )</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8"/>
                <w:szCs w:val="18"/>
                <w:color w:val="auto"/>
              </w:rPr>
            </w:pPr>
          </w:p>
        </w:tc>
      </w:tr>
      <w:tr>
        <w:trPr>
          <w:trHeight w:val="20"/>
        </w:trPr>
        <w:tc>
          <w:tcPr>
            <w:tcW w:w="6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left w:val="single" w:sz="8" w:color="auto"/>
            </w:tcBorders>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64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660" w:type="dxa"/>
            <w:vAlign w:val="bottom"/>
            <w:shd w:val="clear" w:color="auto" w:fill="CFF0FC"/>
          </w:tcPr>
          <w:p>
            <w:pPr>
              <w:jc w:val="right"/>
              <w:ind w:right="457"/>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w w:val="96"/>
              </w:rPr>
              <w:t>(196 )</w:t>
            </w:r>
          </w:p>
        </w:tc>
        <w:tc>
          <w:tcPr>
            <w:tcW w:w="320" w:type="dxa"/>
            <w:vAlign w:val="bottom"/>
            <w:tcBorders>
              <w:left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(1,430 )</w:t>
            </w:r>
          </w:p>
        </w:tc>
        <w:tc>
          <w:tcPr>
            <w:tcW w:w="520" w:type="dxa"/>
            <w:vAlign w:val="bottom"/>
            <w:gridSpan w:val="2"/>
            <w:shd w:val="clear" w:color="auto" w:fill="CFF0FC"/>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14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34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w w:val="98"/>
              </w:rPr>
              <w:t>(2,189 )</w:t>
            </w:r>
          </w:p>
        </w:tc>
      </w:tr>
      <w:tr>
        <w:trPr>
          <w:trHeight w:val="20"/>
        </w:trPr>
        <w:tc>
          <w:tcPr>
            <w:tcW w:w="62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-1731010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-1713865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-1731010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-1713865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-25400</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-8255</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-25400</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-8255</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-25400</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-8255</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Leases</w:t>
      </w:r>
    </w:p>
    <w:p>
      <w:pPr>
        <w:spacing w:after="0" w:line="229" w:lineRule="exact"/>
        <w:rPr>
          <w:sz w:val="20"/>
          <w:szCs w:val="20"/>
          <w:color w:val="auto"/>
        </w:rPr>
      </w:pPr>
    </w:p>
    <w:p>
      <w:pPr>
        <w:ind w:right="60" w:firstLine="255"/>
        <w:spacing w:after="0" w:line="261" w:lineRule="auto"/>
        <w:rPr>
          <w:sz w:val="20"/>
          <w:szCs w:val="20"/>
          <w:color w:val="auto"/>
        </w:rPr>
      </w:pPr>
      <w:r>
        <w:rPr>
          <w:rFonts w:ascii="Times New Roman" w:cs="Times New Roman" w:eastAsia="Times New Roman" w:hAnsi="Times New Roman"/>
          <w:sz w:val="18"/>
          <w:szCs w:val="18"/>
          <w:color w:val="auto"/>
        </w:rPr>
        <w:t>The Company has operating leases for corporate offices and warehouse facilities worldwide. Additionally, the Company leases cars and copy machines that are considered operating leases. Some of the Company’s leases are non-cancellable operating lease agreements with various expiration dates through June 2035. Certain lease agreements include options to renew or terminate the lease, which are not reasonably certain to be exercised and therefore, are not factored into the determination of lease payments.</w:t>
      </w:r>
    </w:p>
    <w:p>
      <w:pPr>
        <w:spacing w:after="0" w:line="1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 provides information related to the Company’s operating leases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0" w:type="dxa"/>
            <w:vAlign w:val="bottom"/>
            <w:gridSpan w:val="4"/>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6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6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center"/>
              <w:ind w:left="35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center"/>
              <w:ind w:left="37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3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10"/>
        </w:trPr>
        <w:tc>
          <w:tcPr>
            <w:tcW w:w="6400" w:type="dxa"/>
            <w:vAlign w:val="bottom"/>
            <w:gridSpan w:val="2"/>
            <w:shd w:val="clear" w:color="auto" w:fill="CFF0FC"/>
          </w:tcPr>
          <w:p>
            <w:pPr>
              <w:ind w:left="20"/>
              <w:spacing w:after="0" w:line="210" w:lineRule="exact"/>
              <w:rPr>
                <w:sz w:val="20"/>
                <w:szCs w:val="20"/>
                <w:color w:val="auto"/>
              </w:rPr>
            </w:pPr>
            <w:r>
              <w:rPr>
                <w:rFonts w:ascii="Times New Roman" w:cs="Times New Roman" w:eastAsia="Times New Roman" w:hAnsi="Times New Roman"/>
                <w:sz w:val="18"/>
                <w:szCs w:val="18"/>
                <w:color w:val="auto"/>
              </w:rPr>
              <w:t xml:space="preserve">Operating lease costs </w:t>
            </w:r>
            <w:r>
              <w:rPr>
                <w:rFonts w:ascii="Times New Roman" w:cs="Times New Roman" w:eastAsia="Times New Roman" w:hAnsi="Times New Roman"/>
                <w:sz w:val="21"/>
                <w:szCs w:val="21"/>
                <w:color w:val="auto"/>
                <w:vertAlign w:val="superscript"/>
              </w:rPr>
              <w:t>(1)</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2,189</w:t>
            </w:r>
          </w:p>
        </w:tc>
        <w:tc>
          <w:tcPr>
            <w:tcW w:w="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2,456</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4,420</w:t>
            </w:r>
          </w:p>
        </w:tc>
        <w:tc>
          <w:tcPr>
            <w:tcW w:w="5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5,010</w:t>
            </w:r>
          </w:p>
        </w:tc>
        <w:tc>
          <w:tcPr>
            <w:tcW w:w="100" w:type="dxa"/>
            <w:vAlign w:val="bottom"/>
            <w:shd w:val="clear" w:color="auto" w:fill="CFF0FC"/>
          </w:tcPr>
          <w:p>
            <w:pPr>
              <w:spacing w:after="0"/>
              <w:rPr>
                <w:sz w:val="18"/>
                <w:szCs w:val="18"/>
                <w:color w:val="auto"/>
              </w:rPr>
            </w:pPr>
          </w:p>
        </w:tc>
      </w:tr>
      <w:tr>
        <w:trPr>
          <w:trHeight w:val="216"/>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Short-term operating lease costs</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18"/>
                <w:szCs w:val="18"/>
                <w:color w:val="auto"/>
              </w:rPr>
            </w:pPr>
          </w:p>
        </w:tc>
      </w:tr>
      <w:tr>
        <w:trPr>
          <w:trHeight w:val="216"/>
        </w:trPr>
        <w:tc>
          <w:tcPr>
            <w:tcW w:w="64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2,062</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2,536</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4,092</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5,025</w:t>
            </w:r>
          </w:p>
        </w:tc>
        <w:tc>
          <w:tcPr>
            <w:tcW w:w="100" w:type="dxa"/>
            <w:vAlign w:val="bottom"/>
            <w:shd w:val="clear" w:color="auto" w:fill="CFF0FC"/>
          </w:tcPr>
          <w:p>
            <w:pPr>
              <w:spacing w:after="0"/>
              <w:rPr>
                <w:sz w:val="18"/>
                <w:szCs w:val="18"/>
                <w:color w:val="auto"/>
              </w:rPr>
            </w:pPr>
          </w:p>
        </w:tc>
      </w:tr>
    </w:tbl>
    <w:p>
      <w:pPr>
        <w:spacing w:after="0" w:line="193" w:lineRule="exact"/>
        <w:rPr>
          <w:sz w:val="20"/>
          <w:szCs w:val="20"/>
          <w:color w:val="auto"/>
        </w:rPr>
      </w:pPr>
    </w:p>
    <w:p>
      <w:pPr>
        <w:ind w:left="380" w:hanging="372"/>
        <w:spacing w:after="0"/>
        <w:tabs>
          <w:tab w:leader="none" w:pos="3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expenses related to short-term lease operating costs.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13" w:name="page14"/>
    <w:bookmarkEnd w:id="13"/>
    <w:p>
      <w:pPr>
        <w:ind w:left="300"/>
        <w:spacing w:after="0"/>
        <w:rPr>
          <w:sz w:val="20"/>
          <w:szCs w:val="20"/>
          <w:color w:val="auto"/>
        </w:rPr>
      </w:pPr>
      <w:r>
        <w:rPr>
          <w:rFonts w:ascii="Times New Roman" w:cs="Times New Roman" w:eastAsia="Times New Roman" w:hAnsi="Times New Roman"/>
          <w:sz w:val="18"/>
          <w:szCs w:val="18"/>
          <w:color w:val="auto"/>
        </w:rPr>
        <w:t>Operating lease right-of-use assets and operating lease liabilities consisted of the following (in thousands):</w:t>
      </w:r>
    </w:p>
    <w:p>
      <w:pPr>
        <w:spacing w:after="0" w:line="219" w:lineRule="exact"/>
        <w:rPr>
          <w:sz w:val="20"/>
          <w:szCs w:val="20"/>
          <w:color w:val="auto"/>
        </w:rPr>
      </w:pPr>
    </w:p>
    <w:p>
      <w:pPr>
        <w:jc w:val="right"/>
        <w:ind w:right="660"/>
        <w:spacing w:after="0"/>
        <w:tabs>
          <w:tab w:leader="none" w:pos="500" w:val="left"/>
        </w:tabs>
        <w:rPr>
          <w:sz w:val="20"/>
          <w:szCs w:val="20"/>
          <w:color w:val="auto"/>
        </w:rPr>
      </w:pPr>
      <w:r>
        <w:rPr>
          <w:rFonts w:ascii="Times New Roman" w:cs="Times New Roman" w:eastAsia="Times New Roman" w:hAnsi="Times New Roman"/>
          <w:sz w:val="14"/>
          <w:szCs w:val="14"/>
          <w:b w:val="1"/>
          <w:bCs w:val="1"/>
          <w:color w:val="auto"/>
        </w:rPr>
        <w:t>December 31,</w:t>
      </w:r>
      <w:r>
        <w:rPr>
          <w:sz w:val="20"/>
          <w:szCs w:val="20"/>
          <w:color w:val="auto"/>
        </w:rPr>
        <w:tab/>
      </w:r>
      <w:r>
        <w:rPr>
          <w:rFonts w:ascii="Times New Roman" w:cs="Times New Roman" w:eastAsia="Times New Roman" w:hAnsi="Times New Roman"/>
          <w:sz w:val="14"/>
          <w:szCs w:val="14"/>
          <w:b w:val="1"/>
          <w:bCs w:val="1"/>
          <w:color w:val="auto"/>
        </w:rPr>
        <w:t>June 30,</w:t>
      </w:r>
    </w:p>
    <w:p>
      <w:pPr>
        <w:spacing w:after="0" w:line="6" w:lineRule="exact"/>
        <w:rPr>
          <w:sz w:val="20"/>
          <w:szCs w:val="20"/>
          <w:color w:val="auto"/>
        </w:rPr>
      </w:pPr>
    </w:p>
    <w:p>
      <w:pPr>
        <w:ind w:left="8360"/>
        <w:spacing w:after="0"/>
        <w:tabs>
          <w:tab w:leader="none" w:pos="1018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1454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 right-of-use assets</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the beginning of period</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Lease assets added</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Amortization for the period</w:t>
      </w:r>
    </w:p>
    <w:p>
      <w:pPr>
        <w:spacing w:after="0" w:line="4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Balance at the end of period</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 liabilities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the beginning of period</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Lease liabilities added</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Repayment and interest accretion</w:t>
      </w:r>
    </w:p>
    <w:p>
      <w:pPr>
        <w:spacing w:after="0" w:line="4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Balance at the end of period</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Non-current portion of operating lease liabilities</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ind w:left="1010" w:hanging="1010"/>
        <w:spacing w:after="0"/>
        <w:tabs>
          <w:tab w:leader="none" w:pos="101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33,773</w:t>
      </w:r>
    </w:p>
    <w:p>
      <w:pPr>
        <w:spacing w:after="0" w:line="27" w:lineRule="exact"/>
        <w:rPr>
          <w:rFonts w:ascii="Times New Roman" w:cs="Times New Roman" w:eastAsia="Times New Roman" w:hAnsi="Times New Roman"/>
          <w:sz w:val="18"/>
          <w:szCs w:val="18"/>
          <w:color w:val="auto"/>
        </w:rPr>
      </w:pPr>
    </w:p>
    <w:p>
      <w:pPr>
        <w:ind w:left="111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-4902835</wp:posOffset>
            </wp:positionH>
            <wp:positionV relativeFrom="paragraph">
              <wp:posOffset>-130810</wp:posOffset>
            </wp:positionV>
            <wp:extent cx="7132320" cy="1371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color w:val="auto"/>
        </w:rPr>
        <w:t>(3,085 )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wp:posOffset>
            </wp:positionV>
            <wp:extent cx="98615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ind w:left="1010" w:hanging="1010"/>
        <w:spacing w:after="0"/>
        <w:tabs>
          <w:tab w:leader="none" w:pos="101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-4902835</wp:posOffset>
            </wp:positionH>
            <wp:positionV relativeFrom="paragraph">
              <wp:posOffset>177165</wp:posOffset>
            </wp:positionV>
            <wp:extent cx="7132320" cy="1371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-4902835</wp:posOffset>
            </wp:positionH>
            <wp:positionV relativeFrom="paragraph">
              <wp:posOffset>-121920</wp:posOffset>
            </wp:positionV>
            <wp:extent cx="7132320" cy="16319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1010" w:hanging="1010"/>
        <w:spacing w:after="0"/>
        <w:tabs>
          <w:tab w:leader="none" w:pos="101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38,591</w:t>
      </w:r>
    </w:p>
    <w:p>
      <w:pPr>
        <w:spacing w:after="0" w:line="27" w:lineRule="exact"/>
        <w:rPr>
          <w:rFonts w:ascii="Times New Roman" w:cs="Times New Roman" w:eastAsia="Times New Roman" w:hAnsi="Times New Roman"/>
          <w:sz w:val="18"/>
          <w:szCs w:val="18"/>
          <w:color w:val="auto"/>
        </w:rPr>
      </w:pPr>
    </w:p>
    <w:p>
      <w:pPr>
        <w:ind w:left="111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-4902835</wp:posOffset>
            </wp:positionH>
            <wp:positionV relativeFrom="paragraph">
              <wp:posOffset>-130810</wp:posOffset>
            </wp:positionV>
            <wp:extent cx="7132320" cy="1371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color w:val="auto"/>
        </w:rPr>
        <w:t>(2,700 )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wp:posOffset>
            </wp:positionV>
            <wp:extent cx="98615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ind w:left="1010" w:hanging="1010"/>
        <w:spacing w:after="0"/>
        <w:tabs>
          <w:tab w:leader="none" w:pos="101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37,977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-4902835</wp:posOffset>
            </wp:positionH>
            <wp:positionV relativeFrom="paragraph">
              <wp:posOffset>-121920</wp:posOffset>
            </wp:positionV>
            <wp:extent cx="7132320" cy="16319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41" w:lineRule="exact"/>
        <w:rPr>
          <w:sz w:val="20"/>
          <w:szCs w:val="20"/>
          <w:color w:val="auto"/>
        </w:rPr>
      </w:pPr>
    </w:p>
    <w:p>
      <w:pPr>
        <w:ind w:left="1110" w:hanging="1110"/>
        <w:spacing w:after="0"/>
        <w:tabs>
          <w:tab w:leader="none" w:pos="111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7,518</w:t>
      </w:r>
    </w:p>
    <w:p>
      <w:pPr>
        <w:spacing w:after="0" w:line="27" w:lineRule="exact"/>
        <w:rPr>
          <w:rFonts w:ascii="Times New Roman" w:cs="Times New Roman" w:eastAsia="Times New Roman" w:hAnsi="Times New Roman"/>
          <w:sz w:val="18"/>
          <w:szCs w:val="18"/>
          <w:color w:val="auto"/>
        </w:rPr>
      </w:pPr>
    </w:p>
    <w:p>
      <w:pPr>
        <w:ind w:left="101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30,459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-4902835</wp:posOffset>
            </wp:positionH>
            <wp:positionV relativeFrom="paragraph">
              <wp:posOffset>-267970</wp:posOffset>
            </wp:positionV>
            <wp:extent cx="7132320" cy="1371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ind w:left="1021" w:hanging="1021"/>
        <w:spacing w:after="0"/>
        <w:tabs>
          <w:tab w:leader="none" w:pos="102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25,853</w:t>
      </w:r>
    </w:p>
    <w:p>
      <w:pPr>
        <w:spacing w:after="0" w:line="27" w:lineRule="exact"/>
        <w:rPr>
          <w:rFonts w:ascii="Times New Roman" w:cs="Times New Roman" w:eastAsia="Times New Roman" w:hAnsi="Times New Roman"/>
          <w:sz w:val="18"/>
          <w:szCs w:val="18"/>
          <w:color w:val="auto"/>
        </w:rPr>
      </w:pPr>
    </w:p>
    <w:p>
      <w:pPr>
        <w:ind w:left="102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14,389</w:t>
      </w:r>
    </w:p>
    <w:p>
      <w:pPr>
        <w:spacing w:after="0" w:line="9" w:lineRule="exact"/>
        <w:rPr>
          <w:rFonts w:ascii="Times New Roman" w:cs="Times New Roman" w:eastAsia="Times New Roman" w:hAnsi="Times New Roman"/>
          <w:sz w:val="18"/>
          <w:szCs w:val="18"/>
          <w:color w:val="auto"/>
        </w:rPr>
      </w:pPr>
    </w:p>
    <w:p>
      <w:pPr>
        <w:ind w:left="104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(6,469 )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wp:posOffset>
            </wp:positionV>
            <wp:extent cx="9855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985520" cy="8255"/>
                    </a:xfrm>
                    <a:prstGeom prst="rect">
                      <a:avLst/>
                    </a:prstGeom>
                    <a:noFill/>
                  </pic:spPr>
                </pic:pic>
              </a:graphicData>
            </a:graphic>
          </wp:anchor>
        </w:drawing>
      </w:r>
    </w:p>
    <w:p>
      <w:pPr>
        <w:ind w:left="1021" w:hanging="1021"/>
        <w:spacing w:after="0"/>
        <w:tabs>
          <w:tab w:leader="none" w:pos="102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33,773</w:t>
      </w:r>
    </w:p>
    <w:p>
      <w:pPr>
        <w:spacing w:after="0" w:line="200" w:lineRule="exact"/>
        <w:rPr>
          <w:sz w:val="20"/>
          <w:szCs w:val="20"/>
          <w:color w:val="auto"/>
        </w:rPr>
      </w:pPr>
    </w:p>
    <w:p>
      <w:pPr>
        <w:spacing w:after="0" w:line="277" w:lineRule="exact"/>
        <w:rPr>
          <w:sz w:val="20"/>
          <w:szCs w:val="20"/>
          <w:color w:val="auto"/>
        </w:rPr>
      </w:pPr>
    </w:p>
    <w:p>
      <w:pPr>
        <w:ind w:left="1021" w:hanging="1021"/>
        <w:spacing w:after="0"/>
        <w:tabs>
          <w:tab w:leader="none" w:pos="102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27,753</w:t>
      </w:r>
    </w:p>
    <w:p>
      <w:pPr>
        <w:spacing w:after="0" w:line="27" w:lineRule="exact"/>
        <w:rPr>
          <w:rFonts w:ascii="Times New Roman" w:cs="Times New Roman" w:eastAsia="Times New Roman" w:hAnsi="Times New Roman"/>
          <w:sz w:val="18"/>
          <w:szCs w:val="18"/>
          <w:color w:val="auto"/>
        </w:rPr>
      </w:pPr>
    </w:p>
    <w:p>
      <w:pPr>
        <w:ind w:left="102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16,775</w:t>
      </w:r>
    </w:p>
    <w:p>
      <w:pPr>
        <w:spacing w:after="0" w:line="9" w:lineRule="exact"/>
        <w:rPr>
          <w:rFonts w:ascii="Times New Roman" w:cs="Times New Roman" w:eastAsia="Times New Roman" w:hAnsi="Times New Roman"/>
          <w:sz w:val="18"/>
          <w:szCs w:val="18"/>
          <w:color w:val="auto"/>
        </w:rPr>
      </w:pPr>
    </w:p>
    <w:p>
      <w:pPr>
        <w:ind w:left="104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wp:posOffset>
            </wp:positionV>
            <wp:extent cx="98552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985520" cy="8255"/>
                    </a:xfrm>
                    <a:prstGeom prst="rect">
                      <a:avLst/>
                    </a:prstGeom>
                    <a:noFill/>
                  </pic:spPr>
                </pic:pic>
              </a:graphicData>
            </a:graphic>
          </wp:anchor>
        </w:drawing>
      </w:r>
    </w:p>
    <w:p>
      <w:pPr>
        <w:ind w:left="1021" w:hanging="1021"/>
        <w:spacing w:after="0"/>
        <w:tabs>
          <w:tab w:leader="none" w:pos="102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38,591</w:t>
      </w:r>
    </w:p>
    <w:p>
      <w:pPr>
        <w:spacing w:after="0" w:line="261" w:lineRule="exact"/>
        <w:rPr>
          <w:sz w:val="20"/>
          <w:szCs w:val="20"/>
          <w:color w:val="auto"/>
        </w:rPr>
      </w:pPr>
    </w:p>
    <w:p>
      <w:pPr>
        <w:ind w:left="1101" w:hanging="1101"/>
        <w:spacing w:after="0"/>
        <w:tabs>
          <w:tab w:leader="none" w:pos="110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6,218</w:t>
      </w:r>
    </w:p>
    <w:p>
      <w:pPr>
        <w:spacing w:after="0" w:line="27" w:lineRule="exact"/>
        <w:rPr>
          <w:rFonts w:ascii="Times New Roman" w:cs="Times New Roman" w:eastAsia="Times New Roman" w:hAnsi="Times New Roman"/>
          <w:sz w:val="18"/>
          <w:szCs w:val="18"/>
          <w:color w:val="auto"/>
        </w:rPr>
      </w:pPr>
    </w:p>
    <w:p>
      <w:pPr>
        <w:ind w:left="102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32,373</w:t>
      </w:r>
    </w:p>
    <w:p>
      <w:pPr>
        <w:spacing w:after="0" w:line="200" w:lineRule="exact"/>
        <w:rPr>
          <w:sz w:val="20"/>
          <w:szCs w:val="20"/>
          <w:color w:val="auto"/>
        </w:rPr>
      </w:pPr>
    </w:p>
    <w:p>
      <w:pPr>
        <w:sectPr>
          <w:pgSz w:w="11900" w:h="16838" w:orient="portrait"/>
          <w:cols w:equalWidth="0" w:num="3">
            <w:col w:w="7010" w:space="720"/>
            <w:col w:w="1610" w:space="239"/>
            <w:col w:w="1661"/>
          </w:cols>
          <w:pgMar w:left="320" w:top="985" w:right="339" w:bottom="1440" w:gutter="0" w:footer="0" w:header="0"/>
          <w:type w:val="continuous"/>
        </w:sectPr>
      </w:pPr>
    </w:p>
    <w:p>
      <w:pPr>
        <w:spacing w:after="0" w:line="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Maturities of operating lease liabilities as of December 31, 2024 are presented in the table below (dollars in thousands):</w:t>
      </w:r>
    </w:p>
    <w:p>
      <w:pPr>
        <w:spacing w:after="0" w:line="219" w:lineRule="exact"/>
        <w:rPr>
          <w:sz w:val="20"/>
          <w:szCs w:val="20"/>
          <w:color w:val="auto"/>
        </w:rPr>
      </w:pPr>
    </w:p>
    <w:p>
      <w:pPr>
        <w:ind w:left="9840"/>
        <w:spacing w:after="0"/>
        <w:rPr>
          <w:sz w:val="20"/>
          <w:szCs w:val="20"/>
          <w:color w:val="auto"/>
        </w:rPr>
      </w:pPr>
      <w:r>
        <w:rPr>
          <w:rFonts w:ascii="Times New Roman" w:cs="Times New Roman" w:eastAsia="Times New Roman" w:hAnsi="Times New Roman"/>
          <w:sz w:val="14"/>
          <w:szCs w:val="14"/>
          <w:b w:val="1"/>
          <w:bCs w:val="1"/>
          <w:color w:val="auto"/>
        </w:rPr>
        <w:t>Amount</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92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 (remaining six months)</w:t>
            </w:r>
          </w:p>
        </w:tc>
        <w:tc>
          <w:tcPr>
            <w:tcW w:w="220" w:type="dxa"/>
            <w:vAlign w:val="bottom"/>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3,648</w:t>
            </w:r>
          </w:p>
        </w:tc>
        <w:tc>
          <w:tcPr>
            <w:tcW w:w="180" w:type="dxa"/>
            <w:vAlign w:val="bottom"/>
            <w:shd w:val="clear" w:color="auto" w:fill="CFF0FC"/>
          </w:tcPr>
          <w:p>
            <w:pPr>
              <w:spacing w:after="0"/>
              <w:rPr>
                <w:sz w:val="18"/>
                <w:szCs w:val="18"/>
                <w:color w:val="auto"/>
              </w:rPr>
            </w:pPr>
          </w:p>
        </w:tc>
      </w:tr>
      <w:tr>
        <w:trPr>
          <w:trHeight w:val="216"/>
        </w:trPr>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7,627</w:t>
            </w:r>
          </w:p>
        </w:tc>
        <w:tc>
          <w:tcPr>
            <w:tcW w:w="180" w:type="dxa"/>
            <w:vAlign w:val="bottom"/>
          </w:tcPr>
          <w:p>
            <w:pPr>
              <w:spacing w:after="0"/>
              <w:rPr>
                <w:sz w:val="18"/>
                <w:szCs w:val="18"/>
                <w:color w:val="auto"/>
              </w:rPr>
            </w:pPr>
          </w:p>
        </w:tc>
      </w:tr>
      <w:tr>
        <w:trPr>
          <w:trHeight w:val="216"/>
        </w:trPr>
        <w:tc>
          <w:tcPr>
            <w:tcW w:w="8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7,600</w:t>
            </w:r>
          </w:p>
        </w:tc>
        <w:tc>
          <w:tcPr>
            <w:tcW w:w="180" w:type="dxa"/>
            <w:vAlign w:val="bottom"/>
            <w:shd w:val="clear" w:color="auto" w:fill="CFF0FC"/>
          </w:tcPr>
          <w:p>
            <w:pPr>
              <w:spacing w:after="0"/>
              <w:rPr>
                <w:sz w:val="18"/>
                <w:szCs w:val="18"/>
                <w:color w:val="auto"/>
              </w:rPr>
            </w:pPr>
          </w:p>
        </w:tc>
      </w:tr>
      <w:tr>
        <w:trPr>
          <w:trHeight w:val="216"/>
        </w:trPr>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6,451</w:t>
            </w:r>
          </w:p>
        </w:tc>
        <w:tc>
          <w:tcPr>
            <w:tcW w:w="180" w:type="dxa"/>
            <w:vAlign w:val="bottom"/>
          </w:tcPr>
          <w:p>
            <w:pPr>
              <w:spacing w:after="0"/>
              <w:rPr>
                <w:sz w:val="18"/>
                <w:szCs w:val="18"/>
                <w:color w:val="auto"/>
              </w:rPr>
            </w:pPr>
          </w:p>
        </w:tc>
      </w:tr>
      <w:tr>
        <w:trPr>
          <w:trHeight w:val="216"/>
        </w:trPr>
        <w:tc>
          <w:tcPr>
            <w:tcW w:w="8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4,585</w:t>
            </w:r>
          </w:p>
        </w:tc>
        <w:tc>
          <w:tcPr>
            <w:tcW w:w="180" w:type="dxa"/>
            <w:vAlign w:val="bottom"/>
            <w:shd w:val="clear" w:color="auto" w:fill="CFF0FC"/>
          </w:tcPr>
          <w:p>
            <w:pPr>
              <w:spacing w:after="0"/>
              <w:rPr>
                <w:sz w:val="18"/>
                <w:szCs w:val="18"/>
                <w:color w:val="auto"/>
              </w:rPr>
            </w:pPr>
          </w:p>
        </w:tc>
      </w:tr>
      <w:tr>
        <w:trPr>
          <w:trHeight w:val="216"/>
        </w:trPr>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24,649</w:t>
            </w:r>
          </w:p>
        </w:tc>
        <w:tc>
          <w:tcPr>
            <w:tcW w:w="180" w:type="dxa"/>
            <w:vAlign w:val="bottom"/>
          </w:tcPr>
          <w:p>
            <w:pPr>
              <w:spacing w:after="0"/>
              <w:rPr>
                <w:sz w:val="18"/>
                <w:szCs w:val="18"/>
                <w:color w:val="auto"/>
              </w:rPr>
            </w:pPr>
          </w:p>
        </w:tc>
      </w:tr>
      <w:tr>
        <w:trPr>
          <w:trHeight w:val="210"/>
        </w:trPr>
        <w:tc>
          <w:tcPr>
            <w:tcW w:w="8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lease payments</w:t>
            </w: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54,560</w:t>
            </w:r>
          </w:p>
        </w:tc>
        <w:tc>
          <w:tcPr>
            <w:tcW w:w="180" w:type="dxa"/>
            <w:vAlign w:val="bottom"/>
            <w:shd w:val="clear" w:color="auto" w:fill="CFF0FC"/>
          </w:tcPr>
          <w:p>
            <w:pPr>
              <w:spacing w:after="0"/>
              <w:rPr>
                <w:sz w:val="18"/>
                <w:szCs w:val="18"/>
                <w:color w:val="auto"/>
              </w:rPr>
            </w:pPr>
          </w:p>
        </w:tc>
      </w:tr>
      <w:tr>
        <w:trPr>
          <w:trHeight w:val="216"/>
        </w:trPr>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(16,583 )</w:t>
            </w:r>
          </w:p>
        </w:tc>
      </w:tr>
      <w:tr>
        <w:trPr>
          <w:trHeight w:val="249"/>
        </w:trPr>
        <w:tc>
          <w:tcPr>
            <w:tcW w:w="8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22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top w:val="single" w:sz="8" w:color="auto"/>
              <w:bottom w:val="single" w:sz="8" w:color="auto"/>
            </w:tcBorders>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37,977</w:t>
            </w:r>
          </w:p>
        </w:tc>
        <w:tc>
          <w:tcPr>
            <w:tcW w:w="180" w:type="dxa"/>
            <w:vAlign w:val="bottom"/>
            <w:tcBorders>
              <w:bottom w:val="single" w:sz="8" w:color="CFF0FC"/>
            </w:tcBorders>
            <w:shd w:val="clear" w:color="auto" w:fill="CFF0FC"/>
          </w:tcPr>
          <w:p>
            <w:pPr>
              <w:spacing w:after="0"/>
              <w:rPr>
                <w:sz w:val="21"/>
                <w:szCs w:val="21"/>
                <w:color w:val="auto"/>
              </w:rPr>
            </w:pPr>
          </w:p>
        </w:tc>
      </w:tr>
      <w:tr>
        <w:trPr>
          <w:trHeight w:val="197"/>
        </w:trPr>
        <w:tc>
          <w:tcPr>
            <w:tcW w:w="8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7.9</w:t>
            </w:r>
          </w:p>
        </w:tc>
        <w:tc>
          <w:tcPr>
            <w:tcW w:w="180" w:type="dxa"/>
            <w:vAlign w:val="bottom"/>
          </w:tcPr>
          <w:p>
            <w:pPr>
              <w:spacing w:after="0"/>
              <w:rPr>
                <w:sz w:val="17"/>
                <w:szCs w:val="17"/>
                <w:color w:val="auto"/>
              </w:rPr>
            </w:pPr>
          </w:p>
        </w:tc>
      </w:tr>
      <w:tr>
        <w:trPr>
          <w:trHeight w:val="216"/>
        </w:trPr>
        <w:tc>
          <w:tcPr>
            <w:tcW w:w="8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7017385</wp:posOffset>
            </wp:positionH>
            <wp:positionV relativeFrom="paragraph">
              <wp:posOffset>-299720</wp:posOffset>
            </wp:positionV>
            <wp:extent cx="12001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-281940</wp:posOffset>
            </wp:positionV>
            <wp:extent cx="12001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Derivative Financial Instruments</w:t>
      </w:r>
    </w:p>
    <w:p>
      <w:pPr>
        <w:spacing w:after="0" w:line="189" w:lineRule="exact"/>
        <w:rPr>
          <w:sz w:val="20"/>
          <w:szCs w:val="20"/>
          <w:color w:val="auto"/>
        </w:rPr>
      </w:pPr>
    </w:p>
    <w:p>
      <w:pPr>
        <w:ind w:right="40" w:firstLine="255"/>
        <w:spacing w:after="0" w:line="258" w:lineRule="auto"/>
        <w:rPr>
          <w:sz w:val="20"/>
          <w:szCs w:val="20"/>
          <w:color w:val="auto"/>
        </w:rPr>
      </w:pPr>
      <w:r>
        <w:rPr>
          <w:rFonts w:ascii="Times New Roman" w:cs="Times New Roman" w:eastAsia="Times New Roman" w:hAnsi="Times New Roman"/>
          <w:sz w:val="18"/>
          <w:szCs w:val="18"/>
          <w:color w:val="auto"/>
        </w:rPr>
        <w:t>The Company utilizes foreign currency forward contracts with reputable financial institutions to manage its exposure of fluctuations in foreign currency exchange rates on certain intercompany balances and foreign currency denominated cash, customer receivables and liabilities. The Company does not use derivative financial instruments for speculative or trading purposes. These forward contracts are not designated as hedging instruments for accounting purposes. Principal hedged currencies primarily include the Japanese Yen, Swiss Franc, and Euro. The periods of these forward contracts range up to approximately three months and the notional amounts are intended to be consistent with changes in the underlying exposures.</w:t>
      </w:r>
    </w:p>
    <w:p>
      <w:pPr>
        <w:spacing w:after="0" w:line="1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notional amount of the Company's outstanding forward currency exchange contracts consisted of the following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73"/>
        </w:trPr>
        <w:tc>
          <w:tcPr>
            <w:tcW w:w="480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10"/>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Swiss Franc</w:t>
            </w:r>
          </w:p>
        </w:tc>
        <w:tc>
          <w:tcPr>
            <w:tcW w:w="3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23,850</w:t>
            </w:r>
          </w:p>
        </w:tc>
        <w:tc>
          <w:tcPr>
            <w:tcW w:w="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59,392</w:t>
            </w:r>
          </w:p>
        </w:tc>
        <w:tc>
          <w:tcPr>
            <w:tcW w:w="100" w:type="dxa"/>
            <w:vAlign w:val="bottom"/>
            <w:shd w:val="clear" w:color="auto" w:fill="CFF0FC"/>
          </w:tcPr>
          <w:p>
            <w:pPr>
              <w:spacing w:after="0"/>
              <w:rPr>
                <w:sz w:val="18"/>
                <w:szCs w:val="18"/>
                <w:color w:val="auto"/>
              </w:rPr>
            </w:pPr>
          </w:p>
        </w:tc>
      </w:tr>
      <w:tr>
        <w:trPr>
          <w:trHeight w:val="216"/>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Japanese Yen</w:t>
            </w:r>
          </w:p>
        </w:tc>
        <w:tc>
          <w:tcPr>
            <w:tcW w:w="2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10,353</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7,762</w:t>
            </w:r>
          </w:p>
        </w:tc>
        <w:tc>
          <w:tcPr>
            <w:tcW w:w="100" w:type="dxa"/>
            <w:vAlign w:val="bottom"/>
          </w:tcPr>
          <w:p>
            <w:pPr>
              <w:spacing w:after="0"/>
              <w:rPr>
                <w:sz w:val="18"/>
                <w:szCs w:val="18"/>
                <w:color w:val="auto"/>
              </w:rPr>
            </w:pPr>
          </w:p>
        </w:tc>
      </w:tr>
      <w:tr>
        <w:trPr>
          <w:trHeight w:val="216"/>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Euro</w:t>
            </w:r>
          </w:p>
        </w:tc>
        <w:tc>
          <w:tcPr>
            <w:tcW w:w="2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18,899</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2,755</w:t>
            </w:r>
          </w:p>
        </w:tc>
        <w:tc>
          <w:tcPr>
            <w:tcW w:w="100" w:type="dxa"/>
            <w:vAlign w:val="bottom"/>
            <w:shd w:val="clear" w:color="auto" w:fill="CFF0FC"/>
          </w:tcPr>
          <w:p>
            <w:pPr>
              <w:spacing w:after="0"/>
              <w:rPr>
                <w:sz w:val="18"/>
                <w:szCs w:val="18"/>
                <w:color w:val="auto"/>
              </w:rPr>
            </w:pPr>
          </w:p>
        </w:tc>
      </w:tr>
      <w:tr>
        <w:trPr>
          <w:trHeight w:val="216"/>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Indian Rupee</w:t>
            </w:r>
          </w:p>
        </w:tc>
        <w:tc>
          <w:tcPr>
            <w:tcW w:w="2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12,209</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8,916</w:t>
            </w:r>
          </w:p>
        </w:tc>
        <w:tc>
          <w:tcPr>
            <w:tcW w:w="100" w:type="dxa"/>
            <w:vAlign w:val="bottom"/>
          </w:tcPr>
          <w:p>
            <w:pPr>
              <w:spacing w:after="0"/>
              <w:rPr>
                <w:sz w:val="18"/>
                <w:szCs w:val="18"/>
                <w:color w:val="auto"/>
              </w:rPr>
            </w:pPr>
          </w:p>
        </w:tc>
      </w:tr>
      <w:tr>
        <w:trPr>
          <w:trHeight w:val="216"/>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Chinese Yuan</w:t>
            </w:r>
          </w:p>
        </w:tc>
        <w:tc>
          <w:tcPr>
            <w:tcW w:w="2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10,303</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5,156</w:t>
            </w:r>
          </w:p>
        </w:tc>
        <w:tc>
          <w:tcPr>
            <w:tcW w:w="100" w:type="dxa"/>
            <w:vAlign w:val="bottom"/>
            <w:shd w:val="clear" w:color="auto" w:fill="CFF0FC"/>
          </w:tcPr>
          <w:p>
            <w:pPr>
              <w:spacing w:after="0"/>
              <w:rPr>
                <w:sz w:val="18"/>
                <w:szCs w:val="18"/>
                <w:color w:val="auto"/>
              </w:rPr>
            </w:pPr>
          </w:p>
        </w:tc>
      </w:tr>
      <w:tr>
        <w:trPr>
          <w:trHeight w:val="216"/>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Korean Won</w:t>
            </w:r>
          </w:p>
        </w:tc>
        <w:tc>
          <w:tcPr>
            <w:tcW w:w="2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2,084</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100" w:type="dxa"/>
            <w:vAlign w:val="bottom"/>
          </w:tcPr>
          <w:p>
            <w:pPr>
              <w:spacing w:after="0"/>
              <w:rPr>
                <w:sz w:val="18"/>
                <w:szCs w:val="18"/>
                <w:color w:val="auto"/>
              </w:rPr>
            </w:pPr>
          </w:p>
        </w:tc>
      </w:tr>
      <w:tr>
        <w:trPr>
          <w:trHeight w:val="216"/>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Canadian Dollar</w:t>
            </w:r>
          </w:p>
        </w:tc>
        <w:tc>
          <w:tcPr>
            <w:tcW w:w="2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100" w:type="dxa"/>
            <w:vAlign w:val="bottom"/>
            <w:shd w:val="clear" w:color="auto" w:fill="CFF0FC"/>
          </w:tcPr>
          <w:p>
            <w:pPr>
              <w:spacing w:after="0"/>
              <w:rPr>
                <w:sz w:val="18"/>
                <w:szCs w:val="18"/>
                <w:color w:val="auto"/>
              </w:rPr>
            </w:pPr>
          </w:p>
        </w:tc>
      </w:tr>
      <w:tr>
        <w:trPr>
          <w:trHeight w:val="216"/>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British Pound</w:t>
            </w:r>
          </w:p>
        </w:tc>
        <w:tc>
          <w:tcPr>
            <w:tcW w:w="29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3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tcPr>
          <w:p>
            <w:pPr>
              <w:spacing w:after="0"/>
              <w:rPr>
                <w:sz w:val="18"/>
                <w:szCs w:val="18"/>
                <w:color w:val="auto"/>
              </w:rPr>
            </w:pPr>
          </w:p>
        </w:tc>
      </w:tr>
      <w:tr>
        <w:trPr>
          <w:trHeight w:val="250"/>
        </w:trPr>
        <w:tc>
          <w:tcPr>
            <w:tcW w:w="48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outstanding forward currency exchange contracts</w:t>
            </w:r>
          </w:p>
        </w:tc>
        <w:tc>
          <w:tcPr>
            <w:tcW w:w="3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79,615</w:t>
            </w:r>
          </w:p>
        </w:tc>
        <w:tc>
          <w:tcPr>
            <w:tcW w:w="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87,956</w:t>
            </w:r>
          </w:p>
        </w:tc>
        <w:tc>
          <w:tcPr>
            <w:tcW w:w="100" w:type="dxa"/>
            <w:vAlign w:val="bottom"/>
            <w:shd w:val="clear" w:color="auto" w:fill="CFF0FC"/>
          </w:tcPr>
          <w:p>
            <w:pPr>
              <w:spacing w:after="0"/>
              <w:rPr>
                <w:sz w:val="21"/>
                <w:szCs w:val="21"/>
                <w:color w:val="auto"/>
              </w:rPr>
            </w:pPr>
          </w:p>
        </w:tc>
      </w:tr>
      <w:tr>
        <w:trPr>
          <w:trHeight w:val="628"/>
        </w:trPr>
        <w:tc>
          <w:tcPr>
            <w:tcW w:w="4800" w:type="dxa"/>
            <w:vAlign w:val="bottom"/>
            <w:tcBorders>
              <w:top w:val="single" w:sz="8" w:color="CFF0FC"/>
            </w:tcBorders>
          </w:tcPr>
          <w:p>
            <w:pPr>
              <w:spacing w:after="0"/>
              <w:rPr>
                <w:sz w:val="24"/>
                <w:szCs w:val="24"/>
                <w:color w:val="auto"/>
              </w:rPr>
            </w:pPr>
          </w:p>
        </w:tc>
        <w:tc>
          <w:tcPr>
            <w:tcW w:w="2900" w:type="dxa"/>
            <w:vAlign w:val="bottom"/>
            <w:tcBorders>
              <w:top w:val="single" w:sz="8" w:color="CFF0FC"/>
            </w:tcBorders>
          </w:tcPr>
          <w:p>
            <w:pPr>
              <w:jc w:val="right"/>
              <w:ind w:right="1890"/>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480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-933450</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-916305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14" w:name="page15"/>
    <w:bookmarkEnd w:id="14"/>
    <w:p>
      <w:pPr>
        <w:ind w:right="20" w:firstLine="255"/>
        <w:spacing w:after="0" w:line="266" w:lineRule="auto"/>
        <w:rPr>
          <w:sz w:val="20"/>
          <w:szCs w:val="20"/>
          <w:color w:val="auto"/>
        </w:rPr>
      </w:pPr>
      <w:r>
        <w:rPr>
          <w:rFonts w:ascii="Times New Roman" w:cs="Times New Roman" w:eastAsia="Times New Roman" w:hAnsi="Times New Roman"/>
          <w:sz w:val="18"/>
          <w:szCs w:val="18"/>
          <w:color w:val="auto"/>
        </w:rPr>
        <w:t>Gains and losses on the Company's foreign currency forward contracts are recorded in Other income (expense), net, on the Company's unaudited condensed consolidated statements of operations. The following table provides information about the gain or loss associated with the Company’s derivative financial instruments not designated as hedging instruments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2140" w:type="dxa"/>
            <w:vAlign w:val="bottom"/>
            <w:gridSpan w:val="4"/>
          </w:tcPr>
          <w:p>
            <w:pPr>
              <w:jc w:val="center"/>
              <w:ind w:left="24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5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580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center"/>
              <w:ind w:right="32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80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currency exchange gain (loss) on forward contracts</w:t>
            </w:r>
          </w:p>
        </w:tc>
        <w:tc>
          <w:tcPr>
            <w:tcW w:w="740" w:type="dxa"/>
            <w:vAlign w:val="bottom"/>
            <w:shd w:val="clear" w:color="auto" w:fill="CFF0FC"/>
          </w:tcPr>
          <w:p>
            <w:pPr>
              <w:jc w:val="right"/>
              <w:ind w:right="56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3"/>
            <w:shd w:val="clear" w:color="auto" w:fill="CFF0FC"/>
          </w:tcPr>
          <w:p>
            <w:pPr>
              <w:jc w:val="right"/>
              <w:ind w:right="608"/>
              <w:spacing w:after="0"/>
              <w:rPr>
                <w:sz w:val="20"/>
                <w:szCs w:val="20"/>
                <w:color w:val="auto"/>
              </w:rPr>
            </w:pPr>
            <w:r>
              <w:rPr>
                <w:rFonts w:ascii="Times New Roman" w:cs="Times New Roman" w:eastAsia="Times New Roman" w:hAnsi="Times New Roman"/>
                <w:sz w:val="18"/>
                <w:szCs w:val="18"/>
                <w:color w:val="auto"/>
              </w:rPr>
              <w:t>(618 )  $</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940" w:type="dxa"/>
            <w:vAlign w:val="bottom"/>
            <w:gridSpan w:val="2"/>
            <w:shd w:val="clear" w:color="auto" w:fill="CFF0FC"/>
          </w:tcPr>
          <w:p>
            <w:pPr>
              <w:jc w:val="right"/>
              <w:ind w:right="54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818</w:t>
            </w:r>
          </w:p>
        </w:tc>
        <w:tc>
          <w:tcPr>
            <w:tcW w:w="1060" w:type="dxa"/>
            <w:vAlign w:val="bottom"/>
            <w:gridSpan w:val="2"/>
            <w:shd w:val="clear" w:color="auto" w:fill="CFF0FC"/>
          </w:tcPr>
          <w:p>
            <w:pPr>
              <w:jc w:val="right"/>
              <w:ind w:right="64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shd w:val="clear" w:color="auto" w:fill="CFF0FC"/>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Fair Value Measurements</w:t>
      </w:r>
    </w:p>
    <w:p>
      <w:pPr>
        <w:spacing w:after="0" w:line="202" w:lineRule="exact"/>
        <w:rPr>
          <w:sz w:val="20"/>
          <w:szCs w:val="20"/>
          <w:color w:val="auto"/>
        </w:rPr>
      </w:pPr>
    </w:p>
    <w:p>
      <w:pPr>
        <w:ind w:right="380" w:firstLine="255"/>
        <w:spacing w:after="0" w:line="266" w:lineRule="auto"/>
        <w:rPr>
          <w:sz w:val="20"/>
          <w:szCs w:val="20"/>
          <w:color w:val="auto"/>
        </w:rPr>
      </w:pPr>
      <w:r>
        <w:rPr>
          <w:rFonts w:ascii="Times New Roman" w:cs="Times New Roman" w:eastAsia="Times New Roman" w:hAnsi="Times New Roman"/>
          <w:sz w:val="18"/>
          <w:szCs w:val="18"/>
          <w:color w:val="auto"/>
        </w:rPr>
        <w:t>Fair value is an exit price representing the amount that would be received to sell an asset or paid to transfer a liability, in the principal or most advantageous market, for the asset or liability, in an orderly transaction between market participants on the measurement date. The fair value hierarchy contains three levels of inputs that may be used to measure fair value, as follows:</w:t>
      </w:r>
    </w:p>
    <w:p>
      <w:pPr>
        <w:spacing w:after="0" w:line="66" w:lineRule="exact"/>
        <w:rPr>
          <w:sz w:val="20"/>
          <w:szCs w:val="20"/>
          <w:color w:val="auto"/>
        </w:rPr>
      </w:pPr>
    </w:p>
    <w:p>
      <w:pPr>
        <w:ind w:left="780" w:hanging="518"/>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Unadjusted quoted prices that are available in active markets for the identical assets or liabilities at the measurement date.</w:t>
      </w:r>
    </w:p>
    <w:p>
      <w:pPr>
        <w:spacing w:after="0" w:line="117" w:lineRule="exact"/>
        <w:rPr>
          <w:rFonts w:ascii="Times New Roman" w:cs="Times New Roman" w:eastAsia="Times New Roman" w:hAnsi="Times New Roman"/>
          <w:sz w:val="18"/>
          <w:szCs w:val="18"/>
          <w:color w:val="auto"/>
        </w:rPr>
      </w:pPr>
    </w:p>
    <w:p>
      <w:pPr>
        <w:ind w:left="780" w:right="120" w:hanging="518"/>
        <w:spacing w:after="0" w:line="261" w:lineRule="auto"/>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Other observable inputs available at the measurement date, other than quoted prices included in Level 1, either directly or indirectly,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quoted prices for similar assets or liabilities in active markets; quoted prices for identical or similar assets in non-active markets; inputs other than quoted prices that are observable for the asset or liability; and inputs that are derived principally from or corroborated by other observable market data.</w:t>
      </w:r>
    </w:p>
    <w:p>
      <w:pPr>
        <w:spacing w:after="0" w:line="71" w:lineRule="exact"/>
        <w:rPr>
          <w:rFonts w:ascii="Times New Roman" w:cs="Times New Roman" w:eastAsia="Times New Roman" w:hAnsi="Times New Roman"/>
          <w:sz w:val="18"/>
          <w:szCs w:val="18"/>
          <w:color w:val="auto"/>
        </w:rPr>
      </w:pPr>
    </w:p>
    <w:p>
      <w:pPr>
        <w:ind w:left="780" w:right="160" w:hanging="518"/>
        <w:spacing w:after="0" w:line="267" w:lineRule="auto"/>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Unobservable inputs that cannot be corroborated by observable market data and require the use of significant management judgment.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values are generally determined using pricing models for which the assumptions utilize management’s estimates of market participant assumptions.</w:t>
      </w:r>
    </w:p>
    <w:p>
      <w:pPr>
        <w:spacing w:after="0" w:line="17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Assets and Liabilities That Are Measured at Fair Value</w:t>
      </w:r>
    </w:p>
    <w:p>
      <w:pPr>
        <w:spacing w:after="0" w:line="187" w:lineRule="exact"/>
        <w:rPr>
          <w:sz w:val="20"/>
          <w:szCs w:val="20"/>
          <w:color w:val="auto"/>
        </w:rPr>
      </w:pPr>
    </w:p>
    <w:p>
      <w:pPr>
        <w:jc w:val="both"/>
        <w:ind w:right="240" w:firstLine="255"/>
        <w:spacing w:after="0" w:line="266" w:lineRule="auto"/>
        <w:rPr>
          <w:sz w:val="20"/>
          <w:szCs w:val="20"/>
          <w:color w:val="auto"/>
        </w:rPr>
      </w:pPr>
      <w:r>
        <w:rPr>
          <w:rFonts w:ascii="Times New Roman" w:cs="Times New Roman" w:eastAsia="Times New Roman" w:hAnsi="Times New Roman"/>
          <w:sz w:val="18"/>
          <w:szCs w:val="18"/>
          <w:color w:val="auto"/>
        </w:rPr>
        <w:t>As of December 31, 2024, the Company had open currency forward contracts to purchase or sell foreign currencies with a stated or notional value of $79.6 million. The fair value of the underlying currency, based upon the December 31, 2024 exchange rate, was $79.5 million, which it considers to be a Level 2 fair value measurement.</w:t>
      </w:r>
    </w:p>
    <w:p>
      <w:pPr>
        <w:spacing w:after="0" w:line="135" w:lineRule="exact"/>
        <w:rPr>
          <w:sz w:val="20"/>
          <w:szCs w:val="20"/>
          <w:color w:val="auto"/>
        </w:rPr>
      </w:pPr>
    </w:p>
    <w:p>
      <w:pPr>
        <w:jc w:val="both"/>
        <w:ind w:right="200" w:firstLine="255"/>
        <w:spacing w:after="0" w:line="266" w:lineRule="auto"/>
        <w:rPr>
          <w:sz w:val="20"/>
          <w:szCs w:val="20"/>
          <w:color w:val="auto"/>
        </w:rPr>
      </w:pPr>
      <w:r>
        <w:rPr>
          <w:rFonts w:ascii="Times New Roman" w:cs="Times New Roman" w:eastAsia="Times New Roman" w:hAnsi="Times New Roman"/>
          <w:sz w:val="18"/>
          <w:szCs w:val="18"/>
          <w:color w:val="auto"/>
        </w:rPr>
        <w:t>As of June 30, 2024, the Company had open currency forward contracts to purchase or sell foreign currencies with a stated or notional value of $88.0 million. The fair value of the underlying currency, based upon the June 30, 2024 exchange rate, was $87.7 million, which it considers to be a Level 2 fair value measurement.</w:t>
      </w:r>
    </w:p>
    <w:p>
      <w:pPr>
        <w:spacing w:after="0" w:line="149" w:lineRule="exact"/>
        <w:rPr>
          <w:sz w:val="20"/>
          <w:szCs w:val="20"/>
          <w:color w:val="auto"/>
        </w:rPr>
      </w:pPr>
    </w:p>
    <w:p>
      <w:pPr>
        <w:ind w:right="380" w:firstLine="255"/>
        <w:spacing w:after="0" w:line="261" w:lineRule="auto"/>
        <w:rPr>
          <w:sz w:val="20"/>
          <w:szCs w:val="20"/>
          <w:color w:val="auto"/>
        </w:rPr>
      </w:pPr>
      <w:r>
        <w:rPr>
          <w:rFonts w:ascii="Times New Roman" w:cs="Times New Roman" w:eastAsia="Times New Roman" w:hAnsi="Times New Roman"/>
          <w:sz w:val="18"/>
          <w:szCs w:val="18"/>
          <w:color w:val="auto"/>
        </w:rPr>
        <w:t>The Company’s convertible debt is measured on a recurring basis using Level 2 based upon observable inputs. The Company's Revolving Credit Facility and Term Loan Facility (as defined in Note 8) collectively (the “Credit Facilities”) reflect the bank quoted market rates, which the Company considers to be a Level 2 fair value measurement. The Company believes that the carrying value of the Credit Facilities approximates its estimated fair value based on the effective interest rate, compared to the current market rate available to the Company at quarter-end.</w:t>
      </w:r>
    </w:p>
    <w:p>
      <w:pPr>
        <w:spacing w:after="0" w:line="1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table below summarizes the carrying value and estimated fair value of the 3.75% Convertible Senior Notes due 2026, Term Loan Facility, and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Revolving Credit Facility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0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3"/>
        </w:trPr>
        <w:tc>
          <w:tcPr>
            <w:tcW w:w="53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8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17"/>
        </w:trPr>
        <w:tc>
          <w:tcPr>
            <w:tcW w:w="5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jc w:val="right"/>
              <w:ind w:right="257"/>
              <w:spacing w:after="0" w:line="118"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80" w:type="dxa"/>
            <w:vAlign w:val="bottom"/>
          </w:tcPr>
          <w:p>
            <w:pPr>
              <w:jc w:val="right"/>
              <w:ind w:right="417"/>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jc w:val="right"/>
              <w:ind w:right="258"/>
              <w:spacing w:after="0" w:line="118"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tcPr>
          <w:p>
            <w:pPr>
              <w:jc w:val="right"/>
              <w:ind w:right="437"/>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120" w:type="dxa"/>
            <w:vAlign w:val="bottom"/>
          </w:tcPr>
          <w:p>
            <w:pPr>
              <w:spacing w:after="0"/>
              <w:rPr>
                <w:sz w:val="10"/>
                <w:szCs w:val="10"/>
                <w:color w:val="auto"/>
              </w:rPr>
            </w:pPr>
          </w:p>
        </w:tc>
      </w:tr>
      <w:tr>
        <w:trPr>
          <w:trHeight w:val="173"/>
        </w:trPr>
        <w:tc>
          <w:tcPr>
            <w:tcW w:w="53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5"/>
                <w:szCs w:val="15"/>
                <w:color w:val="auto"/>
              </w:rPr>
            </w:pPr>
          </w:p>
        </w:tc>
      </w:tr>
      <w:tr>
        <w:trPr>
          <w:trHeight w:val="210"/>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3.75% Convertible Notes due 2026</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99,091</w:t>
            </w:r>
          </w:p>
        </w:tc>
        <w:tc>
          <w:tcPr>
            <w:tcW w:w="62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91,573</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98,782</w:t>
            </w:r>
          </w:p>
        </w:tc>
        <w:tc>
          <w:tcPr>
            <w:tcW w:w="56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85,762</w:t>
            </w:r>
          </w:p>
        </w:tc>
        <w:tc>
          <w:tcPr>
            <w:tcW w:w="120" w:type="dxa"/>
            <w:vAlign w:val="bottom"/>
            <w:shd w:val="clear" w:color="auto" w:fill="CFF0FC"/>
          </w:tcPr>
          <w:p>
            <w:pPr>
              <w:spacing w:after="0"/>
              <w:rPr>
                <w:sz w:val="18"/>
                <w:szCs w:val="18"/>
                <w:color w:val="auto"/>
              </w:rPr>
            </w:pPr>
          </w:p>
        </w:tc>
      </w:tr>
      <w:tr>
        <w:trPr>
          <w:trHeight w:val="216"/>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 Facility</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59,422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59,422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63,374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63,374</w:t>
            </w:r>
          </w:p>
        </w:tc>
        <w:tc>
          <w:tcPr>
            <w:tcW w:w="120" w:type="dxa"/>
            <w:vAlign w:val="bottom"/>
          </w:tcPr>
          <w:p>
            <w:pPr>
              <w:spacing w:after="0"/>
              <w:rPr>
                <w:sz w:val="18"/>
                <w:szCs w:val="18"/>
                <w:color w:val="auto"/>
              </w:rPr>
            </w:pPr>
          </w:p>
        </w:tc>
      </w:tr>
      <w:tr>
        <w:trPr>
          <w:trHeight w:val="216"/>
        </w:trPr>
        <w:tc>
          <w:tcPr>
            <w:tcW w:w="5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17,000</w:t>
            </w:r>
          </w:p>
        </w:tc>
        <w:tc>
          <w:tcPr>
            <w:tcW w:w="2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17,000</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5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175,513</w:t>
            </w:r>
          </w:p>
        </w:tc>
        <w:tc>
          <w:tcPr>
            <w:tcW w:w="6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167,995</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172,156</w:t>
            </w:r>
          </w:p>
        </w:tc>
        <w:tc>
          <w:tcPr>
            <w:tcW w:w="5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159,136</w:t>
            </w:r>
          </w:p>
        </w:tc>
        <w:tc>
          <w:tcPr>
            <w:tcW w:w="120" w:type="dxa"/>
            <w:vAlign w:val="bottom"/>
          </w:tcPr>
          <w:p>
            <w:pPr>
              <w:spacing w:after="0"/>
              <w:rPr>
                <w:sz w:val="18"/>
                <w:szCs w:val="18"/>
                <w:color w:val="auto"/>
              </w:rPr>
            </w:pPr>
          </w:p>
        </w:tc>
      </w:tr>
      <w:tr>
        <w:trPr>
          <w:trHeight w:val="20"/>
        </w:trPr>
        <w:tc>
          <w:tcPr>
            <w:tcW w:w="5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28"/>
        </w:trPr>
        <w:tc>
          <w:tcPr>
            <w:tcW w:w="5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ind w:right="757"/>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63"/>
        </w:trPr>
        <w:tc>
          <w:tcPr>
            <w:tcW w:w="53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-1079500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-1079500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-1079500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-1079500</wp:posOffset>
            </wp:positionV>
            <wp:extent cx="7747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Note 7. Commitments and Contingencies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202" w:lineRule="exact"/>
        <w:rPr>
          <w:sz w:val="20"/>
          <w:szCs w:val="20"/>
          <w:color w:val="auto"/>
        </w:rPr>
      </w:pPr>
    </w:p>
    <w:p>
      <w:pPr>
        <w:ind w:right="40" w:firstLine="255"/>
        <w:spacing w:after="0" w:line="253" w:lineRule="auto"/>
        <w:rPr>
          <w:sz w:val="20"/>
          <w:szCs w:val="20"/>
          <w:color w:val="auto"/>
        </w:rPr>
      </w:pPr>
      <w:r>
        <w:rPr>
          <w:rFonts w:ascii="Times New Roman" w:cs="Times New Roman" w:eastAsia="Times New Roman" w:hAnsi="Times New Roman"/>
          <w:sz w:val="18"/>
          <w:szCs w:val="18"/>
          <w:color w:val="auto"/>
        </w:rPr>
        <w:t>From time to time, the Company is involved in legal proceedings, including claims, investigations, and inquiries, arising in the ordinary course of its business. The Company records a provision for a loss when it believes that it is both probable that a loss has been incurred and the amount can be reasonably estimated. To the extent there is a reasonable possibility that a loss exceeding amounts already recognized may be incurred and the amount of such additional loss would be material, we will either disclose the estimated additional loss or state that such an estimate cannot be made. Currently, management believes the Company does not have any probable and reasonably estimable material losses related to any current legal proceedings and claims. Although occasional adverse decisions or settlements may occur, management does not believe that an adverse determination with respect to any of these claims would individually, or in the aggregate, materially and adversely affect the Company’s financial condition or operating results. Litigation is inherently unpredictable and is subject to significant uncertainties, some of which are beyond the Company’s control. Should any of these estimates and assumptions change or prove to have been incorrect, the Company could incur significant charges related to legal matters that could have a material impact on its results of operations, financial position and cash flows.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Indemnities</w:t>
      </w:r>
    </w:p>
    <w:p>
      <w:pPr>
        <w:spacing w:after="0" w:line="189" w:lineRule="exact"/>
        <w:rPr>
          <w:sz w:val="20"/>
          <w:szCs w:val="20"/>
          <w:color w:val="auto"/>
        </w:rPr>
      </w:pPr>
    </w:p>
    <w:p>
      <w:pPr>
        <w:ind w:right="40" w:firstLine="255"/>
        <w:spacing w:after="0" w:line="219" w:lineRule="exact"/>
        <w:rPr>
          <w:sz w:val="20"/>
          <w:szCs w:val="20"/>
          <w:color w:val="auto"/>
        </w:rPr>
      </w:pPr>
      <w:r>
        <w:rPr>
          <w:rFonts w:ascii="Times New Roman" w:cs="Times New Roman" w:eastAsia="Times New Roman" w:hAnsi="Times New Roman"/>
          <w:sz w:val="18"/>
          <w:szCs w:val="18"/>
          <w:color w:val="auto"/>
        </w:rPr>
        <w:t>Under the terms of the Company’s software license agreements with its customers, the Company agrees that in the event the software sold infringes upon any patent, copyright, trademark, or any other proprietary right of a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it will indemnify its customer licensees against any loss, expense, or liability from any damages that may be awarded against its customer. The Company includes this infringement indemnification in all of its software license agreements and selected managed services arrangements. In the event the customer cannot use the software or service due to infringement and the Company cannot obtain the right to use, replace or modify the license or service in a commercially feasible manner so that it no longer infringes, then the Company may terminate the license and provide the customer a refund of the fees paid by the customer for the infringing license or service. The Company has not recorded any liability associated with this indemnification, as it is not aware of any pending or threatened actions that represent probable losses as of December 31, 2024.</w:t>
      </w:r>
    </w:p>
    <w:p>
      <w:pPr>
        <w:spacing w:after="0" w:line="171" w:lineRule="exact"/>
        <w:rPr>
          <w:sz w:val="20"/>
          <w:szCs w:val="20"/>
          <w:color w:val="auto"/>
        </w:rPr>
      </w:pPr>
    </w:p>
    <w:p>
      <w:pPr>
        <w:ind w:right="120" w:firstLine="255"/>
        <w:spacing w:after="0" w:line="219" w:lineRule="exact"/>
        <w:rPr>
          <w:sz w:val="20"/>
          <w:szCs w:val="20"/>
          <w:color w:val="auto"/>
        </w:rPr>
      </w:pPr>
      <w:r>
        <w:rPr>
          <w:rFonts w:ascii="Times New Roman" w:cs="Times New Roman" w:eastAsia="Times New Roman" w:hAnsi="Times New Roman"/>
          <w:sz w:val="18"/>
          <w:szCs w:val="18"/>
          <w:color w:val="auto"/>
        </w:rPr>
        <w:t>The Company enters into standard indemnification agreements with its landlords and all superior mortgagees and their respective directors, officers, agents, and employees in the ordinary course of business. Pursuant to these agreements, the Company will indemnify, hold harmless, and agree to reimburse the indemnified party for losses suffered or incurred by the indemnified party, generally the landlords, in connection with any loss, accident, injury, or damage by any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with respect to the leased facilities. The term of these indemnification agreements is from the commencement of the lease agreements until termination of the lease agreements. The maximum potential amount of future payments the Company could be required to make under these indemnification agreements is unlimited; however, historically, the Company has not incurred claims or costs to defend lawsuits or settle claims related to these indemnification agreements. The Company has not recorded any liability associated with its indemnification agreements as it is not aware of any pending or threatened actions that represent probable losses as of December 31, 2024.</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Guarantees</w:t>
      </w:r>
    </w:p>
    <w:p>
      <w:pPr>
        <w:spacing w:after="0" w:line="229" w:lineRule="exact"/>
        <w:rPr>
          <w:sz w:val="20"/>
          <w:szCs w:val="20"/>
          <w:color w:val="auto"/>
        </w:rPr>
      </w:pPr>
    </w:p>
    <w:p>
      <w:pPr>
        <w:ind w:right="160" w:firstLine="255"/>
        <w:spacing w:after="0" w:line="282" w:lineRule="auto"/>
        <w:rPr>
          <w:sz w:val="20"/>
          <w:szCs w:val="20"/>
          <w:color w:val="auto"/>
        </w:rPr>
      </w:pPr>
      <w:r>
        <w:rPr>
          <w:rFonts w:ascii="Times New Roman" w:cs="Times New Roman" w:eastAsia="Times New Roman" w:hAnsi="Times New Roman"/>
          <w:sz w:val="18"/>
          <w:szCs w:val="18"/>
          <w:color w:val="auto"/>
        </w:rPr>
        <w:t>As of December 31, 2024 and June 30, 2024, the Company had various bank guarantees totaling $1.3 million and $1.1 million, respectively, primarily related to bidding processes with customers.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Royalty Agreement</w:t>
      </w:r>
    </w:p>
    <w:p>
      <w:pPr>
        <w:spacing w:after="0" w:line="229" w:lineRule="exact"/>
        <w:rPr>
          <w:sz w:val="20"/>
          <w:szCs w:val="20"/>
          <w:color w:val="auto"/>
        </w:rPr>
      </w:pPr>
    </w:p>
    <w:p>
      <w:pPr>
        <w:ind w:right="60" w:firstLine="255"/>
        <w:spacing w:after="0" w:line="261" w:lineRule="auto"/>
        <w:rPr>
          <w:sz w:val="20"/>
          <w:szCs w:val="20"/>
          <w:color w:val="auto"/>
        </w:rPr>
      </w:pPr>
      <w:r>
        <w:rPr>
          <w:rFonts w:ascii="Times New Roman" w:cs="Times New Roman" w:eastAsia="Times New Roman" w:hAnsi="Times New Roman"/>
          <w:sz w:val="18"/>
          <w:szCs w:val="18"/>
          <w:color w:val="auto"/>
        </w:rPr>
        <w:t>The Company enters into software license agreements with third parties that require royalty payments for each license used. In connection with such agreements, the Company records royalty costs in cost of revenue or deferred cost of revenue. The Company had approximately $3.0 million and $2.9 million in accrued royalty payments as of December 31, 2024, and June 30, 2024, respectively, related to royalty agreements. The following table provides information about the Company’s royalty expense and royalty payments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580" w:type="dxa"/>
            <w:vAlign w:val="bottom"/>
            <w:gridSpan w:val="4"/>
          </w:tcPr>
          <w:p>
            <w:pPr>
              <w:jc w:val="center"/>
              <w:ind w:left="28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3"/>
        </w:trPr>
        <w:tc>
          <w:tcPr>
            <w:tcW w:w="4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center"/>
              <w:ind w:right="46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46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Borders>
              <w:bottom w:val="single" w:sz="8" w:color="auto"/>
            </w:tcBorders>
          </w:tcPr>
          <w:p>
            <w:pPr>
              <w:jc w:val="right"/>
              <w:ind w:right="4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7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r>
      <w:tr>
        <w:trPr>
          <w:trHeight w:val="210"/>
        </w:trPr>
        <w:tc>
          <w:tcPr>
            <w:tcW w:w="47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Royalty expense</w:t>
            </w:r>
          </w:p>
        </w:tc>
        <w:tc>
          <w:tcPr>
            <w:tcW w:w="960" w:type="dxa"/>
            <w:vAlign w:val="bottom"/>
            <w:shd w:val="clear" w:color="auto" w:fill="CFF0FC"/>
          </w:tcPr>
          <w:p>
            <w:pPr>
              <w:jc w:val="right"/>
              <w:ind w:right="78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18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160" w:type="dxa"/>
            <w:vAlign w:val="bottom"/>
            <w:gridSpan w:val="2"/>
            <w:shd w:val="clear" w:color="auto" w:fill="CFF0FC"/>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78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20" w:type="dxa"/>
            <w:vAlign w:val="bottom"/>
            <w:shd w:val="clear" w:color="auto" w:fill="CFF0FC"/>
          </w:tcPr>
          <w:p>
            <w:pPr>
              <w:spacing w:after="0"/>
              <w:rPr>
                <w:sz w:val="18"/>
                <w:szCs w:val="18"/>
                <w:color w:val="auto"/>
              </w:rPr>
            </w:pPr>
          </w:p>
        </w:tc>
      </w:tr>
      <w:tr>
        <w:trPr>
          <w:trHeight w:val="234"/>
        </w:trPr>
        <w:tc>
          <w:tcPr>
            <w:tcW w:w="4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Royalty payments</w:t>
            </w:r>
          </w:p>
        </w:tc>
        <w:tc>
          <w:tcPr>
            <w:tcW w:w="9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7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Note 8. Debt</w:t>
      </w: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Company's outstanding debt as of December 31, 2024 and June 30, 2024, is as follows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3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17"/>
        </w:trPr>
        <w:tc>
          <w:tcPr>
            <w:tcW w:w="3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jc w:val="right"/>
              <w:ind w:right="177"/>
              <w:spacing w:after="0" w:line="118" w:lineRule="exact"/>
              <w:rPr>
                <w:sz w:val="20"/>
                <w:szCs w:val="20"/>
                <w:color w:val="auto"/>
              </w:rPr>
            </w:pPr>
            <w:r>
              <w:rPr>
                <w:rFonts w:ascii="Times New Roman" w:cs="Times New Roman" w:eastAsia="Times New Roman" w:hAnsi="Times New Roman"/>
                <w:sz w:val="13"/>
                <w:szCs w:val="13"/>
                <w:b w:val="1"/>
                <w:bCs w:val="1"/>
                <w:color w:val="auto"/>
              </w:rPr>
              <w:t>Principal</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jc w:val="center"/>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Unamortized</w:t>
            </w:r>
          </w:p>
        </w:tc>
        <w:tc>
          <w:tcPr>
            <w:tcW w:w="1060" w:type="dxa"/>
            <w:vAlign w:val="bottom"/>
            <w:gridSpan w:val="2"/>
          </w:tcPr>
          <w:p>
            <w:pPr>
              <w:jc w:val="right"/>
              <w:ind w:right="52"/>
              <w:spacing w:after="0" w:line="118" w:lineRule="exact"/>
              <w:rPr>
                <w:sz w:val="20"/>
                <w:szCs w:val="20"/>
                <w:color w:val="auto"/>
              </w:rPr>
            </w:pPr>
            <w:r>
              <w:rPr>
                <w:rFonts w:ascii="Times New Roman" w:cs="Times New Roman" w:eastAsia="Times New Roman" w:hAnsi="Times New Roman"/>
                <w:sz w:val="13"/>
                <w:szCs w:val="13"/>
                <w:b w:val="1"/>
                <w:bCs w:val="1"/>
                <w:color w:val="auto"/>
              </w:rPr>
              <w:t>Net Carrying</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jc w:val="right"/>
              <w:ind w:right="177"/>
              <w:spacing w:after="0" w:line="118" w:lineRule="exact"/>
              <w:rPr>
                <w:sz w:val="20"/>
                <w:szCs w:val="20"/>
                <w:color w:val="auto"/>
              </w:rPr>
            </w:pPr>
            <w:r>
              <w:rPr>
                <w:rFonts w:ascii="Times New Roman" w:cs="Times New Roman" w:eastAsia="Times New Roman" w:hAnsi="Times New Roman"/>
                <w:sz w:val="13"/>
                <w:szCs w:val="13"/>
                <w:b w:val="1"/>
                <w:bCs w:val="1"/>
                <w:color w:val="auto"/>
              </w:rPr>
              <w:t>Principal</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gridSpan w:val="2"/>
          </w:tcPr>
          <w:p>
            <w:pPr>
              <w:jc w:val="right"/>
              <w:ind w:right="700"/>
              <w:spacing w:after="0" w:line="118" w:lineRule="exact"/>
              <w:rPr>
                <w:sz w:val="20"/>
                <w:szCs w:val="20"/>
                <w:color w:val="auto"/>
              </w:rPr>
            </w:pPr>
            <w:r>
              <w:rPr>
                <w:rFonts w:ascii="Times New Roman" w:cs="Times New Roman" w:eastAsia="Times New Roman" w:hAnsi="Times New Roman"/>
                <w:sz w:val="13"/>
                <w:szCs w:val="13"/>
                <w:b w:val="1"/>
                <w:bCs w:val="1"/>
                <w:color w:val="auto"/>
              </w:rPr>
              <w:t>Unamortized</w:t>
            </w:r>
          </w:p>
        </w:tc>
        <w:tc>
          <w:tcPr>
            <w:tcW w:w="1080" w:type="dxa"/>
            <w:vAlign w:val="bottom"/>
            <w:gridSpan w:val="2"/>
          </w:tcPr>
          <w:p>
            <w:pPr>
              <w:jc w:val="right"/>
              <w:ind w:right="72"/>
              <w:spacing w:after="0" w:line="118" w:lineRule="exact"/>
              <w:rPr>
                <w:sz w:val="20"/>
                <w:szCs w:val="20"/>
                <w:color w:val="auto"/>
              </w:rPr>
            </w:pPr>
            <w:r>
              <w:rPr>
                <w:rFonts w:ascii="Times New Roman" w:cs="Times New Roman" w:eastAsia="Times New Roman" w:hAnsi="Times New Roman"/>
                <w:sz w:val="13"/>
                <w:szCs w:val="13"/>
                <w:b w:val="1"/>
                <w:bCs w:val="1"/>
                <w:color w:val="auto"/>
              </w:rPr>
              <w:t>Net Carrying</w:t>
            </w:r>
          </w:p>
        </w:tc>
        <w:tc>
          <w:tcPr>
            <w:tcW w:w="100" w:type="dxa"/>
            <w:vAlign w:val="bottom"/>
          </w:tcPr>
          <w:p>
            <w:pPr>
              <w:spacing w:after="0"/>
              <w:rPr>
                <w:sz w:val="10"/>
                <w:szCs w:val="10"/>
                <w:color w:val="auto"/>
              </w:rPr>
            </w:pPr>
          </w:p>
        </w:tc>
      </w:tr>
      <w:tr>
        <w:trPr>
          <w:trHeight w:val="173"/>
        </w:trPr>
        <w:tc>
          <w:tcPr>
            <w:tcW w:w="33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Debt Costs</w:t>
            </w: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Debt Costs</w:t>
            </w:r>
          </w:p>
        </w:tc>
        <w:tc>
          <w:tcPr>
            <w:tcW w:w="5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5"/>
                <w:szCs w:val="15"/>
                <w:color w:val="auto"/>
              </w:rPr>
            </w:pPr>
          </w:p>
        </w:tc>
      </w:tr>
      <w:tr>
        <w:trPr>
          <w:trHeight w:val="209"/>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3.75% Convertible Senior Notes due 2026</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(909 )</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99,091</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8"/>
                <w:szCs w:val="18"/>
                <w:color w:val="auto"/>
              </w:rPr>
              <w:t>(1,218 )</w:t>
            </w:r>
          </w:p>
        </w:tc>
        <w:tc>
          <w:tcPr>
            <w:tcW w:w="2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98,782</w:t>
            </w:r>
          </w:p>
        </w:tc>
        <w:tc>
          <w:tcPr>
            <w:tcW w:w="100" w:type="dxa"/>
            <w:vAlign w:val="bottom"/>
            <w:shd w:val="clear" w:color="auto" w:fill="CFF0FC"/>
          </w:tcPr>
          <w:p>
            <w:pPr>
              <w:spacing w:after="0"/>
              <w:rPr>
                <w:sz w:val="18"/>
                <w:szCs w:val="18"/>
                <w:color w:val="auto"/>
              </w:rPr>
            </w:pPr>
          </w:p>
        </w:tc>
      </w:tr>
      <w:tr>
        <w:trPr>
          <w:trHeight w:val="216"/>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 Facility</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(578 )</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59,422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(626 )</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63,374</w:t>
            </w:r>
          </w:p>
        </w:tc>
        <w:tc>
          <w:tcPr>
            <w:tcW w:w="100" w:type="dxa"/>
            <w:vAlign w:val="bottom"/>
          </w:tcPr>
          <w:p>
            <w:pPr>
              <w:spacing w:after="0"/>
              <w:rPr>
                <w:sz w:val="18"/>
                <w:szCs w:val="18"/>
                <w:color w:val="auto"/>
              </w:rPr>
            </w:pPr>
          </w:p>
        </w:tc>
      </w:tr>
      <w:tr>
        <w:trPr>
          <w:trHeight w:val="216"/>
        </w:trPr>
        <w:tc>
          <w:tcPr>
            <w:tcW w:w="3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17,000</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17,000</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3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debt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177,000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(1,487 )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175,513</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174,000</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(1,844 )</w:t>
            </w: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172,156</w:t>
            </w:r>
          </w:p>
        </w:tc>
        <w:tc>
          <w:tcPr>
            <w:tcW w:w="100" w:type="dxa"/>
            <w:vAlign w:val="bottom"/>
          </w:tcPr>
          <w:p>
            <w:pPr>
              <w:spacing w:after="0"/>
              <w:rPr>
                <w:sz w:val="18"/>
                <w:szCs w:val="18"/>
                <w:color w:val="auto"/>
              </w:rPr>
            </w:pPr>
          </w:p>
        </w:tc>
      </w:tr>
      <w:tr>
        <w:trPr>
          <w:trHeight w:val="20"/>
        </w:trPr>
        <w:tc>
          <w:tcPr>
            <w:tcW w:w="3360" w:type="dxa"/>
            <w:vAlign w:val="bottom"/>
            <w:tcBorders>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336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Reported as:</w:t>
            </w: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debt</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7,756</w:t>
            </w:r>
          </w:p>
        </w:tc>
        <w:tc>
          <w:tcPr>
            <w:tcW w:w="100" w:type="dxa"/>
            <w:vAlign w:val="bottom"/>
          </w:tcPr>
          <w:p>
            <w:pPr>
              <w:spacing w:after="0"/>
              <w:rPr>
                <w:sz w:val="18"/>
                <w:szCs w:val="18"/>
                <w:color w:val="auto"/>
              </w:rPr>
            </w:pPr>
          </w:p>
        </w:tc>
      </w:tr>
      <w:tr>
        <w:trPr>
          <w:trHeight w:val="216"/>
        </w:trPr>
        <w:tc>
          <w:tcPr>
            <w:tcW w:w="3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6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167,953</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164,400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3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debt</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175,513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172,156</w:t>
            </w:r>
          </w:p>
        </w:tc>
        <w:tc>
          <w:tcPr>
            <w:tcW w:w="100" w:type="dxa"/>
            <w:vAlign w:val="bottom"/>
          </w:tcPr>
          <w:p>
            <w:pPr>
              <w:spacing w:after="0"/>
              <w:rPr>
                <w:sz w:val="18"/>
                <w:szCs w:val="18"/>
                <w:color w:val="auto"/>
              </w:rPr>
            </w:pPr>
          </w:p>
        </w:tc>
      </w:tr>
      <w:tr>
        <w:trPr>
          <w:trHeight w:val="20"/>
        </w:trPr>
        <w:tc>
          <w:tcPr>
            <w:tcW w:w="3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-753745</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-753745</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-753745</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-753745</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-753745</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-753745</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-170815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3.75% Convertible Senior Notes due June 2026</w:t>
      </w: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 May 2021, the Company issued $100.0 million aggregate principal amount of its 3.75% Convertible Senior Notes due June 2026 (the “3.75%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Convertible Notes due 2026”) under an indenture agreement between the Company and The Bank of New York Mellon Trust Company, N.A., as trustee.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the if-converted value of its 3.75% Convertible Notes due 2026 did not exceed the outstanding principal amount.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Facilities</w:t>
      </w:r>
    </w:p>
    <w:p>
      <w:pPr>
        <w:spacing w:after="0" w:line="227" w:lineRule="exact"/>
        <w:rPr>
          <w:sz w:val="20"/>
          <w:szCs w:val="20"/>
          <w:color w:val="auto"/>
        </w:rPr>
      </w:pPr>
    </w:p>
    <w:p>
      <w:pPr>
        <w:ind w:right="20" w:firstLine="255"/>
        <w:spacing w:after="0" w:line="255" w:lineRule="auto"/>
        <w:rPr>
          <w:sz w:val="20"/>
          <w:szCs w:val="20"/>
          <w:color w:val="auto"/>
        </w:rPr>
      </w:pPr>
      <w:r>
        <w:rPr>
          <w:rFonts w:ascii="Times New Roman" w:cs="Times New Roman" w:eastAsia="Times New Roman" w:hAnsi="Times New Roman"/>
          <w:sz w:val="18"/>
          <w:szCs w:val="18"/>
          <w:color w:val="auto"/>
        </w:rPr>
        <w:t>The Company has a $40.0 million revolving credit facility (the “Revolving Credit Facility”) and a five-year $80.0 million term loan (the “Term Loan Facility” and together with the Revolving Credit Facility, the “Credit Facilities”). Interest on the borrowings under the Credit Facilities is payable in arrears on the applicable interest payment date, at an annual interest rate of reserve-adjusted, 90-day term Secured Overnight Financing Rate (subject to a 0.50% floor) plus a margin between 2.50% and 3.25% margin, determined by the Consolidated Senior Net Leverage Ratio (as defined in the Credit Agreement). On September 12, 2024, the Company entered into the Fourth Amendment to (i) change the requirements of certain financial maintenance covenants under the Credit Agreement for the fiscal quarter ending September 30, 2024, (ii) add a minimum liquidity covenant to the Credit Agreement and (iii) reduce the available revolving commitments available under the Credit Agreement to no more than $20.0 million through end of the agreement.</w:t>
      </w:r>
    </w:p>
    <w:p>
      <w:pPr>
        <w:spacing w:after="0" w:line="189"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8"/>
          <w:szCs w:val="18"/>
          <w:color w:val="auto"/>
        </w:rPr>
        <w:t>The Credit Agreement requires the Company to pay the lenders an unused commitment fee equal to the average unused portion of the Revolving Credit Facility. The Company pays a rate of 0.25% to 0.40% per annum of the average unused portion of the Revolving Credit Facility, determined by the Consolidated Senior Net Leverage Ratio (as defined in the Credit Agreement). If all or a portion of the loans under the Term Loan Facility are prepaid, then the Company will be required to pay a fee equal to 1% of the aggregate amount of the loans so prepaid, subject to certain exceptions.</w:t>
      </w:r>
    </w:p>
    <w:p>
      <w:pPr>
        <w:spacing w:after="0" w:line="180" w:lineRule="exact"/>
        <w:rPr>
          <w:sz w:val="20"/>
          <w:szCs w:val="20"/>
          <w:color w:val="auto"/>
        </w:rPr>
      </w:pPr>
    </w:p>
    <w:p>
      <w:pPr>
        <w:ind w:right="60" w:firstLine="255"/>
        <w:spacing w:after="0" w:line="261" w:lineRule="auto"/>
        <w:rPr>
          <w:sz w:val="20"/>
          <w:szCs w:val="20"/>
          <w:color w:val="auto"/>
        </w:rPr>
      </w:pPr>
      <w:r>
        <w:rPr>
          <w:rFonts w:ascii="Times New Roman" w:cs="Times New Roman" w:eastAsia="Times New Roman" w:hAnsi="Times New Roman"/>
          <w:sz w:val="18"/>
          <w:szCs w:val="18"/>
          <w:color w:val="auto"/>
        </w:rPr>
        <w:t>The Credit Agreement contains restrictions and covenants applicable to the Company and its subsidiaries. Among other requirements, the Company may not permit the Fixed Charge Coverage Ratio (as defined in the Credit Agreement) to be less than a certain specified ratio for each fiscal quarter during the term of the Credit Agreement or the consolidated senior net leverage ratio to be greater than a certain specified ratio for each fiscal quarter during the term of the Credit Agreement.</w:t>
      </w:r>
    </w:p>
    <w:p>
      <w:pPr>
        <w:spacing w:after="0" w:line="180" w:lineRule="exact"/>
        <w:rPr>
          <w:sz w:val="20"/>
          <w:szCs w:val="20"/>
          <w:color w:val="auto"/>
        </w:rPr>
      </w:pPr>
    </w:p>
    <w:p>
      <w:pPr>
        <w:ind w:right="220" w:firstLine="255"/>
        <w:spacing w:after="0" w:line="282" w:lineRule="auto"/>
        <w:rPr>
          <w:sz w:val="20"/>
          <w:szCs w:val="20"/>
          <w:color w:val="auto"/>
        </w:rPr>
      </w:pPr>
      <w:r>
        <w:rPr>
          <w:rFonts w:ascii="Times New Roman" w:cs="Times New Roman" w:eastAsia="Times New Roman" w:hAnsi="Times New Roman"/>
          <w:sz w:val="18"/>
          <w:szCs w:val="18"/>
          <w:color w:val="auto"/>
        </w:rPr>
        <w:t>A summary of interest expense on the 3.75% Convertible Notes due 2026, the Revolving Credit Facility, and the Term Loan Facility is as follows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20" w:type="dxa"/>
            <w:vAlign w:val="bottom"/>
            <w:gridSpan w:val="4"/>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8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50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50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7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r>
      <w:tr>
        <w:trPr>
          <w:trHeight w:val="210"/>
        </w:trPr>
        <w:tc>
          <w:tcPr>
            <w:tcW w:w="5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 related to contractual interest coupon</w:t>
            </w: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2,495</w:t>
            </w:r>
          </w:p>
        </w:tc>
        <w:tc>
          <w:tcPr>
            <w:tcW w:w="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2,653</w:t>
            </w:r>
          </w:p>
        </w:tc>
        <w:tc>
          <w:tcPr>
            <w:tcW w:w="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5,120</w:t>
            </w:r>
          </w:p>
        </w:tc>
        <w:tc>
          <w:tcPr>
            <w:tcW w:w="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5,322</w:t>
            </w:r>
          </w:p>
        </w:tc>
        <w:tc>
          <w:tcPr>
            <w:tcW w:w="120" w:type="dxa"/>
            <w:vAlign w:val="bottom"/>
            <w:shd w:val="clear" w:color="auto" w:fill="CFF0FC"/>
          </w:tcPr>
          <w:p>
            <w:pPr>
              <w:spacing w:after="0"/>
              <w:rPr>
                <w:sz w:val="18"/>
                <w:szCs w:val="18"/>
                <w:color w:val="auto"/>
              </w:rPr>
            </w:pPr>
          </w:p>
        </w:tc>
      </w:tr>
      <w:tr>
        <w:trPr>
          <w:trHeight w:val="216"/>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related to amortization of debt issuance costs</w:t>
            </w:r>
          </w:p>
        </w:tc>
        <w:tc>
          <w:tcPr>
            <w:tcW w:w="1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20" w:type="dxa"/>
            <w:vAlign w:val="bottom"/>
          </w:tcPr>
          <w:p>
            <w:pPr>
              <w:spacing w:after="0"/>
              <w:rPr>
                <w:sz w:val="18"/>
                <w:szCs w:val="18"/>
                <w:color w:val="auto"/>
              </w:rPr>
            </w:pPr>
          </w:p>
        </w:tc>
      </w:tr>
      <w:tr>
        <w:trPr>
          <w:trHeight w:val="249"/>
        </w:trPr>
        <w:tc>
          <w:tcPr>
            <w:tcW w:w="5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2,770</w:t>
            </w:r>
          </w:p>
        </w:tc>
        <w:tc>
          <w:tcPr>
            <w:tcW w:w="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2,890</w:t>
            </w:r>
          </w:p>
        </w:tc>
        <w:tc>
          <w:tcPr>
            <w:tcW w:w="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5,649</w:t>
            </w:r>
          </w:p>
        </w:tc>
        <w:tc>
          <w:tcPr>
            <w:tcW w:w="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5,797</w:t>
            </w:r>
          </w:p>
        </w:tc>
        <w:tc>
          <w:tcPr>
            <w:tcW w:w="120" w:type="dxa"/>
            <w:vAlign w:val="bottom"/>
            <w:shd w:val="clear" w:color="auto" w:fill="CFF0FC"/>
          </w:tcPr>
          <w:p>
            <w:pPr>
              <w:spacing w:after="0"/>
              <w:rPr>
                <w:sz w:val="21"/>
                <w:szCs w:val="21"/>
                <w:color w:val="auto"/>
              </w:rPr>
            </w:pPr>
          </w:p>
        </w:tc>
      </w:tr>
      <w:tr>
        <w:trPr>
          <w:trHeight w:val="844"/>
        </w:trPr>
        <w:tc>
          <w:tcPr>
            <w:tcW w:w="5000" w:type="dxa"/>
            <w:vAlign w:val="bottom"/>
            <w:tcBorders>
              <w:top w:val="single" w:sz="8" w:color="CFF0FC"/>
            </w:tcBorders>
          </w:tcPr>
          <w:p>
            <w:pPr>
              <w:spacing w:after="0"/>
              <w:rPr>
                <w:sz w:val="24"/>
                <w:szCs w:val="24"/>
                <w:color w:val="auto"/>
              </w:rPr>
            </w:pPr>
          </w:p>
        </w:tc>
        <w:tc>
          <w:tcPr>
            <w:tcW w:w="1320" w:type="dxa"/>
            <w:vAlign w:val="bottom"/>
            <w:tcBorders>
              <w:top w:val="single" w:sz="8" w:color="CFF0FC"/>
            </w:tcBorders>
          </w:tcPr>
          <w:p>
            <w:pPr>
              <w:jc w:val="right"/>
              <w:ind w:right="510"/>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r>
      <w:tr>
        <w:trPr>
          <w:trHeight w:val="763"/>
        </w:trPr>
        <w:tc>
          <w:tcPr>
            <w:tcW w:w="50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-1071245</wp:posOffset>
            </wp:positionV>
            <wp:extent cx="685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-1053465</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-1071245</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-1053465</wp:posOffset>
            </wp:positionV>
            <wp:extent cx="685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-1071245</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-1053465</wp:posOffset>
            </wp:positionV>
            <wp:extent cx="685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-1071245</wp:posOffset>
            </wp:positionV>
            <wp:extent cx="7747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-1053465</wp:posOffset>
            </wp:positionV>
            <wp:extent cx="7747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Note 9. Stock Incentive Plan and Employee Stock Purchase Plan</w:t>
      </w:r>
    </w:p>
    <w:p>
      <w:pPr>
        <w:spacing w:after="0" w:line="189" w:lineRule="exact"/>
        <w:rPr>
          <w:sz w:val="20"/>
          <w:szCs w:val="20"/>
          <w:color w:val="auto"/>
        </w:rPr>
      </w:pPr>
    </w:p>
    <w:p>
      <w:pPr>
        <w:ind w:right="80" w:firstLine="255"/>
        <w:spacing w:after="0" w:line="282" w:lineRule="auto"/>
        <w:rPr>
          <w:sz w:val="20"/>
          <w:szCs w:val="20"/>
          <w:color w:val="auto"/>
        </w:rPr>
      </w:pPr>
      <w:r>
        <w:rPr>
          <w:rFonts w:ascii="Times New Roman" w:cs="Times New Roman" w:eastAsia="Times New Roman" w:hAnsi="Times New Roman"/>
          <w:sz w:val="18"/>
          <w:szCs w:val="18"/>
          <w:color w:val="auto"/>
        </w:rPr>
        <w:t>The following table presents details of share-based compensation expenses, by functional line item, noted within the Company's operating expenses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20" w:type="dxa"/>
            <w:vAlign w:val="bottom"/>
            <w:gridSpan w:val="4"/>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8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63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63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7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r>
      <w:tr>
        <w:trPr>
          <w:trHeight w:val="209"/>
        </w:trPr>
        <w:tc>
          <w:tcPr>
            <w:tcW w:w="6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 - products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20" w:type="dxa"/>
            <w:vAlign w:val="bottom"/>
            <w:shd w:val="clear" w:color="auto" w:fill="CFF0FC"/>
          </w:tcPr>
          <w:p>
            <w:pPr>
              <w:spacing w:after="0"/>
              <w:rPr>
                <w:sz w:val="18"/>
                <w:szCs w:val="18"/>
                <w:color w:val="auto"/>
              </w:rPr>
            </w:pPr>
          </w:p>
        </w:tc>
      </w:tr>
      <w:tr>
        <w:trPr>
          <w:trHeight w:val="216"/>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 - services</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Pr>
          <w:p>
            <w:pPr>
              <w:spacing w:after="0"/>
              <w:rPr>
                <w:sz w:val="18"/>
                <w:szCs w:val="18"/>
                <w:color w:val="auto"/>
              </w:rPr>
            </w:pPr>
          </w:p>
        </w:tc>
      </w:tr>
      <w:tr>
        <w:trPr>
          <w:trHeight w:val="216"/>
        </w:trPr>
        <w:tc>
          <w:tcPr>
            <w:tcW w:w="6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20" w:type="dxa"/>
            <w:vAlign w:val="bottom"/>
            <w:shd w:val="clear" w:color="auto" w:fill="CFF0FC"/>
          </w:tcPr>
          <w:p>
            <w:pPr>
              <w:spacing w:after="0"/>
              <w:rPr>
                <w:sz w:val="18"/>
                <w:szCs w:val="18"/>
                <w:color w:val="auto"/>
              </w:rPr>
            </w:pPr>
          </w:p>
        </w:tc>
      </w:tr>
      <w:tr>
        <w:trPr>
          <w:trHeight w:val="216"/>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20" w:type="dxa"/>
            <w:vAlign w:val="bottom"/>
          </w:tcPr>
          <w:p>
            <w:pPr>
              <w:spacing w:after="0"/>
              <w:rPr>
                <w:sz w:val="18"/>
                <w:szCs w:val="18"/>
                <w:color w:val="auto"/>
              </w:rPr>
            </w:pPr>
          </w:p>
        </w:tc>
      </w:tr>
      <w:tr>
        <w:trPr>
          <w:trHeight w:val="216"/>
        </w:trPr>
        <w:tc>
          <w:tcPr>
            <w:tcW w:w="6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2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2,246</w:t>
            </w:r>
          </w:p>
        </w:tc>
        <w:tc>
          <w:tcPr>
            <w:tcW w:w="2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2,554</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6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share-based compensation</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2,314</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4,637</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4,706</w:t>
            </w:r>
          </w:p>
        </w:tc>
        <w:tc>
          <w:tcPr>
            <w:tcW w:w="120" w:type="dxa"/>
            <w:vAlign w:val="bottom"/>
          </w:tcPr>
          <w:p>
            <w:pPr>
              <w:spacing w:after="0"/>
              <w:rPr>
                <w:sz w:val="18"/>
                <w:szCs w:val="18"/>
                <w:color w:val="auto"/>
              </w:rPr>
            </w:pPr>
          </w:p>
        </w:tc>
      </w:tr>
      <w:tr>
        <w:trPr>
          <w:trHeight w:val="20"/>
        </w:trPr>
        <w:tc>
          <w:tcPr>
            <w:tcW w:w="6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-170815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-170815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-170815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51" w:lineRule="exact"/>
        <w:rPr>
          <w:sz w:val="20"/>
          <w:szCs w:val="20"/>
          <w:color w:val="auto"/>
        </w:rPr>
      </w:pPr>
    </w:p>
    <w:p>
      <w:pPr>
        <w:ind w:right="280" w:firstLine="255"/>
        <w:spacing w:after="0" w:line="266" w:lineRule="auto"/>
        <w:rPr>
          <w:sz w:val="20"/>
          <w:szCs w:val="20"/>
          <w:color w:val="auto"/>
        </w:rPr>
      </w:pPr>
      <w:r>
        <w:rPr>
          <w:rFonts w:ascii="Times New Roman" w:cs="Times New Roman" w:eastAsia="Times New Roman" w:hAnsi="Times New Roman"/>
          <w:sz w:val="18"/>
          <w:szCs w:val="18"/>
          <w:color w:val="auto"/>
        </w:rPr>
        <w:t>In November 2024, the Company’s stockholders approved to increase the number of shares of common stock available for issuance by 5.0 million shares under its Amended and Restated 2016 Equity Incentive Plan, and to increase the number of shares of common stock available for issuance by 2.5 million shares under its Amended and Restated Accuray Incorporated 2007 Employee Stock Purchase Plan.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Net Income (Loss) Per Common Share</w:t>
      </w:r>
    </w:p>
    <w:p>
      <w:pPr>
        <w:spacing w:after="0" w:line="202"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8"/>
          <w:szCs w:val="18"/>
          <w:color w:val="auto"/>
        </w:rPr>
        <w:t>Basic earnings per share is computed based on the weighted average number of shares of common stock outstanding during the period. Diluted earnings per share is computed based on the weighted average number of shares of common stock plus the effect of dilutive potential common shares outstanding during the period. Dilutive potential common shares include outstanding share awards. A reconciliation of the numerator and denominator used in the calculation of basic and diluted net income (loss) per common share is as follows (in thousands, except for per share amounts):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60" w:type="dxa"/>
            <w:vAlign w:val="bottom"/>
            <w:gridSpan w:val="5"/>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2160" w:type="dxa"/>
            <w:vAlign w:val="bottom"/>
            <w:gridSpan w:val="5"/>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63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63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r>
      <w:tr>
        <w:trPr>
          <w:trHeight w:val="209"/>
        </w:trPr>
        <w:tc>
          <w:tcPr>
            <w:tcW w:w="6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2,537</w:t>
            </w:r>
          </w:p>
        </w:tc>
        <w:tc>
          <w:tcPr>
            <w:tcW w:w="5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(9,621 )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(1,417 )</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(12,590 )</w:t>
            </w:r>
          </w:p>
        </w:tc>
      </w:tr>
      <w:tr>
        <w:trPr>
          <w:trHeight w:val="20"/>
        </w:trPr>
        <w:tc>
          <w:tcPr>
            <w:tcW w:w="6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636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Denominator:</w:t>
            </w: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63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101,405</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97,776</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100,796</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97,165</w:t>
            </w:r>
          </w:p>
        </w:tc>
        <w:tc>
          <w:tcPr>
            <w:tcW w:w="120" w:type="dxa"/>
            <w:vAlign w:val="bottom"/>
          </w:tcPr>
          <w:p>
            <w:pPr>
              <w:spacing w:after="0"/>
              <w:rPr>
                <w:sz w:val="18"/>
                <w:szCs w:val="18"/>
                <w:color w:val="auto"/>
              </w:rPr>
            </w:pPr>
          </w:p>
        </w:tc>
      </w:tr>
      <w:tr>
        <w:trPr>
          <w:trHeight w:val="20"/>
        </w:trPr>
        <w:tc>
          <w:tcPr>
            <w:tcW w:w="6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6360" w:type="dxa"/>
            <w:vAlign w:val="bottom"/>
            <w:shd w:val="clear" w:color="auto" w:fill="CFF0FC"/>
          </w:tcPr>
          <w:p>
            <w:pPr>
              <w:ind w:left="300"/>
              <w:spacing w:after="0" w:line="196" w:lineRule="exact"/>
              <w:rPr>
                <w:sz w:val="20"/>
                <w:szCs w:val="20"/>
                <w:color w:val="auto"/>
              </w:rPr>
            </w:pPr>
            <w:r>
              <w:rPr>
                <w:rFonts w:ascii="Times New Roman" w:cs="Times New Roman" w:eastAsia="Times New Roman" w:hAnsi="Times New Roman"/>
                <w:sz w:val="18"/>
                <w:szCs w:val="18"/>
                <w:color w:val="auto"/>
              </w:rPr>
              <w:t>Dilutive effect of potential common shares</w:t>
            </w: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2,341</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10"/>
        </w:trPr>
        <w:tc>
          <w:tcPr>
            <w:tcW w:w="636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2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103,746</w:t>
            </w:r>
          </w:p>
        </w:tc>
        <w:tc>
          <w:tcPr>
            <w:tcW w:w="220" w:type="dxa"/>
            <w:vAlign w:val="bottom"/>
            <w:tcBorders>
              <w:top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97,776</w:t>
            </w:r>
          </w:p>
        </w:tc>
        <w:tc>
          <w:tcPr>
            <w:tcW w:w="22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100,796</w:t>
            </w:r>
          </w:p>
        </w:tc>
        <w:tc>
          <w:tcPr>
            <w:tcW w:w="220" w:type="dxa"/>
            <w:vAlign w:val="bottom"/>
            <w:tcBorders>
              <w:top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97,165</w:t>
            </w:r>
          </w:p>
        </w:tc>
        <w:tc>
          <w:tcPr>
            <w:tcW w:w="120" w:type="dxa"/>
            <w:vAlign w:val="bottom"/>
            <w:tcBorders>
              <w:top w:val="single" w:sz="8" w:color="CFF0FC"/>
            </w:tcBorders>
          </w:tcPr>
          <w:p>
            <w:pPr>
              <w:spacing w:after="0"/>
              <w:rPr>
                <w:sz w:val="18"/>
                <w:szCs w:val="18"/>
                <w:color w:val="auto"/>
              </w:rPr>
            </w:pPr>
          </w:p>
        </w:tc>
      </w:tr>
      <w:tr>
        <w:trPr>
          <w:trHeight w:val="20"/>
        </w:trPr>
        <w:tc>
          <w:tcPr>
            <w:tcW w:w="6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6"/>
        </w:trPr>
        <w:tc>
          <w:tcPr>
            <w:tcW w:w="6360" w:type="dxa"/>
            <w:vAlign w:val="bottom"/>
            <w:shd w:val="clear" w:color="auto" w:fill="CFF0FC"/>
          </w:tcPr>
          <w:p>
            <w:pPr>
              <w:ind w:left="300"/>
              <w:spacing w:after="0" w:line="196" w:lineRule="exact"/>
              <w:rPr>
                <w:sz w:val="20"/>
                <w:szCs w:val="20"/>
                <w:color w:val="auto"/>
              </w:rPr>
            </w:pPr>
            <w:r>
              <w:rPr>
                <w:rFonts w:ascii="Times New Roman" w:cs="Times New Roman" w:eastAsia="Times New Roman" w:hAnsi="Times New Roman"/>
                <w:sz w:val="18"/>
                <w:szCs w:val="18"/>
                <w:color w:val="auto"/>
              </w:rPr>
              <w:t>Basic net income (loss) per share</w:t>
            </w:r>
          </w:p>
        </w:tc>
        <w:tc>
          <w:tcPr>
            <w:tcW w:w="240" w:type="dxa"/>
            <w:vAlign w:val="bottom"/>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0.03</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FF0FC"/>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(0.10 )</w:t>
            </w:r>
          </w:p>
        </w:tc>
        <w:tc>
          <w:tcPr>
            <w:tcW w:w="220" w:type="dxa"/>
            <w:vAlign w:val="bottom"/>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(0.01 )</w:t>
            </w:r>
          </w:p>
        </w:tc>
        <w:tc>
          <w:tcPr>
            <w:tcW w:w="340" w:type="dxa"/>
            <w:vAlign w:val="bottom"/>
            <w:shd w:val="clear" w:color="auto" w:fill="CFF0FC"/>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(0.13 )</w:t>
            </w:r>
          </w:p>
        </w:tc>
      </w:tr>
      <w:tr>
        <w:trPr>
          <w:trHeight w:val="20"/>
        </w:trPr>
        <w:tc>
          <w:tcPr>
            <w:tcW w:w="63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r>
        <w:trPr>
          <w:trHeight w:val="197"/>
        </w:trPr>
        <w:tc>
          <w:tcPr>
            <w:tcW w:w="6360" w:type="dxa"/>
            <w:vAlign w:val="bottom"/>
          </w:tcPr>
          <w:p>
            <w:pPr>
              <w:ind w:left="300"/>
              <w:spacing w:after="0" w:line="196" w:lineRule="exact"/>
              <w:rPr>
                <w:sz w:val="20"/>
                <w:szCs w:val="20"/>
                <w:color w:val="auto"/>
              </w:rPr>
            </w:pPr>
            <w:r>
              <w:rPr>
                <w:rFonts w:ascii="Times New Roman" w:cs="Times New Roman" w:eastAsia="Times New Roman" w:hAnsi="Times New Roman"/>
                <w:sz w:val="18"/>
                <w:szCs w:val="18"/>
                <w:color w:val="auto"/>
              </w:rPr>
              <w:t>Diluted net income (loss) per share</w:t>
            </w:r>
          </w:p>
        </w:tc>
        <w:tc>
          <w:tcPr>
            <w:tcW w:w="24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0.02</w:t>
            </w:r>
          </w:p>
        </w:tc>
        <w:tc>
          <w:tcPr>
            <w:tcW w:w="220" w:type="dxa"/>
            <w:vAlign w:val="bottom"/>
          </w:tcPr>
          <w:p>
            <w:pPr>
              <w:spacing w:after="0"/>
              <w:rPr>
                <w:sz w:val="17"/>
                <w:szCs w:val="17"/>
                <w:color w:val="auto"/>
              </w:rPr>
            </w:pPr>
          </w:p>
        </w:tc>
        <w:tc>
          <w:tcPr>
            <w:tcW w:w="320" w:type="dxa"/>
            <w:vAlign w:val="bottom"/>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(0.10 )</w:t>
            </w:r>
          </w:p>
        </w:tc>
        <w:tc>
          <w:tcPr>
            <w:tcW w:w="22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(0.01 )</w:t>
            </w:r>
          </w:p>
        </w:tc>
        <w:tc>
          <w:tcPr>
            <w:tcW w:w="340" w:type="dxa"/>
            <w:vAlign w:val="bottom"/>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(0.13 )</w:t>
            </w:r>
          </w:p>
        </w:tc>
      </w:tr>
      <w:tr>
        <w:trPr>
          <w:trHeight w:val="20"/>
        </w:trPr>
        <w:tc>
          <w:tcPr>
            <w:tcW w:w="6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636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Anti-dilutive share-based awards, excluded</w:t>
            </w: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4,225</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14,601</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12,923</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14,601</w:t>
            </w:r>
          </w:p>
        </w:tc>
        <w:tc>
          <w:tcPr>
            <w:tcW w:w="12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-633730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-633730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-633730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-633730</wp:posOffset>
            </wp:positionV>
            <wp:extent cx="7747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-325120</wp:posOffset>
            </wp:positionV>
            <wp:extent cx="685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-307975</wp:posOffset>
            </wp:positionV>
            <wp:extent cx="685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-325120</wp:posOffset>
            </wp:positionV>
            <wp:extent cx="685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-307975</wp:posOffset>
            </wp:positionV>
            <wp:extent cx="685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-325120</wp:posOffset>
            </wp:positionV>
            <wp:extent cx="685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-307975</wp:posOffset>
            </wp:positionV>
            <wp:extent cx="685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-325120</wp:posOffset>
            </wp:positionV>
            <wp:extent cx="7747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-307975</wp:posOffset>
            </wp:positionV>
            <wp:extent cx="7747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37" w:lineRule="exact"/>
        <w:rPr>
          <w:sz w:val="20"/>
          <w:szCs w:val="20"/>
          <w:color w:val="auto"/>
        </w:rPr>
      </w:pPr>
    </w:p>
    <w:p>
      <w:pPr>
        <w:ind w:right="60" w:firstLine="255"/>
        <w:spacing w:after="0" w:line="219" w:lineRule="exact"/>
        <w:rPr>
          <w:sz w:val="20"/>
          <w:szCs w:val="20"/>
          <w:color w:val="auto"/>
        </w:rPr>
      </w:pPr>
      <w:r>
        <w:rPr>
          <w:rFonts w:ascii="Times New Roman" w:cs="Times New Roman" w:eastAsia="Times New Roman" w:hAnsi="Times New Roman"/>
          <w:sz w:val="18"/>
          <w:szCs w:val="18"/>
          <w:color w:val="auto"/>
        </w:rPr>
        <w:t>The potentially dilutive shares of the Company’s common stock are excluded from the computation of diluted net income (loss) per share when their effect would have been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dilutive. Additionally, the outstanding 3.75% Convertible Notes due 2026 are included in the calculation of diluted net income (loss) per share only if their inclusion is dilutive for periods during which the 3.75% Convertible Notes due 2026 were outstanding. The shares of common stock issuable upon conversion of the outstanding principal amount of the 3.75% Convertible Notes due 2026 as of three and six months ended December 31, 2024 and 2023 totaled approximately 17.1 million shares and were not included in the basic and diluted net income (loss) per common share as the effect of adding the shares were anti-dilutive.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Segment Information</w:t>
      </w:r>
    </w:p>
    <w:p>
      <w:pPr>
        <w:spacing w:after="0" w:line="229" w:lineRule="exact"/>
        <w:rPr>
          <w:sz w:val="20"/>
          <w:szCs w:val="20"/>
          <w:color w:val="auto"/>
        </w:rPr>
      </w:pPr>
    </w:p>
    <w:p>
      <w:pPr>
        <w:ind w:right="300" w:firstLine="255"/>
        <w:spacing w:after="0" w:line="258" w:lineRule="auto"/>
        <w:rPr>
          <w:sz w:val="20"/>
          <w:szCs w:val="20"/>
          <w:color w:val="auto"/>
        </w:rPr>
      </w:pPr>
      <w:r>
        <w:rPr>
          <w:rFonts w:ascii="Times New Roman" w:cs="Times New Roman" w:eastAsia="Times New Roman" w:hAnsi="Times New Roman"/>
          <w:sz w:val="18"/>
          <w:szCs w:val="18"/>
          <w:color w:val="auto"/>
        </w:rPr>
        <w:t>The Company has one operating and reporting segment (oncology systems group), which develops, manufactures and markets proprietary medical devices used in radiation therapy for the treatment of cancer patients. The Company’s Chief Executive Officer, its Chief Operating Decision Maker, reviews financial information presented on a consolidated basis for purposes of making operating decisions and assessing financial performance. The Company does not assess the performance of its individual product lines on measures of profit or loss, or asset-based metrics, therefore, the information below is presented only for total net revenues and long-lived assets by geographic area.</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8" w:name="page19"/>
    <w:bookmarkEnd w:id="18"/>
    <w:p>
      <w:pPr>
        <w:ind w:right="80" w:firstLine="255"/>
        <w:spacing w:after="0" w:line="266" w:lineRule="auto"/>
        <w:rPr>
          <w:sz w:val="20"/>
          <w:szCs w:val="20"/>
          <w:color w:val="auto"/>
        </w:rPr>
      </w:pPr>
      <w:r>
        <w:rPr>
          <w:rFonts w:ascii="Times New Roman" w:cs="Times New Roman" w:eastAsia="Times New Roman" w:hAnsi="Times New Roman"/>
          <w:sz w:val="18"/>
          <w:szCs w:val="18"/>
          <w:color w:val="auto"/>
        </w:rPr>
        <w:t>The Company reports its customer revenues in five geographic regions: the Americas, EIMEA, Japan, China and Asia Pacific. The Americas region primarily includes the United States, Canada, and Latin America. The EIMEA region includes Europe, India, the Middle East and Africa. The Asia Pacific region consists of Asia (excluding Japan and China), Australia and New Zealand.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Revenues</w:t>
      </w:r>
    </w:p>
    <w:p>
      <w:pPr>
        <w:spacing w:after="0" w:line="229" w:lineRule="exact"/>
        <w:rPr>
          <w:sz w:val="20"/>
          <w:szCs w:val="20"/>
          <w:color w:val="auto"/>
        </w:rPr>
      </w:pPr>
    </w:p>
    <w:p>
      <w:pPr>
        <w:ind w:right="220" w:firstLine="255"/>
        <w:spacing w:after="0" w:line="261" w:lineRule="auto"/>
        <w:rPr>
          <w:sz w:val="20"/>
          <w:szCs w:val="20"/>
          <w:color w:val="auto"/>
        </w:rPr>
      </w:pPr>
      <w:r>
        <w:rPr>
          <w:rFonts w:ascii="Times New Roman" w:cs="Times New Roman" w:eastAsia="Times New Roman" w:hAnsi="Times New Roman"/>
          <w:sz w:val="18"/>
          <w:szCs w:val="18"/>
          <w:color w:val="auto"/>
        </w:rPr>
        <w:t>The Company disaggregates its revenues from contracts by geographic region, as the Company believes this best depicts how the nature, amount, timing and uncertainty of revenues and cash flows are affected by economic factors. Revenues attributed to a country or region are based on the shipping address of the Company’s customers. Additionally, the Company typically recognizes revenue at a point in time for product revenue and recognizes revenue over time for service revenue.</w:t>
      </w:r>
    </w:p>
    <w:p>
      <w:pPr>
        <w:spacing w:after="0" w:line="1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summarizes net revenue by geographic region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20" w:type="dxa"/>
            <w:vAlign w:val="bottom"/>
            <w:gridSpan w:val="4"/>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8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6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61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7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r>
      <w:tr>
        <w:trPr>
          <w:trHeight w:val="209"/>
        </w:trPr>
        <w:tc>
          <w:tcPr>
            <w:tcW w:w="63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17,135</w:t>
            </w:r>
          </w:p>
        </w:tc>
        <w:tc>
          <w:tcPr>
            <w:tcW w:w="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23,742</w:t>
            </w:r>
          </w:p>
        </w:tc>
        <w:tc>
          <w:tcPr>
            <w:tcW w:w="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38,005</w:t>
            </w:r>
          </w:p>
        </w:tc>
        <w:tc>
          <w:tcPr>
            <w:tcW w:w="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44,299</w:t>
            </w:r>
          </w:p>
        </w:tc>
        <w:tc>
          <w:tcPr>
            <w:tcW w:w="120" w:type="dxa"/>
            <w:vAlign w:val="bottom"/>
            <w:shd w:val="clear" w:color="auto" w:fill="CFF0FC"/>
          </w:tcPr>
          <w:p>
            <w:pPr>
              <w:spacing w:after="0"/>
              <w:rPr>
                <w:sz w:val="18"/>
                <w:szCs w:val="18"/>
                <w:color w:val="auto"/>
              </w:rPr>
            </w:pPr>
          </w:p>
        </w:tc>
      </w:tr>
      <w:tr>
        <w:trPr>
          <w:trHeight w:val="216"/>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EIMEA</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38,924</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43,800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64,818</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83,333</w:t>
            </w:r>
          </w:p>
        </w:tc>
        <w:tc>
          <w:tcPr>
            <w:tcW w:w="120" w:type="dxa"/>
            <w:vAlign w:val="bottom"/>
          </w:tcPr>
          <w:p>
            <w:pPr>
              <w:spacing w:after="0"/>
              <w:rPr>
                <w:sz w:val="18"/>
                <w:szCs w:val="18"/>
                <w:color w:val="auto"/>
              </w:rPr>
            </w:pPr>
          </w:p>
        </w:tc>
      </w:tr>
      <w:tr>
        <w:trPr>
          <w:trHeight w:val="216"/>
        </w:trPr>
        <w:tc>
          <w:tcPr>
            <w:tcW w:w="63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35,974</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23,375</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69,950</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49,590</w:t>
            </w:r>
          </w:p>
        </w:tc>
        <w:tc>
          <w:tcPr>
            <w:tcW w:w="120" w:type="dxa"/>
            <w:vAlign w:val="bottom"/>
            <w:shd w:val="clear" w:color="auto" w:fill="CFF0FC"/>
          </w:tcPr>
          <w:p>
            <w:pPr>
              <w:spacing w:after="0"/>
              <w:rPr>
                <w:sz w:val="18"/>
                <w:szCs w:val="18"/>
                <w:color w:val="auto"/>
              </w:rPr>
            </w:pPr>
          </w:p>
        </w:tc>
      </w:tr>
      <w:tr>
        <w:trPr>
          <w:trHeight w:val="216"/>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14,983</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24,848</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23,240</w:t>
            </w:r>
          </w:p>
        </w:tc>
        <w:tc>
          <w:tcPr>
            <w:tcW w:w="120" w:type="dxa"/>
            <w:vAlign w:val="bottom"/>
          </w:tcPr>
          <w:p>
            <w:pPr>
              <w:spacing w:after="0"/>
              <w:rPr>
                <w:sz w:val="18"/>
                <w:szCs w:val="18"/>
                <w:color w:val="auto"/>
              </w:rPr>
            </w:pPr>
          </w:p>
        </w:tc>
      </w:tr>
      <w:tr>
        <w:trPr>
          <w:trHeight w:val="216"/>
        </w:trPr>
        <w:tc>
          <w:tcPr>
            <w:tcW w:w="63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2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9,158</w:t>
            </w:r>
          </w:p>
        </w:tc>
        <w:tc>
          <w:tcPr>
            <w:tcW w:w="2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5,673</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20,098</w:t>
            </w:r>
          </w:p>
        </w:tc>
        <w:tc>
          <w:tcPr>
            <w:tcW w:w="2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10,668</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6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116,174</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107,238</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217,719</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211,130</w:t>
            </w:r>
          </w:p>
        </w:tc>
        <w:tc>
          <w:tcPr>
            <w:tcW w:w="120" w:type="dxa"/>
            <w:vAlign w:val="bottom"/>
          </w:tcPr>
          <w:p>
            <w:pPr>
              <w:spacing w:after="0"/>
              <w:rPr>
                <w:sz w:val="18"/>
                <w:szCs w:val="18"/>
                <w:color w:val="auto"/>
              </w:rPr>
            </w:pPr>
          </w:p>
        </w:tc>
      </w:tr>
      <w:tr>
        <w:trPr>
          <w:trHeight w:val="20"/>
        </w:trPr>
        <w:tc>
          <w:tcPr>
            <w:tcW w:w="6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-170815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-170815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-170815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Long-Lived Assets</w:t>
      </w:r>
    </w:p>
    <w:p>
      <w:pPr>
        <w:spacing w:after="0" w:line="229" w:lineRule="exact"/>
        <w:rPr>
          <w:sz w:val="20"/>
          <w:szCs w:val="20"/>
          <w:color w:val="auto"/>
        </w:rPr>
      </w:pPr>
    </w:p>
    <w:p>
      <w:pPr>
        <w:jc w:val="both"/>
        <w:ind w:right="700" w:firstLine="255"/>
        <w:spacing w:after="0" w:line="282" w:lineRule="auto"/>
        <w:rPr>
          <w:sz w:val="20"/>
          <w:szCs w:val="20"/>
          <w:color w:val="auto"/>
        </w:rPr>
      </w:pPr>
      <w:r>
        <w:rPr>
          <w:rFonts w:ascii="Times New Roman" w:cs="Times New Roman" w:eastAsia="Times New Roman" w:hAnsi="Times New Roman"/>
          <w:sz w:val="18"/>
          <w:szCs w:val="18"/>
          <w:color w:val="auto"/>
        </w:rPr>
        <w:t>Information regarding geographic areas in which the Company has long-lived assets, which consists of property, plant and equipment, net, and operating lease right-of-use assets are as follows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73"/>
        </w:trPr>
        <w:tc>
          <w:tcPr>
            <w:tcW w:w="75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10"/>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47,050</w:t>
            </w:r>
          </w:p>
        </w:tc>
        <w:tc>
          <w:tcPr>
            <w:tcW w:w="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46,570</w:t>
            </w:r>
          </w:p>
        </w:tc>
        <w:tc>
          <w:tcPr>
            <w:tcW w:w="100" w:type="dxa"/>
            <w:vAlign w:val="bottom"/>
            <w:shd w:val="clear" w:color="auto" w:fill="CFF0FC"/>
          </w:tcPr>
          <w:p>
            <w:pPr>
              <w:spacing w:after="0"/>
              <w:rPr>
                <w:sz w:val="18"/>
                <w:szCs w:val="18"/>
                <w:color w:val="auto"/>
              </w:rPr>
            </w:pPr>
          </w:p>
        </w:tc>
      </w:tr>
      <w:tr>
        <w:trPr>
          <w:trHeight w:val="216"/>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EIMEA</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8,340</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9,327</w:t>
            </w:r>
          </w:p>
        </w:tc>
        <w:tc>
          <w:tcPr>
            <w:tcW w:w="100" w:type="dxa"/>
            <w:vAlign w:val="bottom"/>
          </w:tcPr>
          <w:p>
            <w:pPr>
              <w:spacing w:after="0"/>
              <w:rPr>
                <w:sz w:val="18"/>
                <w:szCs w:val="18"/>
                <w:color w:val="auto"/>
              </w:rPr>
            </w:pPr>
          </w:p>
        </w:tc>
      </w:tr>
      <w:tr>
        <w:trPr>
          <w:trHeight w:val="216"/>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100" w:type="dxa"/>
            <w:vAlign w:val="bottom"/>
            <w:shd w:val="clear" w:color="auto" w:fill="CFF0FC"/>
          </w:tcPr>
          <w:p>
            <w:pPr>
              <w:spacing w:after="0"/>
              <w:rPr>
                <w:sz w:val="18"/>
                <w:szCs w:val="18"/>
                <w:color w:val="auto"/>
              </w:rPr>
            </w:pPr>
          </w:p>
        </w:tc>
      </w:tr>
      <w:tr>
        <w:trPr>
          <w:trHeight w:val="216"/>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100" w:type="dxa"/>
            <w:vAlign w:val="bottom"/>
          </w:tcPr>
          <w:p>
            <w:pPr>
              <w:spacing w:after="0"/>
              <w:rPr>
                <w:sz w:val="18"/>
                <w:szCs w:val="18"/>
                <w:color w:val="auto"/>
              </w:rPr>
            </w:pPr>
          </w:p>
        </w:tc>
      </w:tr>
      <w:tr>
        <w:trPr>
          <w:trHeight w:val="216"/>
        </w:trPr>
        <w:tc>
          <w:tcPr>
            <w:tcW w:w="7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1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3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58,597</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58,547</w:t>
            </w:r>
          </w:p>
        </w:tc>
        <w:tc>
          <w:tcPr>
            <w:tcW w:w="100" w:type="dxa"/>
            <w:vAlign w:val="bottom"/>
          </w:tcPr>
          <w:p>
            <w:pPr>
              <w:spacing w:after="0"/>
              <w:rPr>
                <w:sz w:val="18"/>
                <w:szCs w:val="18"/>
                <w:color w:val="auto"/>
              </w:rPr>
            </w:pPr>
          </w:p>
        </w:tc>
      </w:tr>
      <w:tr>
        <w:trPr>
          <w:trHeight w:val="20"/>
        </w:trPr>
        <w:tc>
          <w:tcPr>
            <w:tcW w:w="7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-170815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long-lived assets in the Americas region are located in the United States as of December 31, 2024 and June 30, 2024.</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Joint Venture</w:t>
      </w:r>
    </w:p>
    <w:p>
      <w:pPr>
        <w:spacing w:after="0" w:line="229" w:lineRule="exact"/>
        <w:rPr>
          <w:sz w:val="20"/>
          <w:szCs w:val="20"/>
          <w:color w:val="auto"/>
        </w:rPr>
      </w:pPr>
    </w:p>
    <w:p>
      <w:pPr>
        <w:ind w:right="80" w:firstLine="255"/>
        <w:spacing w:after="0" w:line="258" w:lineRule="auto"/>
        <w:rPr>
          <w:sz w:val="20"/>
          <w:szCs w:val="20"/>
          <w:color w:val="auto"/>
        </w:rPr>
      </w:pPr>
      <w:r>
        <w:rPr>
          <w:rFonts w:ascii="Times New Roman" w:cs="Times New Roman" w:eastAsia="Times New Roman" w:hAnsi="Times New Roman"/>
          <w:sz w:val="18"/>
          <w:szCs w:val="18"/>
          <w:color w:val="auto"/>
        </w:rPr>
        <w:t>In January 2019, the Company’s wholly-owned subsidiary, Accuray Asia Limited (“Accuray Asia”), entered into an agreement with CNNC High Energy Equipment (Tianjin) Co., Ltd. (the “CIRC Subsidiary”), a wholly-owned subsidiary of China Isotope &amp; Radiation Corporation, to form a joint venture, CNNC Accuray (Tianjin) Medical Technology Co. Ltd. (the “JV”), to manufacture and sell radiation oncology systems in China. As of December 31, 2024, the Company owned a 49% interest in the JV, which is reported as an investment in joint venture on the Company’s unaudited condensed consolidated balance sheets.</w:t>
      </w:r>
    </w:p>
    <w:p>
      <w:pPr>
        <w:spacing w:after="0" w:line="210" w:lineRule="exact"/>
        <w:rPr>
          <w:sz w:val="20"/>
          <w:szCs w:val="20"/>
          <w:color w:val="auto"/>
        </w:rPr>
      </w:pPr>
    </w:p>
    <w:p>
      <w:pPr>
        <w:ind w:right="80" w:firstLine="255"/>
        <w:spacing w:after="0" w:line="256" w:lineRule="auto"/>
        <w:rPr>
          <w:sz w:val="20"/>
          <w:szCs w:val="20"/>
          <w:color w:val="auto"/>
        </w:rPr>
      </w:pPr>
      <w:r>
        <w:rPr>
          <w:rFonts w:ascii="Times New Roman" w:cs="Times New Roman" w:eastAsia="Times New Roman" w:hAnsi="Times New Roman"/>
          <w:sz w:val="18"/>
          <w:szCs w:val="18"/>
          <w:color w:val="auto"/>
        </w:rPr>
        <w:t>The Company applies the equity method of accounting to its ownership interest in the JV as the Company has the ability to exercise significant influence over the JV but lacks controlling financial interest and is not the primary beneficiary. The Company recognizes the 49% proportionate share of the JV income (loss) on a one-quarter lag due to the timing of the availability of the JV’s financial records. The Company recognizes revenue on sales to the JV in the current period and defers a portion of gross profit to the extent goods sold have not been sold through by the JV to an end customer at the end of such reporting period. With the receipt of the necessary permits and licenses to operate, the JV has begun to manufacture and sell a locally branded “Made in China” radiotherapy device, the Tomo C radiation therapy system, in the Class B license category.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9" w:name="page20"/>
    <w:bookmarkEnd w:id="19"/>
    <w:p>
      <w:pPr>
        <w:ind w:right="600" w:firstLine="255"/>
        <w:spacing w:after="0" w:line="282" w:lineRule="auto"/>
        <w:rPr>
          <w:sz w:val="20"/>
          <w:szCs w:val="20"/>
          <w:color w:val="auto"/>
        </w:rPr>
      </w:pPr>
      <w:r>
        <w:rPr>
          <w:rFonts w:ascii="Times New Roman" w:cs="Times New Roman" w:eastAsia="Times New Roman" w:hAnsi="Times New Roman"/>
          <w:sz w:val="18"/>
          <w:szCs w:val="18"/>
          <w:color w:val="auto"/>
        </w:rPr>
        <w:t>The following table shows the reconciliation between the carrying value of the Company's investment in the JV and its proportional share of the underlying equity in net assets of the JV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80" w:type="dxa"/>
            <w:vAlign w:val="bottom"/>
            <w:gridSpan w:val="2"/>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73"/>
        </w:trPr>
        <w:tc>
          <w:tcPr>
            <w:tcW w:w="6800" w:type="dxa"/>
            <w:vAlign w:val="bottom"/>
          </w:tcPr>
          <w:p>
            <w:pPr>
              <w:spacing w:after="0"/>
              <w:rPr>
                <w:sz w:val="15"/>
                <w:szCs w:val="15"/>
                <w:color w:val="auto"/>
              </w:rPr>
            </w:pPr>
          </w:p>
        </w:tc>
        <w:tc>
          <w:tcPr>
            <w:tcW w:w="14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10"/>
        </w:trPr>
        <w:tc>
          <w:tcPr>
            <w:tcW w:w="6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Carrying value of investment in joint venture</w:t>
            </w:r>
          </w:p>
        </w:tc>
        <w:tc>
          <w:tcPr>
            <w:tcW w:w="1460" w:type="dxa"/>
            <w:vAlign w:val="bottom"/>
            <w:shd w:val="clear" w:color="auto" w:fill="CFF0FC"/>
          </w:tcPr>
          <w:p>
            <w:pPr>
              <w:jc w:val="right"/>
              <w:ind w:right="127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12,837</w:t>
            </w:r>
          </w:p>
        </w:tc>
        <w:tc>
          <w:tcPr>
            <w:tcW w:w="34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9,826</w:t>
            </w:r>
          </w:p>
        </w:tc>
        <w:tc>
          <w:tcPr>
            <w:tcW w:w="100" w:type="dxa"/>
            <w:vAlign w:val="bottom"/>
            <w:shd w:val="clear" w:color="auto" w:fill="CFF0FC"/>
          </w:tcPr>
          <w:p>
            <w:pPr>
              <w:spacing w:after="0"/>
              <w:rPr>
                <w:sz w:val="18"/>
                <w:szCs w:val="18"/>
                <w:color w:val="auto"/>
              </w:rPr>
            </w:pPr>
          </w:p>
        </w:tc>
      </w:tr>
      <w:tr>
        <w:trPr>
          <w:trHeight w:val="216"/>
        </w:trPr>
        <w:tc>
          <w:tcPr>
            <w:tcW w:w="680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Deferred intra-entity gross profit </w:t>
            </w:r>
            <w:r>
              <w:rPr>
                <w:rFonts w:ascii="Times New Roman" w:cs="Times New Roman" w:eastAsia="Times New Roman" w:hAnsi="Times New Roman"/>
                <w:sz w:val="24"/>
                <w:szCs w:val="24"/>
                <w:color w:val="auto"/>
                <w:vertAlign w:val="superscript"/>
              </w:rPr>
              <w:t>(1)</w:t>
            </w:r>
          </w:p>
        </w:tc>
        <w:tc>
          <w:tcPr>
            <w:tcW w:w="14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8,942</w:t>
            </w: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9,835</w:t>
            </w:r>
          </w:p>
        </w:tc>
        <w:tc>
          <w:tcPr>
            <w:tcW w:w="100" w:type="dxa"/>
            <w:vAlign w:val="bottom"/>
          </w:tcPr>
          <w:p>
            <w:pPr>
              <w:spacing w:after="0"/>
              <w:rPr>
                <w:sz w:val="18"/>
                <w:szCs w:val="18"/>
                <w:color w:val="auto"/>
              </w:rPr>
            </w:pPr>
          </w:p>
        </w:tc>
      </w:tr>
      <w:tr>
        <w:trPr>
          <w:trHeight w:val="216"/>
        </w:trPr>
        <w:tc>
          <w:tcPr>
            <w:tcW w:w="6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Equity method goodwill</w:t>
            </w:r>
          </w:p>
        </w:tc>
        <w:tc>
          <w:tcPr>
            <w:tcW w:w="14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(4,720 )</w:t>
            </w:r>
          </w:p>
        </w:tc>
        <w:tc>
          <w:tcPr>
            <w:tcW w:w="4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(4,720 )</w:t>
            </w:r>
          </w:p>
        </w:tc>
      </w:tr>
      <w:tr>
        <w:trPr>
          <w:trHeight w:val="209"/>
        </w:trPr>
        <w:tc>
          <w:tcPr>
            <w:tcW w:w="680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Proportional share of equity investment in joint venture</w:t>
            </w:r>
          </w:p>
        </w:tc>
        <w:tc>
          <w:tcPr>
            <w:tcW w:w="1460" w:type="dxa"/>
            <w:vAlign w:val="bottom"/>
            <w:tcBorders>
              <w:top w:val="single" w:sz="8" w:color="auto"/>
              <w:bottom w:val="single" w:sz="8" w:color="auto"/>
            </w:tcBorders>
          </w:tcPr>
          <w:p>
            <w:pPr>
              <w:jc w:val="right"/>
              <w:ind w:right="127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17,059</w:t>
            </w:r>
          </w:p>
        </w:tc>
        <w:tc>
          <w:tcPr>
            <w:tcW w:w="340" w:type="dxa"/>
            <w:vAlign w:val="bottom"/>
            <w:tcBorders>
              <w:top w:val="single" w:sz="8" w:color="CFF0FC"/>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14,941</w:t>
            </w:r>
          </w:p>
        </w:tc>
        <w:tc>
          <w:tcPr>
            <w:tcW w:w="100" w:type="dxa"/>
            <w:vAlign w:val="bottom"/>
            <w:tcBorders>
              <w:top w:val="single" w:sz="8" w:color="CFF0FC"/>
            </w:tcBorders>
          </w:tcPr>
          <w:p>
            <w:pPr>
              <w:spacing w:after="0"/>
              <w:rPr>
                <w:sz w:val="18"/>
                <w:szCs w:val="18"/>
                <w:color w:val="auto"/>
              </w:rPr>
            </w:pPr>
          </w:p>
        </w:tc>
      </w:tr>
      <w:tr>
        <w:trPr>
          <w:trHeight w:val="20"/>
        </w:trPr>
        <w:tc>
          <w:tcPr>
            <w:tcW w:w="68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-170815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6" w:lineRule="exact"/>
        <w:rPr>
          <w:sz w:val="20"/>
          <w:szCs w:val="20"/>
          <w:color w:val="auto"/>
        </w:rPr>
      </w:pPr>
    </w:p>
    <w:p>
      <w:pPr>
        <w:ind w:left="1020" w:right="260" w:hanging="503"/>
        <w:spacing w:after="0" w:line="261" w:lineRule="auto"/>
        <w:tabs>
          <w:tab w:leader="none" w:pos="10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2024, $2.9 million of the deferred intra-entity gross profit balance was related to the Tomo C radiation therapy system as compared to $4.2 million as of June 30, 2024.</w:t>
      </w:r>
    </w:p>
    <w:p>
      <w:pPr>
        <w:spacing w:after="0" w:line="235"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8"/>
          <w:szCs w:val="18"/>
          <w:color w:val="auto"/>
        </w:rPr>
        <w:t>As of December 31, 2024, the Company’s carrying value of the investment in the JV for the Company's proportional share of the JV's currency translation adjustment was not material. As of June 30, 2024, the Company’s carrying value of the investment in the JV was decreased for the Company's proportional share of the JV's currency translation adjustment by $0.6 million. In June 2024, the JV declared a $2.5 million dividend to the Company which was paid in July 2024.</w:t>
      </w:r>
    </w:p>
    <w:p>
      <w:pPr>
        <w:spacing w:after="0" w:line="2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Summarized financial information of the JV is as follows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80" w:type="dxa"/>
            <w:vAlign w:val="bottom"/>
            <w:gridSpan w:val="7"/>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20" w:type="dxa"/>
            <w:vAlign w:val="bottom"/>
            <w:gridSpan w:val="6"/>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5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Statement of Operations Data:</w:t>
            </w:r>
          </w:p>
        </w:tc>
        <w:tc>
          <w:tcPr>
            <w:tcW w:w="180" w:type="dxa"/>
            <w:vAlign w:val="bottom"/>
            <w:vMerge w:val="restart"/>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560" w:type="dxa"/>
            <w:vAlign w:val="bottom"/>
            <w:tcBorders>
              <w:bottom w:val="single" w:sz="8" w:color="auto"/>
            </w:tcBorders>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5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2024</w:t>
            </w:r>
          </w:p>
        </w:tc>
        <w:tc>
          <w:tcPr>
            <w:tcW w:w="4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33,582</w:t>
            </w:r>
          </w:p>
        </w:tc>
        <w:tc>
          <w:tcPr>
            <w:tcW w:w="600" w:type="dxa"/>
            <w:vAlign w:val="bottom"/>
            <w:gridSpan w:val="4"/>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22,457</w:t>
            </w:r>
          </w:p>
        </w:tc>
        <w:tc>
          <w:tcPr>
            <w:tcW w:w="8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55,416</w:t>
            </w:r>
          </w:p>
        </w:tc>
        <w:tc>
          <w:tcPr>
            <w:tcW w:w="66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54,312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11,441</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3,273</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(872 )</w:t>
            </w:r>
          </w:p>
        </w:tc>
        <w:tc>
          <w:tcPr>
            <w:tcW w:w="2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7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3,125</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the Company</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(427 )</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6"/>
        </w:trPr>
        <w:tc>
          <w:tcPr>
            <w:tcW w:w="5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Summarized Balance Sheet Data:</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574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2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4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0" w:type="dxa"/>
            <w:vAlign w:val="bottom"/>
          </w:tcPr>
          <w:p>
            <w:pPr>
              <w:spacing w:after="0"/>
              <w:rPr>
                <w:sz w:val="1"/>
                <w:szCs w:val="1"/>
                <w:color w:val="auto"/>
              </w:rPr>
            </w:pPr>
          </w:p>
        </w:tc>
      </w:tr>
      <w:tr>
        <w:trPr>
          <w:trHeight w:val="210"/>
        </w:trPr>
        <w:tc>
          <w:tcPr>
            <w:tcW w:w="57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00" w:type="dxa"/>
            <w:vAlign w:val="bottom"/>
            <w:gridSpan w:val="4"/>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99"/>
              </w:rPr>
              <w:t>140,059</w:t>
            </w:r>
          </w:p>
        </w:tc>
        <w:tc>
          <w:tcPr>
            <w:tcW w:w="720" w:type="dxa"/>
            <w:vAlign w:val="bottom"/>
            <w:gridSpan w:val="3"/>
            <w:shd w:val="clear" w:color="auto" w:fill="CFF0FC"/>
          </w:tcPr>
          <w:p>
            <w:pPr>
              <w:jc w:val="right"/>
              <w:ind w:right="24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94,504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15,005</w:t>
            </w:r>
          </w:p>
        </w:tc>
        <w:tc>
          <w:tcPr>
            <w:tcW w:w="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7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600" w:type="dxa"/>
            <w:vAlign w:val="bottom"/>
            <w:gridSpan w:val="4"/>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99"/>
              </w:rPr>
              <w:t>155,064</w:t>
            </w:r>
          </w:p>
        </w:tc>
        <w:tc>
          <w:tcPr>
            <w:tcW w:w="720" w:type="dxa"/>
            <w:vAlign w:val="bottom"/>
            <w:gridSpan w:val="3"/>
            <w:shd w:val="clear" w:color="auto" w:fill="CFF0FC"/>
          </w:tcPr>
          <w:p>
            <w:pPr>
              <w:jc w:val="right"/>
              <w:ind w:right="24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108,080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740" w:type="dxa"/>
            <w:vAlign w:val="bottom"/>
            <w:tcBorders>
              <w:top w:val="single" w:sz="8" w:color="CFF0FC"/>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Liabilities and Stockholders' Equity</w:t>
            </w:r>
          </w:p>
        </w:tc>
        <w:tc>
          <w:tcPr>
            <w:tcW w:w="260" w:type="dxa"/>
            <w:vAlign w:val="bottom"/>
            <w:tcBorders>
              <w:top w:val="single" w:sz="8" w:color="CFF0FC"/>
            </w:tcBorders>
          </w:tcPr>
          <w:p>
            <w:pPr>
              <w:spacing w:after="0"/>
              <w:rPr>
                <w:sz w:val="17"/>
                <w:szCs w:val="17"/>
                <w:color w:val="auto"/>
              </w:rPr>
            </w:pPr>
          </w:p>
        </w:tc>
        <w:tc>
          <w:tcPr>
            <w:tcW w:w="88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00" w:type="dxa"/>
            <w:vAlign w:val="bottom"/>
            <w:gridSpan w:val="4"/>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99"/>
              </w:rPr>
              <w:t>118,754</w:t>
            </w:r>
          </w:p>
        </w:tc>
        <w:tc>
          <w:tcPr>
            <w:tcW w:w="720" w:type="dxa"/>
            <w:vAlign w:val="bottom"/>
            <w:gridSpan w:val="3"/>
            <w:shd w:val="clear" w:color="auto" w:fill="CFF0FC"/>
          </w:tcPr>
          <w:p>
            <w:pPr>
              <w:jc w:val="right"/>
              <w:ind w:right="24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76,338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1,497</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34,813</w:t>
            </w:r>
          </w:p>
        </w:tc>
        <w:tc>
          <w:tcPr>
            <w:tcW w:w="2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31,568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155,064</w:t>
            </w:r>
          </w:p>
        </w:tc>
        <w:tc>
          <w:tcPr>
            <w:tcW w:w="720" w:type="dxa"/>
            <w:vAlign w:val="bottom"/>
            <w:gridSpan w:val="3"/>
          </w:tcPr>
          <w:p>
            <w:pPr>
              <w:jc w:val="right"/>
              <w:ind w:right="24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5722620</wp:posOffset>
            </wp:positionH>
            <wp:positionV relativeFrom="paragraph">
              <wp:posOffset>-744855</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-728345</wp:posOffset>
            </wp:positionV>
            <wp:extent cx="685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-744855</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-728345</wp:posOffset>
            </wp:positionV>
            <wp:extent cx="685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-170815</wp:posOffset>
            </wp:positionV>
            <wp:extent cx="685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shows the activity of the Company’s net revenue recognized from intra-entity gross profit from sales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20" w:type="dxa"/>
            <w:vAlign w:val="bottom"/>
            <w:gridSpan w:val="6"/>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2080" w:type="dxa"/>
            <w:vAlign w:val="bottom"/>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65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65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r>
      <w:tr>
        <w:trPr>
          <w:trHeight w:val="210"/>
        </w:trPr>
        <w:tc>
          <w:tcPr>
            <w:tcW w:w="6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intra-entity gross profit recognized on sales to the JV</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11,745</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4,728</w:t>
            </w:r>
          </w:p>
        </w:tc>
        <w:tc>
          <w:tcPr>
            <w:tcW w:w="120" w:type="dxa"/>
            <w:vAlign w:val="bottom"/>
            <w:shd w:val="clear" w:color="auto" w:fill="CFF0FC"/>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14,459</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6,313</w:t>
            </w:r>
          </w:p>
        </w:tc>
        <w:tc>
          <w:tcPr>
            <w:tcW w:w="100" w:type="dxa"/>
            <w:vAlign w:val="bottom"/>
            <w:shd w:val="clear" w:color="auto" w:fill="CFF0FC"/>
          </w:tcPr>
          <w:p>
            <w:pPr>
              <w:spacing w:after="0"/>
              <w:rPr>
                <w:sz w:val="18"/>
                <w:szCs w:val="18"/>
                <w:color w:val="auto"/>
              </w:rPr>
            </w:pPr>
          </w:p>
        </w:tc>
      </w:tr>
      <w:tr>
        <w:trPr>
          <w:trHeight w:val="216"/>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intra-entity gross profit on sales to the JV</w:t>
            </w:r>
          </w:p>
        </w:tc>
        <w:tc>
          <w:tcPr>
            <w:tcW w:w="2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(7,232 )</w:t>
            </w:r>
          </w:p>
        </w:tc>
        <w:tc>
          <w:tcPr>
            <w:tcW w:w="3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(2,858 )</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(13,565 )</w:t>
            </w:r>
          </w:p>
        </w:tc>
        <w:tc>
          <w:tcPr>
            <w:tcW w:w="3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(6,019 )</w:t>
            </w:r>
          </w:p>
        </w:tc>
      </w:tr>
      <w:tr>
        <w:trPr>
          <w:trHeight w:val="249"/>
        </w:trPr>
        <w:tc>
          <w:tcPr>
            <w:tcW w:w="6500" w:type="dxa"/>
            <w:vAlign w:val="bottom"/>
            <w:tcBorders>
              <w:bottom w:val="single" w:sz="8" w:color="CFF0FC"/>
            </w:tcBorders>
            <w:shd w:val="clear" w:color="auto" w:fill="CFF0FC"/>
          </w:tcPr>
          <w:p>
            <w:pPr>
              <w:ind w:left="120"/>
              <w:spacing w:after="0" w:line="210" w:lineRule="exact"/>
              <w:rPr>
                <w:sz w:val="20"/>
                <w:szCs w:val="20"/>
                <w:color w:val="auto"/>
              </w:rPr>
            </w:pPr>
            <w:r>
              <w:rPr>
                <w:rFonts w:ascii="Times New Roman" w:cs="Times New Roman" w:eastAsia="Times New Roman" w:hAnsi="Times New Roman"/>
                <w:sz w:val="18"/>
                <w:szCs w:val="18"/>
                <w:color w:val="auto"/>
              </w:rPr>
              <w:t xml:space="preserve">Net recognized gross profit on sales to the JV </w:t>
            </w:r>
            <w:r>
              <w:rPr>
                <w:rFonts w:ascii="Times New Roman" w:cs="Times New Roman" w:eastAsia="Times New Roman" w:hAnsi="Times New Roman"/>
                <w:sz w:val="24"/>
                <w:szCs w:val="24"/>
                <w:color w:val="auto"/>
                <w:vertAlign w:val="superscript"/>
              </w:rPr>
              <w:t>(1)</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4,513</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1,870</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2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-25400</wp:posOffset>
            </wp:positionV>
            <wp:extent cx="685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-8255</wp:posOffset>
            </wp:positionV>
            <wp:extent cx="685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-25400</wp:posOffset>
            </wp:positionV>
            <wp:extent cx="685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-8255</wp:posOffset>
            </wp:positionV>
            <wp:extent cx="685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-25400</wp:posOffset>
            </wp:positionV>
            <wp:extent cx="685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-8255</wp:posOffset>
            </wp:positionV>
            <wp:extent cx="685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1" w:lineRule="exact"/>
        <w:rPr>
          <w:sz w:val="20"/>
          <w:szCs w:val="20"/>
          <w:color w:val="auto"/>
        </w:rPr>
      </w:pPr>
    </w:p>
    <w:p>
      <w:pPr>
        <w:jc w:val="both"/>
        <w:ind w:left="380" w:right="20" w:hanging="372"/>
        <w:spacing w:after="0" w:line="241" w:lineRule="auto"/>
        <w:tabs>
          <w:tab w:leader="none" w:pos="3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Profit earned by the Company from the JV is eliminated through cost of goods sold until it is realized; such profits would generally be considered realized when the inventory has been sold through to third parties. For the three and six months ended December 31, 2024, $3.3 million and $1.3 million of the net recognized gross profit on sales to the JV were related to the Tomo C radiation therapy system as compared to $1.7 million and $2.2 million of the net deferred gross profit on sales to the JV for the three and six months ended December 31, 2023.</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Income Tax</w:t>
      </w: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summarizes the provision for income taxes (in thousands):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80" w:type="dxa"/>
            <w:vAlign w:val="bottom"/>
            <w:gridSpan w:val="3"/>
          </w:tcPr>
          <w:p>
            <w:pPr>
              <w:jc w:val="center"/>
              <w:ind w:right="44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920" w:type="dxa"/>
            <w:vAlign w:val="bottom"/>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430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3"/>
          </w:tcPr>
          <w:p>
            <w:pPr>
              <w:jc w:val="center"/>
              <w:ind w:right="40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4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3"/>
          </w:tcPr>
          <w:p>
            <w:pPr>
              <w:ind w:left="8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300" w:type="dxa"/>
            <w:vAlign w:val="bottom"/>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0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51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10"/>
        </w:trPr>
        <w:tc>
          <w:tcPr>
            <w:tcW w:w="4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00" w:type="dxa"/>
            <w:vAlign w:val="bottom"/>
            <w:shd w:val="clear" w:color="auto" w:fill="CFF0FC"/>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340" w:type="dxa"/>
            <w:vAlign w:val="bottom"/>
            <w:gridSpan w:val="2"/>
            <w:shd w:val="clear" w:color="auto" w:fill="CFF0FC"/>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7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w w:val="98"/>
              </w:rPr>
              <w:t>1,320</w:t>
            </w:r>
          </w:p>
        </w:tc>
        <w:tc>
          <w:tcPr>
            <w:tcW w:w="82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2,810</w:t>
            </w:r>
          </w:p>
        </w:tc>
        <w:tc>
          <w:tcPr>
            <w:tcW w:w="100" w:type="dxa"/>
            <w:vAlign w:val="bottom"/>
            <w:shd w:val="clear" w:color="auto" w:fill="CFF0FC"/>
          </w:tcPr>
          <w:p>
            <w:pPr>
              <w:spacing w:after="0"/>
              <w:rPr>
                <w:sz w:val="18"/>
                <w:szCs w:val="18"/>
                <w:color w:val="auto"/>
              </w:rPr>
            </w:pPr>
          </w:p>
        </w:tc>
      </w:tr>
    </w:tbl>
    <w:p>
      <w:pPr>
        <w:spacing w:after="0" w:line="198" w:lineRule="exact"/>
        <w:rPr>
          <w:sz w:val="20"/>
          <w:szCs w:val="20"/>
          <w:color w:val="auto"/>
        </w:rPr>
      </w:pPr>
    </w:p>
    <w:p>
      <w:pPr>
        <w:ind w:right="460" w:firstLine="255"/>
        <w:spacing w:after="0" w:line="282" w:lineRule="auto"/>
        <w:rPr>
          <w:sz w:val="20"/>
          <w:szCs w:val="20"/>
          <w:color w:val="auto"/>
        </w:rPr>
      </w:pPr>
      <w:r>
        <w:rPr>
          <w:rFonts w:ascii="Times New Roman" w:cs="Times New Roman" w:eastAsia="Times New Roman" w:hAnsi="Times New Roman"/>
          <w:sz w:val="18"/>
          <w:szCs w:val="18"/>
          <w:color w:val="auto"/>
        </w:rPr>
        <w:t>On a quarterly basis, the Company provides for income taxes based upon an estimated annual effective income tax rate. The Company recognized income tax expense, which were primarily related to foreign taxes for the periods presented.</w:t>
      </w:r>
    </w:p>
    <w:p>
      <w:pPr>
        <w:spacing w:after="0" w:line="162" w:lineRule="exact"/>
        <w:rPr>
          <w:sz w:val="20"/>
          <w:szCs w:val="20"/>
          <w:color w:val="auto"/>
        </w:rPr>
      </w:pPr>
    </w:p>
    <w:p>
      <w:pPr>
        <w:jc w:val="both"/>
        <w:ind w:right="260" w:firstLine="255"/>
        <w:spacing w:after="0" w:line="258" w:lineRule="auto"/>
        <w:rPr>
          <w:sz w:val="20"/>
          <w:szCs w:val="20"/>
          <w:color w:val="auto"/>
        </w:rPr>
      </w:pPr>
      <w:r>
        <w:rPr>
          <w:rFonts w:ascii="Times New Roman" w:cs="Times New Roman" w:eastAsia="Times New Roman" w:hAnsi="Times New Roman"/>
          <w:sz w:val="18"/>
          <w:szCs w:val="18"/>
          <w:color w:val="auto"/>
        </w:rPr>
        <w:t>Starting in fiscal year 2019, certain income earned by controlling foreign corporations (“CFCs”) must be included in the gross income of the CFC’s U.S. shareholder. The income required to be included in gross income is referred to as global intangible low tax income (“GILTI”) and is defined under IRC Section 951A as the excess of the shareholder’s net CFC tested income over the net deemed tangible income return. The GILTI inclusion amount is expected to be fully absorbed by net operating losses carryforward and is not expected to cause the Company to be in a U.S. taxable income position for fiscal year 2025.</w:t>
      </w:r>
    </w:p>
    <w:p>
      <w:pPr>
        <w:spacing w:after="0" w:line="183" w:lineRule="exact"/>
        <w:rPr>
          <w:sz w:val="20"/>
          <w:szCs w:val="20"/>
          <w:color w:val="auto"/>
        </w:rPr>
      </w:pPr>
    </w:p>
    <w:p>
      <w:pPr>
        <w:ind w:right="40" w:firstLine="255"/>
        <w:spacing w:after="0" w:line="266" w:lineRule="auto"/>
        <w:rPr>
          <w:sz w:val="20"/>
          <w:szCs w:val="20"/>
          <w:color w:val="auto"/>
        </w:rPr>
      </w:pPr>
      <w:r>
        <w:rPr>
          <w:rFonts w:ascii="Times New Roman" w:cs="Times New Roman" w:eastAsia="Times New Roman" w:hAnsi="Times New Roman"/>
          <w:sz w:val="18"/>
          <w:szCs w:val="18"/>
          <w:color w:val="auto"/>
        </w:rPr>
        <w:t>There is no material impact on the Company’s unaudited condensed consolidated financial statements for fiscal year 2025 relating to the change in U.S. tax law that requires capitalization and amortization of research and experimental expenditures incurred after July 1, 2022 which has been fully offset by pre-2018 net operating loss carryforwards. The Company will continue to evaluate the impact of this tax law change in future periods.</w:t>
      </w:r>
    </w:p>
    <w:p>
      <w:pPr>
        <w:spacing w:after="0" w:line="176" w:lineRule="exact"/>
        <w:rPr>
          <w:sz w:val="20"/>
          <w:szCs w:val="20"/>
          <w:color w:val="auto"/>
        </w:rPr>
      </w:pPr>
    </w:p>
    <w:p>
      <w:pPr>
        <w:ind w:right="100" w:firstLine="255"/>
        <w:spacing w:after="0" w:line="266" w:lineRule="auto"/>
        <w:rPr>
          <w:sz w:val="20"/>
          <w:szCs w:val="20"/>
          <w:color w:val="auto"/>
        </w:rPr>
      </w:pPr>
      <w:r>
        <w:rPr>
          <w:rFonts w:ascii="Times New Roman" w:cs="Times New Roman" w:eastAsia="Times New Roman" w:hAnsi="Times New Roman"/>
          <w:sz w:val="18"/>
          <w:szCs w:val="18"/>
          <w:color w:val="auto"/>
        </w:rPr>
        <w:t>As of December 31, 2024, the Company’s gross unrecognized tax benefits were $22.0 million, of which $21.6 million would not affect income tax expense before consideration of any valuation allowance. The Company does not expect its unrecognized tax benefits to change significantly over the next 12 months. Interest and penalties accrued on unrecognized tax benefits are recorded as a component of income tax expense.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right="40" w:firstLine="255"/>
        <w:spacing w:after="0" w:line="25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as of December 31, 2024, and results of operations for the three and six months ended December 31, 2024 and 2023 should be read together with our unaudited condensed consolidated financial statements and related notes included in this report. Statements made in this Form 10-Q report that are not statements of historical fact are forward-looking statements that are subject to the “safe harbor” provisions of the Private Securities Litigation Reform Act of 1995. Forward-looking statements in this report relate, but are not limited, to: our future results of operations and financial position, including the sufficiency of cash resources and expected cash flows to fund future operations, including the next 12 months; our expectations regarding backlog, age-ins and age-outs, cancellations of contracts and foreign currency impacts; the anticipated drivers of our future capital requirements; expectations regarding our strategy in China and our China joint venture as well as its expected impact on our business; expectations regarding the market in China for radiation oncology systems; expectations regarding the effects of the global macroeconomic conditions, such as the COVID-19 pandemic on our financial results and business as well as the business of our customers and suppliers; expectations regarding delays in deliveries and installations and its impact on our business; expectations regarding inflation, supply chain challenges and heightened logistics costs and its impact on our business, including gross margins and net income (loss); expectations regarding revenue from the Americas region; expectations regarding the timing of deliveries and revenue conversion; our expectations regarding the adequacy of our manufacturing facilities; the anticipated risks associated with our foreign operations and fluctuations in the U.S. Dollar and foreign currencies as well as our ability to mitigate such risks; tariffs and trade policies; expectations related to the effect of the GILTI tax on our taxable income position; expectations related to our convertible notes and credit facility; expectations related to our leases; the amount of unrecognized tax amounts; the sufficiency of our cash, cash equivalents and investments to meet our anticipated cash needs for working capital and capital expenditures and our business strategy, plans and objectives. Forward-looking statements generally can be identified by words such as “anticipates,” “believes,” “estimates,” “expects,” “intends,” “plans,” “predicts,” “projects,” “may,” “will be,” “will continue,” “will likely result,” and similar expressions. These forward-looking statements involve risks and uncertainties. If any of these risks or uncertainties materialize, or if any of our assumptions prove incorrect, actual results could differ materially from the results expressed or implied by these forward-looking statements. These risks and uncertainties include, those discussed in this quarterly report, in particular under the heading “Risk Factors” in Part II, Item 1A, and other filings we make with the Securities and Exchange Commission. Forward-looking statements speak only as of the date the statements are made and are based on information available to us at the time those statements are made and/or management’s good faith belief as of that time with respect to future events. We assume no obligation to update forward-looking statements to reflect actual performance or results, changes in assumptions or changes in other factors affecting forward-looking information, except to the extent required by applicable securities laws. Accordingly, investors should not place undue reliance on any forward-looking statements.</w:t>
      </w:r>
    </w:p>
    <w:p>
      <w:pPr>
        <w:spacing w:after="0" w:line="20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In this report, “Accuray,” the “Company,” “we,” “us,” and “our” refer to Accuray Incorporated and its subsidiaries.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9" w:lineRule="exact"/>
        <w:rPr>
          <w:sz w:val="20"/>
          <w:szCs w:val="20"/>
          <w:color w:val="auto"/>
        </w:rPr>
      </w:pPr>
    </w:p>
    <w:p>
      <w:pPr>
        <w:ind w:firstLine="187"/>
        <w:spacing w:after="0" w:line="258" w:lineRule="auto"/>
        <w:rPr>
          <w:sz w:val="20"/>
          <w:szCs w:val="20"/>
          <w:color w:val="auto"/>
        </w:rPr>
      </w:pPr>
      <w:r>
        <w:rPr>
          <w:rFonts w:ascii="Times New Roman" w:cs="Times New Roman" w:eastAsia="Times New Roman" w:hAnsi="Times New Roman"/>
          <w:sz w:val="18"/>
          <w:szCs w:val="18"/>
          <w:color w:val="auto"/>
        </w:rPr>
        <w:t>We are a radiation therapy company that develops, manufactures, sells and supports market-changing solutions that are designed to deliver radiation treatments for even the most complex cases, while making commonly treatable cases even more straightforward, to meet the full spectrum of patient needs. We believe in comparison to conventional linear accelerators, our treatment delivery, planning, and data management solutions provide better accuracy, flexibility, and control; fewer treatments with shorter treatment times; and the technology to expand beyond cancer, making it easier for clinical teams around the world to provide treatments that help patients get back to living their lives, faster.</w:t>
      </w:r>
    </w:p>
    <w:p>
      <w:pPr>
        <w:spacing w:after="0" w:line="190" w:lineRule="exact"/>
        <w:rPr>
          <w:sz w:val="20"/>
          <w:szCs w:val="20"/>
          <w:color w:val="auto"/>
        </w:rPr>
      </w:pPr>
    </w:p>
    <w:p>
      <w:pPr>
        <w:ind w:right="40" w:firstLine="255"/>
        <w:spacing w:after="0" w:line="245" w:lineRule="auto"/>
        <w:rPr>
          <w:sz w:val="20"/>
          <w:szCs w:val="20"/>
          <w:color w:val="auto"/>
        </w:rPr>
      </w:pPr>
      <w:r>
        <w:rPr>
          <w:rFonts w:ascii="Times New Roman" w:cs="Times New Roman" w:eastAsia="Times New Roman" w:hAnsi="Times New Roman"/>
          <w:sz w:val="18"/>
          <w:szCs w:val="18"/>
          <w:color w:val="auto"/>
        </w:rPr>
        <w:t>Our innovative technologies, the CyberKnife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TomoTherapy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platforms, including the Radixact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System, our next generation TomoTherapy platform, are designed to deliver advanced treatments, including stereotactic radiosurgery (“SRS”), stereotactic body radiation therapy (“SBRT”), intensity modulated radiation therapy (“IMRT”), image-guided radiation therapy (“IGRT”), and adaptive radiation therapy (“ART”). The CyberKnife and TomoTherapy platforms have complementary clinical applications with the same goal: to empower our customers to deliver the most precise and accurate treatments while still minimizing dose to healthy tissue, helping to reduce the risk of side effects that may impact patients’ quality of life. Each of these systems serves patient populations treated by the same medical specialty, radiation oncology, with advanced capabilities. The CyberKnife platform is also used by neurosurgeons specializing in radiosurgery to treat patients with tumors in the brain and spine, and neurologic and/or endocrine disorders. In addition to these products, we also provide services, which include post-contract customer support (warranty period services and post-warranty services), installation services, training, and other professional services.</w:t>
      </w: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Economic Conditions</w:t>
      </w:r>
    </w:p>
    <w:p>
      <w:pPr>
        <w:spacing w:after="0" w:line="229"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8"/>
          <w:szCs w:val="18"/>
          <w:color w:val="auto"/>
        </w:rPr>
        <w:t>We are subject to risks and uncertainties caused, directly or indirectly, by events with significant geopolitical and macroeconomic impacts, including, but not limited to, inflation; actions taken to counter inflation, including high interest rates; foreign currency exchange rate fluctuations; uncertainty and volatility in the banking and financial services sector; tightening credit markets; geopolitical concerns, such as the Russian-Ukraine and the Middle East conflicts and increasing tension between China and the U.S., including with respect to Taiwan; uncertainty caused by the China anti-corruption campaign and timing of the China stimulus program; the change in the U.S. presidential administration; recent executive orders to impose new tariffs on imports from Canada, Mexico and China and uncertainties regarding impact, retaliations and further escalation, including against other countries; as well as other factors that may emerge. In particular, we are continuing to navigate supply chain and inflation challenges and adverse foreign currency exchange rate fluctuations, all of which continues to have a negative impact on our results of operations.</w:t>
      </w:r>
    </w:p>
    <w:p>
      <w:pPr>
        <w:spacing w:after="0" w:line="192" w:lineRule="exact"/>
        <w:rPr>
          <w:sz w:val="20"/>
          <w:szCs w:val="20"/>
          <w:color w:val="auto"/>
        </w:rPr>
      </w:pPr>
    </w:p>
    <w:p>
      <w:pPr>
        <w:ind w:right="100" w:firstLine="255"/>
        <w:spacing w:after="0" w:line="254" w:lineRule="auto"/>
        <w:rPr>
          <w:sz w:val="20"/>
          <w:szCs w:val="20"/>
          <w:color w:val="auto"/>
        </w:rPr>
      </w:pPr>
      <w:r>
        <w:rPr>
          <w:rFonts w:ascii="Times New Roman" w:cs="Times New Roman" w:eastAsia="Times New Roman" w:hAnsi="Times New Roman"/>
          <w:sz w:val="18"/>
          <w:szCs w:val="18"/>
          <w:color w:val="auto"/>
        </w:rPr>
        <w:t>We expect that our customers’ business and our business will continue to be adversely impacted, directly or indirectly, by these macroeconomic and geopolitical issues. Inflation and the ongoing supply chain challenges and logistics costs have materially affected our gross margins and net income (loss), and we expect that gross margins and net income (loss) will continue to be adversely affected by increased material costs and freight and logistic expenses through fiscal year 2025. In addition, the Company expects inflation and the ongoing supply chain challenges and logistics costs to impact its cash from operations through fiscal year 2025. In addition, reduced budgets and lower capital deployment priority for radiotherapy equipment, along with longer customer installation timelines, in the United States have negatively impacted our net revenue since fiscal year 2024, and we expect this will continue to have an impact through fiscal year 2026. The extent of the ongoing impact of these macroeconomic events on our business, our markets and on global economic activity however, is uncertain and the related financial impact cannot be reasonably estimated with any certainty at this time.</w:t>
      </w:r>
    </w:p>
    <w:p>
      <w:pPr>
        <w:spacing w:after="0" w:line="192" w:lineRule="exact"/>
        <w:rPr>
          <w:sz w:val="20"/>
          <w:szCs w:val="20"/>
          <w:color w:val="auto"/>
        </w:rPr>
      </w:pPr>
    </w:p>
    <w:p>
      <w:pPr>
        <w:ind w:right="160" w:firstLine="255"/>
        <w:spacing w:after="0" w:line="255" w:lineRule="auto"/>
        <w:rPr>
          <w:sz w:val="20"/>
          <w:szCs w:val="20"/>
          <w:color w:val="auto"/>
        </w:rPr>
      </w:pPr>
      <w:r>
        <w:rPr>
          <w:rFonts w:ascii="Times New Roman" w:cs="Times New Roman" w:eastAsia="Times New Roman" w:hAnsi="Times New Roman"/>
          <w:sz w:val="18"/>
          <w:szCs w:val="18"/>
          <w:color w:val="auto"/>
        </w:rPr>
        <w:t>Our past results may not be indicative of our future performance, and historical trends including conversion of backlog to revenue, income (loss) from operations, net income (loss), net income (loss) per share and cash flows may differ materially. Accordingly, management is carefully evaluating our liquidity position, communicating with and monitoring the actions of our customers and suppliers, and reviewing our near-term financial performance as the uncertainty related to these factors continues to unfold. We also continue to evaluate our operating expenses, including our real estate needs and continue to assess our operations and how and to what extent we will continue to utilize our current real estate assets. The risks related to our business, including further discussion of the impact and possible future impacts of current economic conditions on our business, are further described in the section titled “Risk Factors” in Part II, Item 1A of this Quarterly Report on Form 10-Q.</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of Our Products</w:t>
      </w:r>
    </w:p>
    <w:p>
      <w:pPr>
        <w:spacing w:after="0" w:line="256" w:lineRule="exact"/>
        <w:rPr>
          <w:sz w:val="20"/>
          <w:szCs w:val="20"/>
          <w:color w:val="auto"/>
        </w:rPr>
      </w:pPr>
    </w:p>
    <w:p>
      <w:pPr>
        <w:ind w:right="160" w:firstLine="255"/>
        <w:spacing w:after="0" w:line="256" w:lineRule="auto"/>
        <w:rPr>
          <w:sz w:val="20"/>
          <w:szCs w:val="20"/>
          <w:color w:val="auto"/>
        </w:rPr>
      </w:pPr>
      <w:r>
        <w:rPr>
          <w:rFonts w:ascii="Times New Roman" w:cs="Times New Roman" w:eastAsia="Times New Roman" w:hAnsi="Times New Roman"/>
          <w:sz w:val="18"/>
          <w:szCs w:val="18"/>
          <w:color w:val="auto"/>
        </w:rPr>
        <w:t>Generating revenue from the sale of our platforms is a lengthy process. Selling our platforms, from first contact with a potential customer to a signed sales contract that meets our backlog criteria (as discussed below) varies significantly and generally spans between six months and 30 months. The length of time between receipt of a signed contract and revenue recognition is generally governed by the time required by the customer to build, renovate or prepare the treatment room for installation of the platform. We report our customer revenues in five geographic regions: the Americas, EIMEA, Japan, China and Asia Pacific. The Americas region includes the United States, Canada and Latin America. The EIMEA region includes Europe, India, the Middle East and Africa. The Asia Pacific region consists of Asia (excluding Japan and China), Australia and New Zealand.</w:t>
      </w:r>
    </w:p>
    <w:p>
      <w:pPr>
        <w:spacing w:after="0" w:line="228" w:lineRule="exact"/>
        <w:rPr>
          <w:sz w:val="20"/>
          <w:szCs w:val="20"/>
          <w:color w:val="auto"/>
        </w:rPr>
      </w:pPr>
    </w:p>
    <w:p>
      <w:pPr>
        <w:ind w:right="100" w:firstLine="255"/>
        <w:spacing w:after="0" w:line="258" w:lineRule="auto"/>
        <w:rPr>
          <w:sz w:val="20"/>
          <w:szCs w:val="20"/>
          <w:color w:val="auto"/>
        </w:rPr>
      </w:pPr>
      <w:r>
        <w:rPr>
          <w:rFonts w:ascii="Times New Roman" w:cs="Times New Roman" w:eastAsia="Times New Roman" w:hAnsi="Times New Roman"/>
          <w:sz w:val="18"/>
          <w:szCs w:val="18"/>
          <w:color w:val="auto"/>
        </w:rPr>
        <w:t>In the United States, we primarily market directly to customers, including hospitals and stand-alone treatment facilities, through our sales organization we also market to customers through sales agents and group purchasing organizations. Outside the United States, we market to customers directly and through use of distributors and sales agents. In addition to our offices in the United States, we have international offices in Morges, Switzerland; Hong Kong, China; Shanghai, China and Tokyo, Japan and direct sales staff in most countries in Western Europe, Japan, India and Canada. In addition, we have distributors in Europe, Russia, the Middle East, Africa, the Asia Pacific region, and Latin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Joint Venture</w:t>
      </w:r>
    </w:p>
    <w:p>
      <w:pPr>
        <w:spacing w:after="0" w:line="229" w:lineRule="exact"/>
        <w:rPr>
          <w:sz w:val="20"/>
          <w:szCs w:val="20"/>
          <w:color w:val="auto"/>
        </w:rPr>
      </w:pPr>
    </w:p>
    <w:p>
      <w:pPr>
        <w:ind w:right="300" w:firstLine="255"/>
        <w:spacing w:after="0" w:line="261" w:lineRule="auto"/>
        <w:rPr>
          <w:sz w:val="20"/>
          <w:szCs w:val="20"/>
          <w:color w:val="auto"/>
        </w:rPr>
      </w:pPr>
      <w:r>
        <w:rPr>
          <w:rFonts w:ascii="Times New Roman" w:cs="Times New Roman" w:eastAsia="Times New Roman" w:hAnsi="Times New Roman"/>
          <w:sz w:val="18"/>
          <w:szCs w:val="18"/>
          <w:color w:val="auto"/>
        </w:rPr>
        <w:t>In January 2019, our wholly-owned subsidiary, Accuray Asia Limited (“Accuray Asia”), entered into an agreement with CNNC High Energy Equipment (Tianjin) Co., Ltd., a wholly-owned subsidiary of China Isotope &amp; Radiation Corporation, to form a joint venture, CNNC Accuray (Tianjin) Medical Technology Co. Ltd. (the “JV”), to manufacture and sell radiation oncology systems in China. The JV aims to be uniquely positioned to serve China, which we believe is the world’s largest growth market for radiation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3" w:name="page24"/>
    <w:bookmarkEnd w:id="23"/>
    <w:p>
      <w:pPr>
        <w:ind w:right="160"/>
        <w:spacing w:after="0" w:line="282" w:lineRule="auto"/>
        <w:rPr>
          <w:sz w:val="20"/>
          <w:szCs w:val="20"/>
          <w:color w:val="auto"/>
        </w:rPr>
      </w:pPr>
      <w:r>
        <w:rPr>
          <w:rFonts w:ascii="Times New Roman" w:cs="Times New Roman" w:eastAsia="Times New Roman" w:hAnsi="Times New Roman"/>
          <w:sz w:val="18"/>
          <w:szCs w:val="18"/>
          <w:color w:val="auto"/>
        </w:rPr>
        <w:t>oncology systems. China represents a significantly underserved market for linacs based on the country’s population and cancer incidence rates on both an absolute and relative country basis.</w:t>
      </w:r>
    </w:p>
    <w:p>
      <w:pPr>
        <w:spacing w:after="0" w:line="162" w:lineRule="exact"/>
        <w:rPr>
          <w:sz w:val="20"/>
          <w:szCs w:val="20"/>
          <w:color w:val="auto"/>
        </w:rPr>
      </w:pPr>
    </w:p>
    <w:p>
      <w:pPr>
        <w:ind w:right="60" w:firstLine="255"/>
        <w:spacing w:after="0" w:line="256" w:lineRule="auto"/>
        <w:rPr>
          <w:sz w:val="20"/>
          <w:szCs w:val="20"/>
          <w:color w:val="auto"/>
        </w:rPr>
      </w:pPr>
      <w:r>
        <w:rPr>
          <w:rFonts w:ascii="Times New Roman" w:cs="Times New Roman" w:eastAsia="Times New Roman" w:hAnsi="Times New Roman"/>
          <w:sz w:val="18"/>
          <w:szCs w:val="18"/>
          <w:color w:val="auto"/>
        </w:rPr>
        <w:t>With the receipt of the necessary permits and licenses to operate, the JV has begun selling products in China, much like a distributor. The JV has begun to manufacture and sell a locally branded “Made in China” radiotherapy device, the Tomo C radiation therapy system, in the Class B license category. We believe this strategy will allow us to best maximize both near and longer-term opportunities in China. In September 2023, we received approval for our Class B device from the National Medical Products Administration (“NMPA”) and our Accuray Precision Treatment Planning System for the Class B device was approved by the NMPA in June 2024. The JV also distributes other Accuray treatment delivery systems like the Radixact and CyberKnife treatment delivery systems, including the Radixact SynC and CyberKnife S7 Systems, which received NMPA approval in January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Backlog</w:t>
      </w: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 order for the product portion of a system sales agreement to be included in backlog, it must meet the following criteria:</w:t>
      </w:r>
    </w:p>
    <w:p>
      <w:pPr>
        <w:spacing w:after="0" w:line="117" w:lineRule="exact"/>
        <w:rPr>
          <w:sz w:val="20"/>
          <w:szCs w:val="20"/>
          <w:color w:val="auto"/>
        </w:rPr>
      </w:pPr>
    </w:p>
    <w:p>
      <w:pPr>
        <w:ind w:left="1020" w:right="200" w:hanging="503"/>
        <w:spacing w:after="0" w:line="266"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 is properly executed by both the customer and us. A customer purchase order that incorporates the terms of our contract quote will be considered equivalent to a signed and executed contract. The contract has either cleared all its contingencies or contained no contingencies when signed;</w:t>
      </w:r>
    </w:p>
    <w:p>
      <w:pPr>
        <w:spacing w:after="0" w:line="67"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received a minimum deposit or a letter of credit; or the sale is to a customer where a deposit is deemed not necessary or customary (i.e., sale to a government entity, a large hospital, group of hospitals or cancer care group that has sufficient credit, customers with trade-in of existing equipment, sales via tender awards, or indirect channel sales that have signed contracts with end-customers);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end-customer site has been identified by the customer in the written contract or written amendment;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30 months have passed since the contract met all the criteria above.</w:t>
      </w:r>
    </w:p>
    <w:p>
      <w:pPr>
        <w:spacing w:after="0" w:line="225"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8"/>
          <w:szCs w:val="18"/>
          <w:color w:val="auto"/>
        </w:rPr>
        <w:t>Our backlog includes contractual agreements with our customers for the purchase of our CyberKnife or TomoTherapy platforms, including the Radixact Systems and related upgrades. The amount of backlog recognized into revenue is primarily impacted by three items: cancellations, age-outs and age-ins, and foreign currency fluctuations. We cannot provide assurance that we will convert backlog into recognized revenue, primarily due to factors outside of our control, such as:</w:t>
      </w:r>
    </w:p>
    <w:p>
      <w:pPr>
        <w:spacing w:after="0" w:line="72" w:lineRule="exact"/>
        <w:rPr>
          <w:sz w:val="20"/>
          <w:szCs w:val="20"/>
          <w:color w:val="auto"/>
        </w:rPr>
      </w:pPr>
    </w:p>
    <w:p>
      <w:pPr>
        <w:ind w:left="1020" w:hanging="503"/>
        <w:spacing w:after="0" w:line="266"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could be cancelled for reasons such as, changes in customers’ priorities or financial condition, changes in government or health insurance reimbursement policies, or changes to regulatory requirements. Cancellations are outside of our control and are difficult to forecast; however, we continue to work closely with our customers to minimize the impact of cancellations on our business;</w:t>
      </w:r>
    </w:p>
    <w:p>
      <w:pPr>
        <w:spacing w:after="0" w:line="67" w:lineRule="exact"/>
        <w:rPr>
          <w:rFonts w:ascii="Times New Roman" w:cs="Times New Roman" w:eastAsia="Times New Roman" w:hAnsi="Times New Roman"/>
          <w:sz w:val="18"/>
          <w:szCs w:val="18"/>
          <w:color w:val="auto"/>
        </w:rPr>
      </w:pPr>
    </w:p>
    <w:p>
      <w:pPr>
        <w:ind w:left="1020" w:right="160" w:hanging="503"/>
        <w:spacing w:after="0" w:line="258"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are considered aged-out and removed from reported backlog if we have not been able to recognize revenue on an agreement after 30 months. Agreements may age-out for many reasons, including but not limited to, the inability of the customer to pay, the inability of the customer to adapt their facilities to accommodate our products in a timely manner, or the inability to timely obtain licenses necessary for customer facilities or operation of our equipment. Age-ins represent orders that previously aged-out but have been recognized as revenue in the current period; and</w:t>
      </w:r>
    </w:p>
    <w:p>
      <w:pPr>
        <w:spacing w:after="0" w:line="75" w:lineRule="exact"/>
        <w:rPr>
          <w:rFonts w:ascii="Times New Roman" w:cs="Times New Roman" w:eastAsia="Times New Roman" w:hAnsi="Times New Roman"/>
          <w:sz w:val="18"/>
          <w:szCs w:val="18"/>
          <w:color w:val="auto"/>
        </w:rPr>
      </w:pPr>
    </w:p>
    <w:p>
      <w:pPr>
        <w:ind w:left="1020" w:right="200" w:hanging="503"/>
        <w:spacing w:after="0" w:line="261"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include amounts not denominated in U.S. Dollars and therefore, fluctuations in the U.S. Dollar as compared to other currencies will impact revenue. Generally, the strengthening of the U.S. Dollar will negatively impact revenue. Backlog is stated at historical foreign currency exchange rates, and revenue is released from backlog at current exchange rates, with any difference recorded as a backlog adjustment.</w:t>
      </w:r>
    </w:p>
    <w:p>
      <w:pPr>
        <w:spacing w:after="0" w:line="1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 summary of gross orders, net orders, and order backlog is as follows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20" w:type="dxa"/>
            <w:vAlign w:val="bottom"/>
            <w:gridSpan w:val="5"/>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3"/>
                <w:szCs w:val="13"/>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54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4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2"/>
                <w:szCs w:val="12"/>
                <w:color w:val="auto"/>
              </w:rPr>
            </w:pPr>
          </w:p>
        </w:tc>
      </w:tr>
      <w:tr>
        <w:trPr>
          <w:trHeight w:val="210"/>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orders</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76,762</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93,856</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132,127</w:t>
            </w: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157,590</w:t>
            </w:r>
          </w:p>
        </w:tc>
        <w:tc>
          <w:tcPr>
            <w:tcW w:w="100" w:type="dxa"/>
            <w:vAlign w:val="bottom"/>
            <w:shd w:val="clear" w:color="auto" w:fill="CFF0FC"/>
          </w:tcPr>
          <w:p>
            <w:pPr>
              <w:spacing w:after="0"/>
              <w:rPr>
                <w:sz w:val="18"/>
                <w:szCs w:val="18"/>
                <w:color w:val="auto"/>
              </w:rPr>
            </w:pPr>
          </w:p>
        </w:tc>
      </w:tr>
      <w:tr>
        <w:trPr>
          <w:trHeight w:val="216"/>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Age-ins</w:t>
            </w: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11,840</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4,846</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15,842</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13,572</w:t>
            </w:r>
          </w:p>
        </w:tc>
        <w:tc>
          <w:tcPr>
            <w:tcW w:w="100" w:type="dxa"/>
            <w:vAlign w:val="bottom"/>
          </w:tcPr>
          <w:p>
            <w:pPr>
              <w:spacing w:after="0"/>
              <w:rPr>
                <w:sz w:val="18"/>
                <w:szCs w:val="18"/>
                <w:color w:val="auto"/>
              </w:rPr>
            </w:pPr>
          </w:p>
        </w:tc>
      </w:tr>
      <w:tr>
        <w:trPr>
          <w:trHeight w:val="216"/>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Age-outs</w:t>
            </w:r>
          </w:p>
        </w:tc>
        <w:tc>
          <w:tcPr>
            <w:tcW w:w="3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(27,023 )</w:t>
            </w:r>
          </w:p>
        </w:tc>
        <w:tc>
          <w:tcPr>
            <w:tcW w:w="3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(40,366 )</w:t>
            </w:r>
          </w:p>
        </w:tc>
        <w:tc>
          <w:tcPr>
            <w:tcW w:w="2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(53,368 )</w:t>
            </w:r>
          </w:p>
        </w:tc>
        <w:tc>
          <w:tcPr>
            <w:tcW w:w="4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(71,359 )</w:t>
            </w:r>
          </w:p>
        </w:tc>
      </w:tr>
      <w:tr>
        <w:trPr>
          <w:trHeight w:val="216"/>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Cancellations</w:t>
            </w:r>
          </w:p>
        </w:tc>
        <w:tc>
          <w:tcPr>
            <w:tcW w:w="3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(2,010 )</w:t>
            </w: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(5,142 )</w:t>
            </w:r>
          </w:p>
        </w:tc>
        <w:tc>
          <w:tcPr>
            <w:tcW w:w="4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(8,841 )</w:t>
            </w:r>
          </w:p>
        </w:tc>
      </w:tr>
      <w:tr>
        <w:trPr>
          <w:trHeight w:val="216"/>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Currency impacts and other</w:t>
            </w:r>
          </w:p>
        </w:tc>
        <w:tc>
          <w:tcPr>
            <w:tcW w:w="3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(3,930 )</w:t>
            </w:r>
          </w:p>
        </w:tc>
        <w:tc>
          <w:tcPr>
            <w:tcW w:w="3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(3,730 )</w:t>
            </w:r>
          </w:p>
        </w:tc>
        <w:tc>
          <w:tcPr>
            <w:tcW w:w="2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(4,164 )</w:t>
            </w:r>
          </w:p>
        </w:tc>
        <w:tc>
          <w:tcPr>
            <w:tcW w:w="4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(4,616 )</w:t>
            </w:r>
          </w:p>
        </w:tc>
      </w:tr>
      <w:tr>
        <w:trPr>
          <w:trHeight w:val="209"/>
        </w:trPr>
        <w:tc>
          <w:tcPr>
            <w:tcW w:w="548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Net orders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55,639</w:t>
            </w:r>
          </w:p>
        </w:tc>
        <w:tc>
          <w:tcPr>
            <w:tcW w:w="28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54,606</w:t>
            </w:r>
          </w:p>
        </w:tc>
        <w:tc>
          <w:tcPr>
            <w:tcW w:w="280" w:type="dxa"/>
            <w:vAlign w:val="bottom"/>
            <w:tcBorders>
              <w:top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85,295</w:t>
            </w:r>
          </w:p>
        </w:tc>
        <w:tc>
          <w:tcPr>
            <w:tcW w:w="300" w:type="dxa"/>
            <w:vAlign w:val="bottom"/>
            <w:tcBorders>
              <w:top w:val="single" w:sz="8" w:color="CFF0FC"/>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86,346</w:t>
            </w:r>
          </w:p>
        </w:tc>
        <w:tc>
          <w:tcPr>
            <w:tcW w:w="100" w:type="dxa"/>
            <w:vAlign w:val="bottom"/>
            <w:tcBorders>
              <w:top w:val="single" w:sz="8" w:color="CFF0FC"/>
            </w:tcBorders>
          </w:tcPr>
          <w:p>
            <w:pPr>
              <w:spacing w:after="0"/>
              <w:rPr>
                <w:sz w:val="18"/>
                <w:szCs w:val="18"/>
                <w:color w:val="auto"/>
              </w:rPr>
            </w:pPr>
          </w:p>
        </w:tc>
      </w:tr>
      <w:tr>
        <w:trPr>
          <w:trHeight w:val="20"/>
        </w:trPr>
        <w:tc>
          <w:tcPr>
            <w:tcW w:w="54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48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Order backlog at the end of the period</w:t>
            </w:r>
          </w:p>
        </w:tc>
        <w:tc>
          <w:tcPr>
            <w:tcW w:w="340" w:type="dxa"/>
            <w:vAlign w:val="bottom"/>
            <w:tcBorders>
              <w:bottom w:val="single" w:sz="8" w:color="auto"/>
            </w:tcBorders>
            <w:shd w:val="clear" w:color="auto" w:fill="CFF0FC"/>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463,056</w:t>
            </w:r>
          </w:p>
        </w:tc>
        <w:tc>
          <w:tcPr>
            <w:tcW w:w="2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492,100</w:t>
            </w:r>
          </w:p>
        </w:tc>
        <w:tc>
          <w:tcPr>
            <w:tcW w:w="28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463,056</w:t>
            </w:r>
          </w:p>
        </w:tc>
        <w:tc>
          <w:tcPr>
            <w:tcW w:w="30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jc w:val="right"/>
              <w:ind w:right="2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492,100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628"/>
        </w:trPr>
        <w:tc>
          <w:tcPr>
            <w:tcW w:w="5480" w:type="dxa"/>
            <w:vAlign w:val="bottom"/>
          </w:tcPr>
          <w:p>
            <w:pPr>
              <w:spacing w:after="0"/>
              <w:rPr>
                <w:sz w:val="24"/>
                <w:szCs w:val="24"/>
                <w:color w:val="auto"/>
              </w:rPr>
            </w:pP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54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-1242060</wp:posOffset>
            </wp:positionV>
            <wp:extent cx="685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-1242060</wp:posOffset>
            </wp:positionV>
            <wp:extent cx="685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-1242060</wp:posOffset>
            </wp:positionV>
            <wp:extent cx="685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-1242060</wp:posOffset>
            </wp:positionV>
            <wp:extent cx="685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-933450</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-916305</wp:posOffset>
            </wp:positionV>
            <wp:extent cx="685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-933450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-916305</wp:posOffset>
            </wp:positionV>
            <wp:extent cx="685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-933450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-916305</wp:posOffset>
            </wp:positionV>
            <wp:extent cx="6858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4" w:name="page25"/>
    <w:bookmarkEnd w:id="24"/>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Orders and Book to Bill Ratio</w:t>
      </w: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Gross orders are defined as the sum of new orders recorded during the period, adjusted for any revisions to existing orders during the period.</w:t>
      </w:r>
    </w:p>
    <w:p>
      <w:pPr>
        <w:spacing w:after="0" w:line="185" w:lineRule="exact"/>
        <w:rPr>
          <w:sz w:val="20"/>
          <w:szCs w:val="20"/>
          <w:color w:val="auto"/>
        </w:rPr>
      </w:pPr>
    </w:p>
    <w:p>
      <w:pPr>
        <w:ind w:right="60" w:firstLine="255"/>
        <w:spacing w:after="0" w:line="261" w:lineRule="auto"/>
        <w:rPr>
          <w:sz w:val="20"/>
          <w:szCs w:val="20"/>
          <w:color w:val="auto"/>
        </w:rPr>
      </w:pPr>
      <w:r>
        <w:rPr>
          <w:rFonts w:ascii="Times New Roman" w:cs="Times New Roman" w:eastAsia="Times New Roman" w:hAnsi="Times New Roman"/>
          <w:sz w:val="18"/>
          <w:szCs w:val="18"/>
          <w:color w:val="auto"/>
        </w:rPr>
        <w:t>Gross orders decreased by $17.1 million and $25.5 million during the three and six months ended December 31, 2024, as compared to the same periods in the prior fiscal year, primarily due to a decrease of $17.3 million and $26.5 million, respectively, in CyberKnife System gross orders and upgrades gross orders. System gross orders primarily decreased in the Americas region, China and Japan and were partially offset by an increase in system gross orders from the EIMEA and Asia Pacific regions during three and six months ended December 31, 2024, as compared to the same periods in the prior fiscal year.</w:t>
      </w:r>
    </w:p>
    <w:p>
      <w:pPr>
        <w:spacing w:after="0" w:line="153" w:lineRule="exact"/>
        <w:rPr>
          <w:sz w:val="20"/>
          <w:szCs w:val="20"/>
          <w:color w:val="auto"/>
        </w:rPr>
      </w:pPr>
    </w:p>
    <w:p>
      <w:pPr>
        <w:ind w:right="220" w:firstLine="255"/>
        <w:spacing w:after="0" w:line="261" w:lineRule="auto"/>
        <w:rPr>
          <w:sz w:val="20"/>
          <w:szCs w:val="20"/>
          <w:color w:val="auto"/>
        </w:rPr>
      </w:pPr>
      <w:r>
        <w:rPr>
          <w:rFonts w:ascii="Times New Roman" w:cs="Times New Roman" w:eastAsia="Times New Roman" w:hAnsi="Times New Roman"/>
          <w:sz w:val="18"/>
          <w:szCs w:val="18"/>
          <w:color w:val="auto"/>
        </w:rPr>
        <w:t>Our book to bill ratio is defined as gross orders for the period divided by product revenue for the period. Our book to bill ratio was 1.3 and 1.2 during the three and six months ended December 31, 2024, respectively, as compared to 1.8 and 1.5 during the three and six months ended December 31, 2023, respectively. A book-to-bill ratio greater than 1.2 generally indicates strong demand for our products. This metric allows management to monitor our business development efforts to ensure we grow our backlog and our business over time.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Orders</w:t>
      </w:r>
    </w:p>
    <w:p>
      <w:pPr>
        <w:spacing w:after="0" w:line="189" w:lineRule="exact"/>
        <w:rPr>
          <w:sz w:val="20"/>
          <w:szCs w:val="20"/>
          <w:color w:val="auto"/>
        </w:rPr>
      </w:pPr>
    </w:p>
    <w:p>
      <w:pPr>
        <w:ind w:right="60" w:firstLine="255"/>
        <w:spacing w:after="0" w:line="261" w:lineRule="auto"/>
        <w:rPr>
          <w:sz w:val="20"/>
          <w:szCs w:val="20"/>
          <w:color w:val="auto"/>
        </w:rPr>
      </w:pPr>
      <w:r>
        <w:rPr>
          <w:rFonts w:ascii="Times New Roman" w:cs="Times New Roman" w:eastAsia="Times New Roman" w:hAnsi="Times New Roman"/>
          <w:sz w:val="18"/>
          <w:szCs w:val="18"/>
          <w:color w:val="auto"/>
        </w:rPr>
        <w:t>Net orders are defined as gross orders less cancellations, age-outs net of age-ins, foreign currency impacts and other adjustments during the period. Net orders increased by $1.0 million and decreased $1.1 million during the three and six months ended December 31, 2024, as compared to the same periods in the prior fiscal year, primarily due to lower cancellations fiscal year 2025 as compared to the same period in the prior fiscal year, partially offset by a decrease in gross orders.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 Three and six months ended December 31, 2024 and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w:t>
      </w: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Net revenue by sales classification is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120" w:type="dxa"/>
            <w:vAlign w:val="bottom"/>
            <w:tcBorders>
              <w:bottom w:val="single" w:sz="8" w:color="auto"/>
            </w:tcBorders>
            <w:gridSpan w:val="6"/>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26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6"/>
          </w:tcPr>
          <w:p>
            <w:pPr>
              <w:jc w:val="center"/>
              <w:ind w:left="577"/>
              <w:spacing w:after="0"/>
              <w:rPr>
                <w:sz w:val="20"/>
                <w:szCs w:val="20"/>
                <w:color w:val="auto"/>
              </w:rPr>
            </w:pPr>
            <w:r>
              <w:rPr>
                <w:rFonts w:ascii="Times New Roman" w:cs="Times New Roman" w:eastAsia="Times New Roman" w:hAnsi="Times New Roman"/>
                <w:sz w:val="14"/>
                <w:szCs w:val="14"/>
                <w:b w:val="1"/>
                <w:bCs w:val="1"/>
                <w:color w:val="auto"/>
              </w:rPr>
              <w:t>Six Months Ended December 31,</w:t>
            </w:r>
          </w:p>
        </w:tc>
        <w:tc>
          <w:tcPr>
            <w:tcW w:w="9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17"/>
        </w:trPr>
        <w:tc>
          <w:tcPr>
            <w:tcW w:w="3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tcPr>
          <w:p>
            <w:pPr>
              <w:ind w:left="260"/>
              <w:spacing w:after="0" w:line="118" w:lineRule="exact"/>
              <w:rPr>
                <w:sz w:val="20"/>
                <w:szCs w:val="20"/>
                <w:color w:val="auto"/>
              </w:rPr>
            </w:pPr>
            <w:r>
              <w:rPr>
                <w:rFonts w:ascii="Times New Roman" w:cs="Times New Roman" w:eastAsia="Times New Roman" w:hAnsi="Times New Roman"/>
                <w:sz w:val="13"/>
                <w:szCs w:val="13"/>
                <w:b w:val="1"/>
                <w:bCs w:val="1"/>
                <w:color w:val="auto"/>
              </w:rPr>
              <w:t>Percent</w:t>
            </w: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20" w:type="dxa"/>
            <w:vAlign w:val="bottom"/>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Percent</w:t>
            </w:r>
          </w:p>
        </w:tc>
        <w:tc>
          <w:tcPr>
            <w:tcW w:w="180" w:type="dxa"/>
            <w:vAlign w:val="bottom"/>
          </w:tcPr>
          <w:p>
            <w:pPr>
              <w:spacing w:after="0"/>
              <w:rPr>
                <w:sz w:val="10"/>
                <w:szCs w:val="10"/>
                <w:color w:val="auto"/>
              </w:rPr>
            </w:pPr>
          </w:p>
        </w:tc>
      </w:tr>
      <w:tr>
        <w:trPr>
          <w:trHeight w:val="173"/>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5"/>
                <w:szCs w:val="15"/>
                <w:color w:val="auto"/>
              </w:rPr>
            </w:pPr>
          </w:p>
        </w:tc>
        <w:tc>
          <w:tcPr>
            <w:tcW w:w="8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tcPr>
          <w:p>
            <w:pPr>
              <w:spacing w:after="0"/>
              <w:rPr>
                <w:sz w:val="15"/>
                <w:szCs w:val="15"/>
                <w:color w:val="auto"/>
              </w:rPr>
            </w:pPr>
          </w:p>
        </w:tc>
      </w:tr>
      <w:tr>
        <w:trPr>
          <w:trHeight w:val="210"/>
        </w:trPr>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Products (a)</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61,189</w:t>
            </w:r>
          </w:p>
        </w:tc>
        <w:tc>
          <w:tcPr>
            <w:tcW w:w="5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51,538</w:t>
            </w:r>
          </w:p>
        </w:tc>
        <w:tc>
          <w:tcPr>
            <w:tcW w:w="3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19 %</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109,558</w:t>
            </w:r>
          </w:p>
        </w:tc>
        <w:tc>
          <w:tcPr>
            <w:tcW w:w="5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center"/>
              <w:ind w:left="15"/>
              <w:spacing w:after="0"/>
              <w:rPr>
                <w:sz w:val="20"/>
                <w:szCs w:val="20"/>
                <w:color w:val="auto"/>
              </w:rPr>
            </w:pPr>
            <w:r>
              <w:rPr>
                <w:rFonts w:ascii="Times New Roman" w:cs="Times New Roman" w:eastAsia="Times New Roman" w:hAnsi="Times New Roman"/>
                <w:sz w:val="18"/>
                <w:szCs w:val="18"/>
                <w:color w:val="auto"/>
                <w:w w:val="99"/>
              </w:rPr>
              <w:t>104,888</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4 %</w:t>
            </w:r>
          </w:p>
        </w:tc>
      </w:tr>
      <w:tr>
        <w:trPr>
          <w:trHeight w:val="216"/>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Services (b)</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54,985</w:t>
            </w:r>
          </w:p>
        </w:tc>
        <w:tc>
          <w:tcPr>
            <w:tcW w:w="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55,700</w:t>
            </w: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(1 )%</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108,161</w:t>
            </w:r>
          </w:p>
        </w:tc>
        <w:tc>
          <w:tcPr>
            <w:tcW w:w="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ind w:left="15"/>
              <w:spacing w:after="0"/>
              <w:rPr>
                <w:sz w:val="20"/>
                <w:szCs w:val="20"/>
                <w:color w:val="auto"/>
              </w:rPr>
            </w:pPr>
            <w:r>
              <w:rPr>
                <w:rFonts w:ascii="Times New Roman" w:cs="Times New Roman" w:eastAsia="Times New Roman" w:hAnsi="Times New Roman"/>
                <w:sz w:val="18"/>
                <w:szCs w:val="18"/>
                <w:color w:val="auto"/>
                <w:w w:val="99"/>
              </w:rPr>
              <w:t>106,242</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2 %</w:t>
            </w:r>
          </w:p>
        </w:tc>
      </w:tr>
      <w:tr>
        <w:trPr>
          <w:trHeight w:val="250"/>
        </w:trPr>
        <w:tc>
          <w:tcPr>
            <w:tcW w:w="32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revenue</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116,174</w:t>
            </w:r>
          </w:p>
        </w:tc>
        <w:tc>
          <w:tcPr>
            <w:tcW w:w="3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107,238</w:t>
            </w:r>
          </w:p>
        </w:tc>
        <w:tc>
          <w:tcPr>
            <w:tcW w:w="30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8 %</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217,719</w:t>
            </w:r>
          </w:p>
        </w:tc>
        <w:tc>
          <w:tcPr>
            <w:tcW w:w="3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FF0FC"/>
          </w:tcPr>
          <w:p>
            <w:pPr>
              <w:jc w:val="center"/>
              <w:ind w:left="15"/>
              <w:spacing w:after="0"/>
              <w:rPr>
                <w:sz w:val="20"/>
                <w:szCs w:val="20"/>
                <w:color w:val="auto"/>
              </w:rPr>
            </w:pPr>
            <w:r>
              <w:rPr>
                <w:rFonts w:ascii="Times New Roman" w:cs="Times New Roman" w:eastAsia="Times New Roman" w:hAnsi="Times New Roman"/>
                <w:sz w:val="18"/>
                <w:szCs w:val="18"/>
                <w:color w:val="auto"/>
                <w:w w:val="99"/>
              </w:rPr>
              <w:t>211,130</w:t>
            </w:r>
          </w:p>
        </w:tc>
        <w:tc>
          <w:tcPr>
            <w:tcW w:w="2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2696845</wp:posOffset>
            </wp:positionH>
            <wp:positionV relativeFrom="paragraph">
              <wp:posOffset>-24765</wp:posOffset>
            </wp:positionV>
            <wp:extent cx="12001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-7620</wp:posOffset>
            </wp:positionV>
            <wp:extent cx="12001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-24765</wp:posOffset>
            </wp:positionV>
            <wp:extent cx="12001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-7620</wp:posOffset>
            </wp:positionV>
            <wp:extent cx="12001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-24765</wp:posOffset>
            </wp:positionV>
            <wp:extent cx="12001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-7620</wp:posOffset>
            </wp:positionV>
            <wp:extent cx="12001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-24765</wp:posOffset>
            </wp:positionV>
            <wp:extent cx="12001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12001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tbl>
      <w:tblPr>
        <w:tblLayout w:type="fixed"/>
        <w:tblInd w:w="20" w:type="dxa"/>
        <w:tblCellMar>
          <w:top w:w="0" w:type="dxa"/>
          <w:left w:w="0" w:type="dxa"/>
          <w:bottom w:w="0" w:type="dxa"/>
          <w:right w:w="0" w:type="dxa"/>
        </w:tblCellMar>
      </w:tblPr>
      <w:tr>
        <w:trPr>
          <w:trHeight w:val="198"/>
        </w:trPr>
        <w:tc>
          <w:tcPr>
            <w:tcW w:w="34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Products revenue as a percentage of net</w:t>
            </w:r>
          </w:p>
        </w:tc>
        <w:tc>
          <w:tcPr>
            <w:tcW w:w="14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14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53 %</w:t>
            </w:r>
          </w:p>
        </w:tc>
        <w:tc>
          <w:tcPr>
            <w:tcW w:w="198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48 %</w:t>
            </w:r>
          </w:p>
        </w:tc>
        <w:tc>
          <w:tcPr>
            <w:tcW w:w="19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50 %</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Service revenue as a percentage of net</w:t>
            </w:r>
          </w:p>
        </w:tc>
        <w:tc>
          <w:tcPr>
            <w:tcW w:w="14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4"/>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14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47 %</w:t>
            </w:r>
          </w:p>
        </w:tc>
        <w:tc>
          <w:tcPr>
            <w:tcW w:w="198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52 %</w:t>
            </w:r>
          </w:p>
        </w:tc>
        <w:tc>
          <w:tcPr>
            <w:tcW w:w="19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50 %</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r>
    </w:tbl>
    <w:p>
      <w:pPr>
        <w:spacing w:after="0" w:line="234" w:lineRule="exact"/>
        <w:rPr>
          <w:sz w:val="20"/>
          <w:szCs w:val="20"/>
          <w:color w:val="auto"/>
        </w:rPr>
      </w:pPr>
    </w:p>
    <w:p>
      <w:pPr>
        <w:ind w:left="580" w:right="480" w:hanging="378"/>
        <w:spacing w:after="0" w:line="261" w:lineRule="auto"/>
        <w:tabs>
          <w:tab w:leader="none" w:pos="5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sales of products to the joint venture, an equity method investment, of $29,722 and $58,366 during the three and six months ended December 31, 2024 and $17,890 and $39,842 during the three and six months ended December 31, 2023, respectively. See Note 12.</w:t>
      </w:r>
    </w:p>
    <w:p>
      <w:pPr>
        <w:spacing w:after="0" w:line="54" w:lineRule="exact"/>
        <w:rPr>
          <w:rFonts w:ascii="Times New Roman" w:cs="Times New Roman" w:eastAsia="Times New Roman" w:hAnsi="Times New Roman"/>
          <w:sz w:val="14"/>
          <w:szCs w:val="14"/>
          <w:color w:val="auto"/>
        </w:rPr>
      </w:pPr>
    </w:p>
    <w:p>
      <w:pPr>
        <w:ind w:left="580" w:right="260" w:hanging="378"/>
        <w:spacing w:after="0" w:line="261" w:lineRule="auto"/>
        <w:tabs>
          <w:tab w:leader="none" w:pos="5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sales of services to the joint venture, an equity method investment, of $5,179 and $9,237 during the three and six months ended December 31, 2024 and $4,134 and $6,988 during the three and six months ended December 31, 2023, respectively. See Note 12.</w:t>
      </w:r>
    </w:p>
    <w:p>
      <w:pPr>
        <w:spacing w:after="0" w:line="100" w:lineRule="exact"/>
        <w:rPr>
          <w:sz w:val="20"/>
          <w:szCs w:val="20"/>
          <w:color w:val="auto"/>
        </w:rPr>
      </w:pPr>
    </w:p>
    <w:p>
      <w:pPr>
        <w:jc w:val="both"/>
        <w:ind w:right="180" w:firstLine="281"/>
        <w:spacing w:after="0" w:line="266" w:lineRule="auto"/>
        <w:rPr>
          <w:sz w:val="20"/>
          <w:szCs w:val="20"/>
          <w:color w:val="auto"/>
        </w:rPr>
      </w:pPr>
      <w:r>
        <w:rPr>
          <w:rFonts w:ascii="Times New Roman" w:cs="Times New Roman" w:eastAsia="Times New Roman" w:hAnsi="Times New Roman"/>
          <w:sz w:val="18"/>
          <w:szCs w:val="18"/>
          <w:color w:val="auto"/>
        </w:rPr>
        <w:t>Products net revenue increased $9.7 million and $4.7 million during the three and six months ended December 31, 2024, respectively, as compared to the same periods in the prior fiscal year, mostly driven by a higher volume of shipments of system units of our CyberKnife System and system upgrades, partially offset by a lower volume of shipments of our TomoTherapy Systems.</w:t>
      </w:r>
    </w:p>
    <w:p>
      <w:pPr>
        <w:spacing w:after="0" w:line="176" w:lineRule="exact"/>
        <w:rPr>
          <w:sz w:val="20"/>
          <w:szCs w:val="20"/>
          <w:color w:val="auto"/>
        </w:rPr>
      </w:pPr>
    </w:p>
    <w:p>
      <w:pPr>
        <w:ind w:firstLine="281"/>
        <w:spacing w:after="0" w:line="261" w:lineRule="auto"/>
        <w:rPr>
          <w:sz w:val="20"/>
          <w:szCs w:val="20"/>
          <w:color w:val="auto"/>
        </w:rPr>
      </w:pPr>
      <w:r>
        <w:rPr>
          <w:rFonts w:ascii="Times New Roman" w:cs="Times New Roman" w:eastAsia="Times New Roman" w:hAnsi="Times New Roman"/>
          <w:sz w:val="18"/>
          <w:szCs w:val="18"/>
          <w:color w:val="auto"/>
        </w:rPr>
        <w:t>Services net revenue decreased $0.7 million during the three months ended December 31, 2024, as compared to the same period in the prior fiscal year, primarily due to a decrease in training revenue based on the timing of installations. Service net revenues increased $1.9 million during the six months ended December 31, 2024, as compared to the same period in the prior fiscal year, primarily due to higher contract revenues as a result of an increase in our installed base.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ind w:left="260"/>
        <w:spacing w:after="0"/>
        <w:rPr>
          <w:sz w:val="20"/>
          <w:szCs w:val="20"/>
          <w:color w:val="auto"/>
        </w:rPr>
      </w:pPr>
      <w:r>
        <w:rPr>
          <w:rFonts w:ascii="Times New Roman" w:cs="Times New Roman" w:eastAsia="Times New Roman" w:hAnsi="Times New Roman"/>
          <w:sz w:val="18"/>
          <w:szCs w:val="18"/>
          <w:color w:val="auto"/>
        </w:rPr>
        <w:t>Net revenue by geographic region, based on the shipping location of our customers, is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980" w:type="dxa"/>
            <w:vAlign w:val="bottom"/>
            <w:gridSpan w:val="6"/>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0" w:type="dxa"/>
            <w:vAlign w:val="bottom"/>
            <w:gridSpan w:val="7"/>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Six Months Ended December 31,</w:t>
            </w:r>
          </w:p>
        </w:tc>
      </w:tr>
      <w:tr>
        <w:trPr>
          <w:trHeight w:val="117"/>
        </w:trPr>
        <w:tc>
          <w:tcPr>
            <w:tcW w:w="374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ind w:left="300"/>
              <w:spacing w:after="0" w:line="118" w:lineRule="exact"/>
              <w:rPr>
                <w:sz w:val="20"/>
                <w:szCs w:val="20"/>
                <w:color w:val="auto"/>
              </w:rPr>
            </w:pPr>
            <w:r>
              <w:rPr>
                <w:rFonts w:ascii="Times New Roman" w:cs="Times New Roman" w:eastAsia="Times New Roman" w:hAnsi="Times New Roman"/>
                <w:sz w:val="13"/>
                <w:szCs w:val="13"/>
                <w:b w:val="1"/>
                <w:bCs w:val="1"/>
                <w:color w:val="auto"/>
              </w:rPr>
              <w:t>Percent</w:t>
            </w:r>
          </w:p>
        </w:tc>
        <w:tc>
          <w:tcPr>
            <w:tcW w:w="30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right"/>
              <w:ind w:right="171"/>
              <w:spacing w:after="0" w:line="118" w:lineRule="exact"/>
              <w:rPr>
                <w:sz w:val="20"/>
                <w:szCs w:val="20"/>
                <w:color w:val="auto"/>
              </w:rPr>
            </w:pPr>
            <w:r>
              <w:rPr>
                <w:rFonts w:ascii="Times New Roman" w:cs="Times New Roman" w:eastAsia="Times New Roman" w:hAnsi="Times New Roman"/>
                <w:sz w:val="13"/>
                <w:szCs w:val="13"/>
                <w:b w:val="1"/>
                <w:bCs w:val="1"/>
                <w:color w:val="auto"/>
              </w:rPr>
              <w:t>Percent</w:t>
            </w:r>
          </w:p>
        </w:tc>
        <w:tc>
          <w:tcPr>
            <w:tcW w:w="240" w:type="dxa"/>
            <w:vAlign w:val="bottom"/>
          </w:tcPr>
          <w:p>
            <w:pPr>
              <w:spacing w:after="0"/>
              <w:rPr>
                <w:sz w:val="10"/>
                <w:szCs w:val="10"/>
                <w:color w:val="auto"/>
              </w:rPr>
            </w:pPr>
          </w:p>
        </w:tc>
      </w:tr>
      <w:tr>
        <w:trPr>
          <w:trHeight w:val="173"/>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5"/>
                <w:szCs w:val="15"/>
                <w:color w:val="auto"/>
              </w:rPr>
            </w:pPr>
          </w:p>
        </w:tc>
        <w:tc>
          <w:tcPr>
            <w:tcW w:w="8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0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5"/>
                <w:szCs w:val="15"/>
                <w:color w:val="auto"/>
              </w:rPr>
            </w:pPr>
          </w:p>
        </w:tc>
        <w:tc>
          <w:tcPr>
            <w:tcW w:w="8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Pr>
          <w:p>
            <w:pPr>
              <w:spacing w:after="0"/>
              <w:rPr>
                <w:sz w:val="15"/>
                <w:szCs w:val="15"/>
                <w:color w:val="auto"/>
              </w:rPr>
            </w:pPr>
          </w:p>
        </w:tc>
      </w:tr>
      <w:tr>
        <w:trPr>
          <w:trHeight w:val="209"/>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17,135</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23,742</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(28 )%</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38,005</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44,299</w:t>
            </w:r>
          </w:p>
        </w:tc>
        <w:tc>
          <w:tcPr>
            <w:tcW w:w="13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(14 )%</w:t>
            </w:r>
          </w:p>
        </w:tc>
      </w:tr>
      <w:tr>
        <w:trPr>
          <w:trHeight w:val="216"/>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EIMEA</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38,924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43,800</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(11 )%</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64,818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83,333</w:t>
            </w:r>
          </w:p>
        </w:tc>
        <w:tc>
          <w:tcPr>
            <w:tcW w:w="13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(22 )%</w:t>
            </w:r>
          </w:p>
        </w:tc>
      </w:tr>
      <w:tr>
        <w:trPr>
          <w:trHeight w:val="216"/>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35,974</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23,375</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54 %</w:t>
            </w: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69,950</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49,590</w:t>
            </w:r>
          </w:p>
        </w:tc>
        <w:tc>
          <w:tcPr>
            <w:tcW w:w="13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41 %</w:t>
            </w:r>
          </w:p>
        </w:tc>
      </w:tr>
      <w:tr>
        <w:trPr>
          <w:trHeight w:val="216"/>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10,648</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41 %</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24,848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23,240</w:t>
            </w:r>
          </w:p>
        </w:tc>
        <w:tc>
          <w:tcPr>
            <w:tcW w:w="13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7 %</w:t>
            </w:r>
          </w:p>
        </w:tc>
      </w:tr>
      <w:tr>
        <w:trPr>
          <w:trHeight w:val="216"/>
        </w:trPr>
        <w:tc>
          <w:tcPr>
            <w:tcW w:w="3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24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9,158</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5,673</w:t>
            </w:r>
          </w:p>
        </w:tc>
        <w:tc>
          <w:tcPr>
            <w:tcW w:w="22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61 %</w:t>
            </w:r>
          </w:p>
        </w:tc>
        <w:tc>
          <w:tcPr>
            <w:tcW w:w="2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20,098</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10,668</w:t>
            </w:r>
          </w:p>
        </w:tc>
        <w:tc>
          <w:tcPr>
            <w:tcW w:w="1340" w:type="dxa"/>
            <w:vAlign w:val="bottom"/>
            <w:tcBorders>
              <w:bottom w:val="single" w:sz="8" w:color="CFF0FC"/>
            </w:tcBorders>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88 %</w:t>
            </w:r>
          </w:p>
        </w:tc>
      </w:tr>
      <w:tr>
        <w:trPr>
          <w:trHeight w:val="209"/>
        </w:trPr>
        <w:tc>
          <w:tcPr>
            <w:tcW w:w="3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revenue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116,174</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107,238</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8 %</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217,719</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211,130</w:t>
            </w:r>
          </w:p>
        </w:tc>
        <w:tc>
          <w:tcPr>
            <w:tcW w:w="13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3 %</w:t>
            </w:r>
          </w:p>
        </w:tc>
      </w:tr>
      <w:tr>
        <w:trPr>
          <w:trHeight w:val="20"/>
        </w:trPr>
        <w:tc>
          <w:tcPr>
            <w:tcW w:w="3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-170815</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-170815</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-170815</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-170815</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40" w:firstLine="255"/>
        <w:spacing w:after="0" w:line="258" w:lineRule="auto"/>
        <w:rPr>
          <w:sz w:val="20"/>
          <w:szCs w:val="20"/>
          <w:color w:val="auto"/>
        </w:rPr>
      </w:pPr>
      <w:r>
        <w:rPr>
          <w:rFonts w:ascii="Times New Roman" w:cs="Times New Roman" w:eastAsia="Times New Roman" w:hAnsi="Times New Roman"/>
          <w:sz w:val="18"/>
          <w:szCs w:val="18"/>
          <w:color w:val="auto"/>
        </w:rPr>
        <w:t>Net revenue increased $8.9 million and $6.6 million during the three and six months ended December 31, 2024, respectively, as compared to the same periods in the prior fiscal year, primarily due to a by a higher volume of shipments to China, the APAC region and Japan, partially offset by a lower volume of shipments to the EIMEA and Americas regions. Additionally, revenues from the Americas region are being negatively impacted by reduced budgets and lower capital deployment priority for radiotherapy equipment, along with longer customer installation timelines which we expect will continue to have an impact on net revenue through fiscal year 2026.</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0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60" w:type="dxa"/>
            <w:vAlign w:val="bottom"/>
            <w:gridSpan w:val="6"/>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Six Months Ended December 31,</w:t>
            </w:r>
          </w:p>
        </w:tc>
      </w:tr>
      <w:tr>
        <w:trPr>
          <w:trHeight w:val="117"/>
        </w:trPr>
        <w:tc>
          <w:tcPr>
            <w:tcW w:w="41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ind w:left="200"/>
              <w:spacing w:after="0" w:line="118" w:lineRule="exact"/>
              <w:rPr>
                <w:sz w:val="20"/>
                <w:szCs w:val="20"/>
                <w:color w:val="auto"/>
              </w:rPr>
            </w:pPr>
            <w:r>
              <w:rPr>
                <w:rFonts w:ascii="Times New Roman" w:cs="Times New Roman" w:eastAsia="Times New Roman" w:hAnsi="Times New Roman"/>
                <w:sz w:val="13"/>
                <w:szCs w:val="13"/>
                <w:b w:val="1"/>
                <w:bCs w:val="1"/>
                <w:color w:val="auto"/>
              </w:rPr>
              <w:t>Percent</w:t>
            </w:r>
          </w:p>
        </w:tc>
        <w:tc>
          <w:tcPr>
            <w:tcW w:w="22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ind w:left="200"/>
              <w:spacing w:after="0" w:line="118" w:lineRule="exact"/>
              <w:rPr>
                <w:sz w:val="20"/>
                <w:szCs w:val="20"/>
                <w:color w:val="auto"/>
              </w:rPr>
            </w:pPr>
            <w:r>
              <w:rPr>
                <w:rFonts w:ascii="Times New Roman" w:cs="Times New Roman" w:eastAsia="Times New Roman" w:hAnsi="Times New Roman"/>
                <w:sz w:val="13"/>
                <w:szCs w:val="13"/>
                <w:b w:val="1"/>
                <w:bCs w:val="1"/>
                <w:color w:val="auto"/>
              </w:rPr>
              <w:t>Percent</w:t>
            </w:r>
          </w:p>
        </w:tc>
        <w:tc>
          <w:tcPr>
            <w:tcW w:w="180" w:type="dxa"/>
            <w:vAlign w:val="bottom"/>
          </w:tcPr>
          <w:p>
            <w:pPr>
              <w:spacing w:after="0"/>
              <w:rPr>
                <w:sz w:val="10"/>
                <w:szCs w:val="10"/>
                <w:color w:val="auto"/>
              </w:rPr>
            </w:pPr>
          </w:p>
        </w:tc>
      </w:tr>
      <w:tr>
        <w:trPr>
          <w:trHeight w:val="173"/>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5"/>
                <w:szCs w:val="15"/>
                <w:color w:val="auto"/>
              </w:rPr>
            </w:pPr>
          </w:p>
        </w:tc>
        <w:tc>
          <w:tcPr>
            <w:tcW w:w="7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5"/>
                <w:szCs w:val="15"/>
                <w:color w:val="auto"/>
              </w:rPr>
            </w:pPr>
          </w:p>
        </w:tc>
        <w:tc>
          <w:tcPr>
            <w:tcW w:w="8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5"/>
                <w:szCs w:val="15"/>
                <w:color w:val="auto"/>
              </w:rPr>
            </w:pPr>
          </w:p>
        </w:tc>
        <w:tc>
          <w:tcPr>
            <w:tcW w:w="9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tcPr>
          <w:p>
            <w:pPr>
              <w:spacing w:after="0"/>
              <w:rPr>
                <w:sz w:val="15"/>
                <w:szCs w:val="15"/>
                <w:color w:val="auto"/>
              </w:rPr>
            </w:pPr>
          </w:p>
        </w:tc>
      </w:tr>
      <w:tr>
        <w:trPr>
          <w:trHeight w:val="210"/>
        </w:trPr>
        <w:tc>
          <w:tcPr>
            <w:tcW w:w="4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41,892</w:t>
            </w: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35,902</w:t>
            </w:r>
          </w:p>
        </w:tc>
        <w:tc>
          <w:tcPr>
            <w:tcW w:w="3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17 %  $</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76,361</w:t>
            </w:r>
          </w:p>
        </w:tc>
        <w:tc>
          <w:tcPr>
            <w:tcW w:w="3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75,395</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1 %</w:t>
            </w:r>
          </w:p>
        </w:tc>
      </w:tr>
      <w:tr>
        <w:trPr>
          <w:trHeight w:val="234"/>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gross profit as a percentage of net revenue</w:t>
            </w:r>
          </w:p>
        </w:tc>
        <w:tc>
          <w:tcPr>
            <w:tcW w:w="20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36.1 %</w:t>
            </w:r>
          </w:p>
        </w:tc>
        <w:tc>
          <w:tcPr>
            <w:tcW w:w="20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33.5 %</w:t>
            </w: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35.1 %</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35.7 %</w:t>
            </w: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179" w:lineRule="exact"/>
        <w:rPr>
          <w:sz w:val="20"/>
          <w:szCs w:val="20"/>
          <w:color w:val="auto"/>
        </w:rPr>
      </w:pPr>
    </w:p>
    <w:p>
      <w:pPr>
        <w:jc w:val="both"/>
        <w:ind w:right="360" w:firstLine="255"/>
        <w:spacing w:after="0" w:line="266" w:lineRule="auto"/>
        <w:rPr>
          <w:sz w:val="20"/>
          <w:szCs w:val="20"/>
          <w:color w:val="auto"/>
        </w:rPr>
      </w:pPr>
      <w:r>
        <w:rPr>
          <w:rFonts w:ascii="Times New Roman" w:cs="Times New Roman" w:eastAsia="Times New Roman" w:hAnsi="Times New Roman"/>
          <w:sz w:val="18"/>
          <w:szCs w:val="18"/>
          <w:color w:val="auto"/>
        </w:rPr>
        <w:t>Gross profit increased by $6.0 million and $1.0 million during the three and six months ended December 31, 2024, respectively, as compared to the same periods in the prior fiscal year. The increase in the three months ended December 31, 2024 was primarily due to a $2.6 million increase in the net deferred gross profit recognized on sales to the JV and a favorable product mix.</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20" w:type="dxa"/>
            <w:vAlign w:val="bottom"/>
            <w:gridSpan w:val="7"/>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200" w:type="dxa"/>
            <w:vAlign w:val="bottom"/>
          </w:tcPr>
          <w:p>
            <w:pPr>
              <w:spacing w:after="0"/>
              <w:rPr>
                <w:sz w:val="15"/>
                <w:szCs w:val="15"/>
                <w:color w:val="auto"/>
              </w:rPr>
            </w:pPr>
          </w:p>
        </w:tc>
        <w:tc>
          <w:tcPr>
            <w:tcW w:w="3420" w:type="dxa"/>
            <w:vAlign w:val="bottom"/>
            <w:gridSpan w:val="7"/>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Six Months Ended December 31,</w:t>
            </w:r>
          </w:p>
        </w:tc>
      </w:tr>
      <w:tr>
        <w:trPr>
          <w:trHeight w:val="117"/>
        </w:trPr>
        <w:tc>
          <w:tcPr>
            <w:tcW w:w="40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right"/>
              <w:ind w:right="191"/>
              <w:spacing w:after="0" w:line="118" w:lineRule="exact"/>
              <w:rPr>
                <w:sz w:val="20"/>
                <w:szCs w:val="20"/>
                <w:color w:val="auto"/>
              </w:rPr>
            </w:pPr>
            <w:r>
              <w:rPr>
                <w:rFonts w:ascii="Times New Roman" w:cs="Times New Roman" w:eastAsia="Times New Roman" w:hAnsi="Times New Roman"/>
                <w:sz w:val="13"/>
                <w:szCs w:val="13"/>
                <w:b w:val="1"/>
                <w:bCs w:val="1"/>
                <w:color w:val="auto"/>
              </w:rPr>
              <w:t>Percent</w:t>
            </w:r>
          </w:p>
        </w:tc>
        <w:tc>
          <w:tcPr>
            <w:tcW w:w="3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right"/>
              <w:ind w:right="191"/>
              <w:spacing w:after="0" w:line="118" w:lineRule="exact"/>
              <w:rPr>
                <w:sz w:val="20"/>
                <w:szCs w:val="20"/>
                <w:color w:val="auto"/>
              </w:rPr>
            </w:pPr>
            <w:r>
              <w:rPr>
                <w:rFonts w:ascii="Times New Roman" w:cs="Times New Roman" w:eastAsia="Times New Roman" w:hAnsi="Times New Roman"/>
                <w:sz w:val="13"/>
                <w:szCs w:val="13"/>
                <w:b w:val="1"/>
                <w:bCs w:val="1"/>
                <w:color w:val="auto"/>
              </w:rPr>
              <w:t>Percent</w:t>
            </w:r>
          </w:p>
        </w:tc>
        <w:tc>
          <w:tcPr>
            <w:tcW w:w="240" w:type="dxa"/>
            <w:vAlign w:val="bottom"/>
          </w:tcPr>
          <w:p>
            <w:pPr>
              <w:spacing w:after="0"/>
              <w:rPr>
                <w:sz w:val="10"/>
                <w:szCs w:val="10"/>
                <w:color w:val="auto"/>
              </w:rPr>
            </w:pPr>
          </w:p>
        </w:tc>
      </w:tr>
      <w:tr>
        <w:trPr>
          <w:trHeight w:val="173"/>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5"/>
                <w:szCs w:val="15"/>
                <w:color w:val="auto"/>
              </w:rPr>
            </w:pPr>
          </w:p>
        </w:tc>
        <w:tc>
          <w:tcPr>
            <w:tcW w:w="9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5"/>
                <w:szCs w:val="15"/>
                <w:color w:val="auto"/>
              </w:rPr>
            </w:pPr>
          </w:p>
        </w:tc>
        <w:tc>
          <w:tcPr>
            <w:tcW w:w="9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Pr>
          <w:p>
            <w:pPr>
              <w:spacing w:after="0"/>
              <w:rPr>
                <w:sz w:val="15"/>
                <w:szCs w:val="15"/>
                <w:color w:val="auto"/>
              </w:rPr>
            </w:pPr>
          </w:p>
        </w:tc>
      </w:tr>
      <w:tr>
        <w:trPr>
          <w:trHeight w:val="210"/>
        </w:trPr>
        <w:tc>
          <w:tcPr>
            <w:tcW w:w="4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13,644</w:t>
            </w:r>
          </w:p>
        </w:tc>
        <w:tc>
          <w:tcPr>
            <w:tcW w:w="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15,281</w:t>
            </w:r>
          </w:p>
        </w:tc>
        <w:tc>
          <w:tcPr>
            <w:tcW w:w="16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25,760</w:t>
            </w:r>
          </w:p>
        </w:tc>
        <w:tc>
          <w:tcPr>
            <w:tcW w:w="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29,294</w:t>
            </w:r>
          </w:p>
        </w:tc>
        <w:tc>
          <w:tcPr>
            <w:tcW w:w="14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(12 )%</w:t>
            </w:r>
          </w:p>
        </w:tc>
      </w:tr>
      <w:tr>
        <w:trPr>
          <w:trHeight w:val="216"/>
        </w:trPr>
        <w:tc>
          <w:tcPr>
            <w:tcW w:w="4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and marketing</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11,114</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11,361</w:t>
            </w:r>
          </w:p>
        </w:tc>
        <w:tc>
          <w:tcPr>
            <w:tcW w:w="16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(2 )%</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22,796</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21,605</w:t>
            </w:r>
          </w:p>
        </w:tc>
        <w:tc>
          <w:tcPr>
            <w:tcW w:w="14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6 %</w:t>
            </w:r>
          </w:p>
        </w:tc>
      </w:tr>
      <w:tr>
        <w:trPr>
          <w:trHeight w:val="216"/>
        </w:trPr>
        <w:tc>
          <w:tcPr>
            <w:tcW w:w="40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12,427</w:t>
            </w:r>
          </w:p>
        </w:tc>
        <w:tc>
          <w:tcPr>
            <w:tcW w:w="3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13,224</w:t>
            </w:r>
          </w:p>
        </w:tc>
        <w:tc>
          <w:tcPr>
            <w:tcW w:w="1620" w:type="dxa"/>
            <w:vAlign w:val="bottom"/>
            <w:tcBorders>
              <w:bottom w:val="single" w:sz="8" w:color="CFF0FC"/>
            </w:tcBorders>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(6 )%</w:t>
            </w:r>
          </w:p>
        </w:tc>
        <w:tc>
          <w:tcPr>
            <w:tcW w:w="20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25,247</w:t>
            </w:r>
          </w:p>
        </w:tc>
        <w:tc>
          <w:tcPr>
            <w:tcW w:w="3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26,247</w:t>
            </w:r>
          </w:p>
        </w:tc>
        <w:tc>
          <w:tcPr>
            <w:tcW w:w="1480" w:type="dxa"/>
            <w:vAlign w:val="bottom"/>
            <w:tcBorders>
              <w:bottom w:val="single" w:sz="8" w:color="CFF0FC"/>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(4 )%</w:t>
            </w:r>
          </w:p>
        </w:tc>
      </w:tr>
      <w:tr>
        <w:trPr>
          <w:trHeight w:val="210"/>
        </w:trPr>
        <w:tc>
          <w:tcPr>
            <w:tcW w:w="4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37,185</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39,866</w:t>
            </w:r>
          </w:p>
        </w:tc>
        <w:tc>
          <w:tcPr>
            <w:tcW w:w="16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73,803</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77,146</w:t>
            </w:r>
          </w:p>
        </w:tc>
        <w:tc>
          <w:tcPr>
            <w:tcW w:w="14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(4 )%</w:t>
            </w:r>
          </w:p>
        </w:tc>
      </w:tr>
      <w:tr>
        <w:trPr>
          <w:trHeight w:val="20"/>
        </w:trPr>
        <w:tc>
          <w:tcPr>
            <w:tcW w:w="40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3099435</wp:posOffset>
            </wp:positionH>
            <wp:positionV relativeFrom="paragraph">
              <wp:posOffset>-170815</wp:posOffset>
            </wp:positionV>
            <wp:extent cx="12001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-170815</wp:posOffset>
            </wp:positionV>
            <wp:extent cx="12001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-170815</wp:posOffset>
            </wp:positionV>
            <wp:extent cx="12001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-170815</wp:posOffset>
            </wp:positionV>
            <wp:extent cx="12001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tbl>
      <w:tblPr>
        <w:tblLayout w:type="fixed"/>
        <w:tblInd w:w="20" w:type="dxa"/>
        <w:tblCellMar>
          <w:top w:w="0" w:type="dxa"/>
          <w:left w:w="0" w:type="dxa"/>
          <w:bottom w:w="0" w:type="dxa"/>
          <w:right w:w="0" w:type="dxa"/>
        </w:tblCellMar>
      </w:tblPr>
      <w:tr>
        <w:trPr>
          <w:trHeight w:val="196"/>
        </w:trPr>
        <w:tc>
          <w:tcPr>
            <w:tcW w:w="4240" w:type="dxa"/>
            <w:vAlign w:val="bottom"/>
          </w:tcPr>
          <w:p>
            <w:pPr>
              <w:spacing w:after="0" w:line="195" w:lineRule="exact"/>
              <w:rPr>
                <w:sz w:val="20"/>
                <w:szCs w:val="20"/>
                <w:color w:val="auto"/>
              </w:rPr>
            </w:pPr>
            <w:r>
              <w:rPr>
                <w:rFonts w:ascii="Times New Roman" w:cs="Times New Roman" w:eastAsia="Times New Roman" w:hAnsi="Times New Roman"/>
                <w:sz w:val="18"/>
                <w:szCs w:val="18"/>
                <w:i w:val="1"/>
                <w:iCs w:val="1"/>
                <w:color w:val="auto"/>
              </w:rPr>
              <w:t>Research and development as a percentage of net</w:t>
            </w:r>
          </w:p>
        </w:tc>
        <w:tc>
          <w:tcPr>
            <w:tcW w:w="1160" w:type="dxa"/>
            <w:vAlign w:val="bottom"/>
          </w:tcPr>
          <w:p>
            <w:pPr>
              <w:jc w:val="right"/>
              <w:ind w:right="290"/>
              <w:spacing w:after="0" w:line="195" w:lineRule="exact"/>
              <w:rPr>
                <w:sz w:val="20"/>
                <w:szCs w:val="20"/>
                <w:color w:val="auto"/>
              </w:rPr>
            </w:pPr>
            <w:r>
              <w:rPr>
                <w:rFonts w:ascii="Times New Roman" w:cs="Times New Roman" w:eastAsia="Times New Roman" w:hAnsi="Times New Roman"/>
                <w:sz w:val="18"/>
                <w:szCs w:val="18"/>
                <w:i w:val="1"/>
                <w:iCs w:val="1"/>
                <w:color w:val="auto"/>
              </w:rPr>
              <w:t>12 %</w:t>
            </w:r>
          </w:p>
        </w:tc>
        <w:tc>
          <w:tcPr>
            <w:tcW w:w="1820" w:type="dxa"/>
            <w:vAlign w:val="bottom"/>
          </w:tcPr>
          <w:p>
            <w:pPr>
              <w:jc w:val="right"/>
              <w:ind w:right="990"/>
              <w:spacing w:after="0" w:line="195" w:lineRule="exact"/>
              <w:rPr>
                <w:sz w:val="20"/>
                <w:szCs w:val="20"/>
                <w:color w:val="auto"/>
              </w:rPr>
            </w:pPr>
            <w:r>
              <w:rPr>
                <w:rFonts w:ascii="Times New Roman" w:cs="Times New Roman" w:eastAsia="Times New Roman" w:hAnsi="Times New Roman"/>
                <w:sz w:val="18"/>
                <w:szCs w:val="18"/>
                <w:i w:val="1"/>
                <w:iCs w:val="1"/>
                <w:color w:val="auto"/>
              </w:rPr>
              <w:t>14 %</w:t>
            </w:r>
          </w:p>
        </w:tc>
        <w:tc>
          <w:tcPr>
            <w:tcW w:w="1880" w:type="dxa"/>
            <w:vAlign w:val="bottom"/>
          </w:tcPr>
          <w:p>
            <w:pPr>
              <w:jc w:val="right"/>
              <w:ind w:right="330"/>
              <w:spacing w:after="0" w:line="195" w:lineRule="exact"/>
              <w:rPr>
                <w:sz w:val="20"/>
                <w:szCs w:val="20"/>
                <w:color w:val="auto"/>
              </w:rPr>
            </w:pPr>
            <w:r>
              <w:rPr>
                <w:rFonts w:ascii="Times New Roman" w:cs="Times New Roman" w:eastAsia="Times New Roman" w:hAnsi="Times New Roman"/>
                <w:sz w:val="18"/>
                <w:szCs w:val="18"/>
                <w:i w:val="1"/>
                <w:iCs w:val="1"/>
                <w:color w:val="auto"/>
              </w:rPr>
              <w:t>12 %</w:t>
            </w:r>
          </w:p>
        </w:tc>
        <w:tc>
          <w:tcPr>
            <w:tcW w:w="8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i w:val="1"/>
                <w:iCs w:val="1"/>
                <w:color w:val="auto"/>
              </w:rPr>
              <w:t>14 %</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revenue</w:t>
            </w:r>
          </w:p>
        </w:tc>
        <w:tc>
          <w:tcPr>
            <w:tcW w:w="11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Selling and marketing as a percentage of net revenue</w:t>
            </w:r>
          </w:p>
        </w:tc>
        <w:tc>
          <w:tcPr>
            <w:tcW w:w="1160" w:type="dxa"/>
            <w:vAlign w:val="bottom"/>
          </w:tcPr>
          <w:p>
            <w:pPr>
              <w:jc w:val="right"/>
              <w:ind w:right="290"/>
              <w:spacing w:after="0"/>
              <w:rPr>
                <w:sz w:val="20"/>
                <w:szCs w:val="20"/>
                <w:color w:val="auto"/>
              </w:rPr>
            </w:pPr>
            <w:r>
              <w:rPr>
                <w:rFonts w:ascii="Times New Roman" w:cs="Times New Roman" w:eastAsia="Times New Roman" w:hAnsi="Times New Roman"/>
                <w:sz w:val="18"/>
                <w:szCs w:val="18"/>
                <w:i w:val="1"/>
                <w:iCs w:val="1"/>
                <w:color w:val="auto"/>
              </w:rPr>
              <w:t>10 %</w:t>
            </w:r>
          </w:p>
        </w:tc>
        <w:tc>
          <w:tcPr>
            <w:tcW w:w="1820" w:type="dxa"/>
            <w:vAlign w:val="bottom"/>
          </w:tcPr>
          <w:p>
            <w:pPr>
              <w:jc w:val="right"/>
              <w:ind w:right="990"/>
              <w:spacing w:after="0"/>
              <w:rPr>
                <w:sz w:val="20"/>
                <w:szCs w:val="20"/>
                <w:color w:val="auto"/>
              </w:rPr>
            </w:pPr>
            <w:r>
              <w:rPr>
                <w:rFonts w:ascii="Times New Roman" w:cs="Times New Roman" w:eastAsia="Times New Roman" w:hAnsi="Times New Roman"/>
                <w:sz w:val="18"/>
                <w:szCs w:val="18"/>
                <w:i w:val="1"/>
                <w:iCs w:val="1"/>
                <w:color w:val="auto"/>
              </w:rPr>
              <w:t>11 %</w:t>
            </w:r>
          </w:p>
        </w:tc>
        <w:tc>
          <w:tcPr>
            <w:tcW w:w="1880" w:type="dxa"/>
            <w:vAlign w:val="bottom"/>
          </w:tcPr>
          <w:p>
            <w:pPr>
              <w:jc w:val="right"/>
              <w:ind w:right="330"/>
              <w:spacing w:after="0"/>
              <w:rPr>
                <w:sz w:val="20"/>
                <w:szCs w:val="20"/>
                <w:color w:val="auto"/>
              </w:rPr>
            </w:pPr>
            <w:r>
              <w:rPr>
                <w:rFonts w:ascii="Times New Roman" w:cs="Times New Roman" w:eastAsia="Times New Roman" w:hAnsi="Times New Roman"/>
                <w:sz w:val="18"/>
                <w:szCs w:val="18"/>
                <w:i w:val="1"/>
                <w:iCs w:val="1"/>
                <w:color w:val="auto"/>
              </w:rPr>
              <w:t>10 %</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10 %</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General and administrative as a percentage of net</w:t>
            </w:r>
          </w:p>
        </w:tc>
        <w:tc>
          <w:tcPr>
            <w:tcW w:w="1160" w:type="dxa"/>
            <w:vAlign w:val="bottom"/>
          </w:tcPr>
          <w:p>
            <w:pPr>
              <w:jc w:val="right"/>
              <w:ind w:right="290"/>
              <w:spacing w:after="0"/>
              <w:rPr>
                <w:sz w:val="20"/>
                <w:szCs w:val="20"/>
                <w:color w:val="auto"/>
              </w:rPr>
            </w:pPr>
            <w:r>
              <w:rPr>
                <w:rFonts w:ascii="Times New Roman" w:cs="Times New Roman" w:eastAsia="Times New Roman" w:hAnsi="Times New Roman"/>
                <w:sz w:val="18"/>
                <w:szCs w:val="18"/>
                <w:i w:val="1"/>
                <w:iCs w:val="1"/>
                <w:color w:val="auto"/>
              </w:rPr>
              <w:t>11 %</w:t>
            </w:r>
          </w:p>
        </w:tc>
        <w:tc>
          <w:tcPr>
            <w:tcW w:w="1820" w:type="dxa"/>
            <w:vAlign w:val="bottom"/>
          </w:tcPr>
          <w:p>
            <w:pPr>
              <w:jc w:val="right"/>
              <w:ind w:right="990"/>
              <w:spacing w:after="0"/>
              <w:rPr>
                <w:sz w:val="20"/>
                <w:szCs w:val="20"/>
                <w:color w:val="auto"/>
              </w:rPr>
            </w:pPr>
            <w:r>
              <w:rPr>
                <w:rFonts w:ascii="Times New Roman" w:cs="Times New Roman" w:eastAsia="Times New Roman" w:hAnsi="Times New Roman"/>
                <w:sz w:val="18"/>
                <w:szCs w:val="18"/>
                <w:i w:val="1"/>
                <w:iCs w:val="1"/>
                <w:color w:val="auto"/>
              </w:rPr>
              <w:t>12 %</w:t>
            </w:r>
          </w:p>
        </w:tc>
        <w:tc>
          <w:tcPr>
            <w:tcW w:w="1880" w:type="dxa"/>
            <w:vAlign w:val="bottom"/>
          </w:tcPr>
          <w:p>
            <w:pPr>
              <w:jc w:val="right"/>
              <w:ind w:right="330"/>
              <w:spacing w:after="0"/>
              <w:rPr>
                <w:sz w:val="20"/>
                <w:szCs w:val="20"/>
                <w:color w:val="auto"/>
              </w:rPr>
            </w:pPr>
            <w:r>
              <w:rPr>
                <w:rFonts w:ascii="Times New Roman" w:cs="Times New Roman" w:eastAsia="Times New Roman" w:hAnsi="Times New Roman"/>
                <w:sz w:val="18"/>
                <w:szCs w:val="18"/>
                <w:i w:val="1"/>
                <w:iCs w:val="1"/>
                <w:color w:val="auto"/>
              </w:rPr>
              <w:t>12 %</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12 %</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revenue</w:t>
            </w:r>
          </w:p>
        </w:tc>
        <w:tc>
          <w:tcPr>
            <w:tcW w:w="11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Total operating expenses as a percentage of net</w:t>
            </w:r>
          </w:p>
        </w:tc>
        <w:tc>
          <w:tcPr>
            <w:tcW w:w="1160" w:type="dxa"/>
            <w:vAlign w:val="bottom"/>
          </w:tcPr>
          <w:p>
            <w:pPr>
              <w:jc w:val="right"/>
              <w:ind w:right="290"/>
              <w:spacing w:after="0"/>
              <w:rPr>
                <w:sz w:val="20"/>
                <w:szCs w:val="20"/>
                <w:color w:val="auto"/>
              </w:rPr>
            </w:pPr>
            <w:r>
              <w:rPr>
                <w:rFonts w:ascii="Times New Roman" w:cs="Times New Roman" w:eastAsia="Times New Roman" w:hAnsi="Times New Roman"/>
                <w:sz w:val="18"/>
                <w:szCs w:val="18"/>
                <w:i w:val="1"/>
                <w:iCs w:val="1"/>
                <w:color w:val="auto"/>
              </w:rPr>
              <w:t>32 %</w:t>
            </w:r>
          </w:p>
        </w:tc>
        <w:tc>
          <w:tcPr>
            <w:tcW w:w="1820" w:type="dxa"/>
            <w:vAlign w:val="bottom"/>
          </w:tcPr>
          <w:p>
            <w:pPr>
              <w:jc w:val="right"/>
              <w:ind w:right="990"/>
              <w:spacing w:after="0"/>
              <w:rPr>
                <w:sz w:val="20"/>
                <w:szCs w:val="20"/>
                <w:color w:val="auto"/>
              </w:rPr>
            </w:pPr>
            <w:r>
              <w:rPr>
                <w:rFonts w:ascii="Times New Roman" w:cs="Times New Roman" w:eastAsia="Times New Roman" w:hAnsi="Times New Roman"/>
                <w:sz w:val="18"/>
                <w:szCs w:val="18"/>
                <w:i w:val="1"/>
                <w:iCs w:val="1"/>
                <w:color w:val="auto"/>
              </w:rPr>
              <w:t>37 %</w:t>
            </w:r>
          </w:p>
        </w:tc>
        <w:tc>
          <w:tcPr>
            <w:tcW w:w="1880" w:type="dxa"/>
            <w:vAlign w:val="bottom"/>
          </w:tcPr>
          <w:p>
            <w:pPr>
              <w:jc w:val="right"/>
              <w:ind w:right="330"/>
              <w:spacing w:after="0"/>
              <w:rPr>
                <w:sz w:val="20"/>
                <w:szCs w:val="20"/>
                <w:color w:val="auto"/>
              </w:rPr>
            </w:pPr>
            <w:r>
              <w:rPr>
                <w:rFonts w:ascii="Times New Roman" w:cs="Times New Roman" w:eastAsia="Times New Roman" w:hAnsi="Times New Roman"/>
                <w:sz w:val="18"/>
                <w:szCs w:val="18"/>
                <w:i w:val="1"/>
                <w:iCs w:val="1"/>
                <w:color w:val="auto"/>
              </w:rPr>
              <w:t>34 %</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37 %</w:t>
            </w:r>
          </w:p>
        </w:tc>
      </w:tr>
      <w:tr>
        <w:trPr>
          <w:trHeight w:val="236"/>
        </w:trPr>
        <w:tc>
          <w:tcPr>
            <w:tcW w:w="42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revenue</w:t>
            </w:r>
          </w:p>
        </w:tc>
        <w:tc>
          <w:tcPr>
            <w:tcW w:w="11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pacing w:after="0" w:line="198" w:lineRule="exact"/>
        <w:rPr>
          <w:sz w:val="20"/>
          <w:szCs w:val="20"/>
          <w:color w:val="auto"/>
        </w:rPr>
      </w:pPr>
    </w:p>
    <w:p>
      <w:pPr>
        <w:ind w:right="360" w:firstLine="255"/>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decreased by $1.6 million and $3.5 million during the three and six months ended December 31, 2024, respectively, as compared to the same periods in the prior fiscal year primarily due to lower headcount and severance costs from the 2024 restructuring initiative in the second quarter of fiscal year 2024, partially offset by higher spending for research and development projects.</w:t>
      </w:r>
    </w:p>
    <w:p>
      <w:pPr>
        <w:spacing w:after="0" w:line="176" w:lineRule="exact"/>
        <w:rPr>
          <w:sz w:val="20"/>
          <w:szCs w:val="20"/>
          <w:color w:val="auto"/>
        </w:rPr>
      </w:pPr>
    </w:p>
    <w:p>
      <w:pPr>
        <w:jc w:val="both"/>
        <w:ind w:right="320" w:firstLine="255"/>
        <w:spacing w:after="0" w:line="266" w:lineRule="auto"/>
        <w:rPr>
          <w:sz w:val="20"/>
          <w:szCs w:val="20"/>
          <w:color w:val="auto"/>
        </w:rPr>
      </w:pPr>
      <w:r>
        <w:rPr>
          <w:rFonts w:ascii="Times New Roman" w:cs="Times New Roman" w:eastAsia="Times New Roman" w:hAnsi="Times New Roman"/>
          <w:sz w:val="18"/>
          <w:szCs w:val="18"/>
          <w:color w:val="auto"/>
        </w:rPr>
        <w:t>Selling and marketing expenses decreased by $0.2 million during the three months ended December 31, 2024 as compared to the same period in the prior fiscal year primarily due to a decrease of $1.0 million based on the timing of trade show costs, partially offset by an increase in compensation and benefits.</w:t>
      </w:r>
    </w:p>
    <w:p>
      <w:pPr>
        <w:spacing w:after="0" w:line="176" w:lineRule="exact"/>
        <w:rPr>
          <w:sz w:val="20"/>
          <w:szCs w:val="20"/>
          <w:color w:val="auto"/>
        </w:rPr>
      </w:pPr>
    </w:p>
    <w:p>
      <w:pPr>
        <w:ind w:right="260" w:firstLine="255"/>
        <w:spacing w:after="0" w:line="282" w:lineRule="auto"/>
        <w:rPr>
          <w:sz w:val="20"/>
          <w:szCs w:val="20"/>
          <w:color w:val="auto"/>
        </w:rPr>
      </w:pPr>
      <w:r>
        <w:rPr>
          <w:rFonts w:ascii="Times New Roman" w:cs="Times New Roman" w:eastAsia="Times New Roman" w:hAnsi="Times New Roman"/>
          <w:sz w:val="18"/>
          <w:szCs w:val="18"/>
          <w:color w:val="auto"/>
        </w:rPr>
        <w:t>Selling and marketing expenses increased by $1.2 million during the six months ended December 31, 2024, compared to the same period in the prior fiscal year primarily due to an increase in compensation and benefits and an increase in research grants.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26" w:name="page27"/>
    <w:bookmarkEnd w:id="26"/>
    <w:p>
      <w:pPr>
        <w:ind w:right="200" w:firstLine="255"/>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decreased by $0.8 million and $1.0 million during the three and six months ended December 31, 2024, as compared to the same periods in the prior fiscal year primarily due to a decrease in consulting costs in the current period related to the implementation of our ERP system in fiscal year 2024, and a decrease in facility costs partially offset by an increase in compensation and benefits.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(loss) on equity method investment, net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60" w:type="dxa"/>
            <w:vAlign w:val="bottom"/>
            <w:gridSpan w:val="8"/>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3200" w:type="dxa"/>
            <w:vAlign w:val="bottom"/>
            <w:gridSpan w:val="6"/>
          </w:tcPr>
          <w:p>
            <w:pPr>
              <w:jc w:val="center"/>
              <w:ind w:right="144"/>
              <w:spacing w:after="0"/>
              <w:rPr>
                <w:sz w:val="20"/>
                <w:szCs w:val="20"/>
                <w:color w:val="auto"/>
              </w:rPr>
            </w:pPr>
            <w:r>
              <w:rPr>
                <w:rFonts w:ascii="Times New Roman" w:cs="Times New Roman" w:eastAsia="Times New Roman" w:hAnsi="Times New Roman"/>
                <w:sz w:val="14"/>
                <w:szCs w:val="14"/>
                <w:b w:val="1"/>
                <w:bCs w:val="1"/>
                <w:color w:val="auto"/>
              </w:rPr>
              <w:t>Six Months Ended December 31,</w:t>
            </w:r>
          </w:p>
        </w:tc>
      </w:tr>
      <w:tr>
        <w:trPr>
          <w:trHeight w:val="117"/>
        </w:trPr>
        <w:tc>
          <w:tcPr>
            <w:tcW w:w="436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ind w:left="160"/>
              <w:spacing w:after="0" w:line="118" w:lineRule="exact"/>
              <w:rPr>
                <w:sz w:val="20"/>
                <w:szCs w:val="20"/>
                <w:color w:val="auto"/>
              </w:rPr>
            </w:pPr>
            <w:r>
              <w:rPr>
                <w:rFonts w:ascii="Times New Roman" w:cs="Times New Roman" w:eastAsia="Times New Roman" w:hAnsi="Times New Roman"/>
                <w:sz w:val="13"/>
                <w:szCs w:val="13"/>
                <w:b w:val="1"/>
                <w:bCs w:val="1"/>
                <w:color w:val="auto"/>
              </w:rPr>
              <w:t>Percent</w:t>
            </w:r>
          </w:p>
        </w:tc>
        <w:tc>
          <w:tcPr>
            <w:tcW w:w="34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Percent</w:t>
            </w:r>
          </w:p>
        </w:tc>
      </w:tr>
      <w:tr>
        <w:trPr>
          <w:trHeight w:val="173"/>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5"/>
                <w:szCs w:val="15"/>
                <w:color w:val="auto"/>
              </w:rPr>
            </w:pPr>
          </w:p>
        </w:tc>
        <w:tc>
          <w:tcPr>
            <w:tcW w:w="8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10"/>
        </w:trPr>
        <w:tc>
          <w:tcPr>
            <w:tcW w:w="4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Income (loss) from equity method investment, net</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(427 )</w:t>
            </w:r>
          </w:p>
        </w:tc>
        <w:tc>
          <w:tcPr>
            <w:tcW w:w="140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476 %  $</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shd w:val="clear" w:color="auto" w:fill="CFF0FC"/>
          </w:tcPr>
          <w:p>
            <w:pPr>
              <w:spacing w:after="0"/>
              <w:rPr>
                <w:sz w:val="18"/>
                <w:szCs w:val="18"/>
                <w:color w:val="auto"/>
              </w:rPr>
            </w:pPr>
          </w:p>
        </w:tc>
        <w:tc>
          <w:tcPr>
            <w:tcW w:w="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r>
    </w:tbl>
    <w:p>
      <w:pPr>
        <w:spacing w:after="0" w:line="198" w:lineRule="exact"/>
        <w:rPr>
          <w:sz w:val="20"/>
          <w:szCs w:val="20"/>
          <w:color w:val="auto"/>
        </w:rPr>
      </w:pPr>
    </w:p>
    <w:p>
      <w:pPr>
        <w:ind w:right="140" w:firstLine="281"/>
        <w:spacing w:after="0" w:line="266" w:lineRule="auto"/>
        <w:rPr>
          <w:sz w:val="20"/>
          <w:szCs w:val="20"/>
          <w:color w:val="auto"/>
        </w:rPr>
      </w:pPr>
      <w:r>
        <w:rPr>
          <w:rFonts w:ascii="Times New Roman" w:cs="Times New Roman" w:eastAsia="Times New Roman" w:hAnsi="Times New Roman"/>
          <w:sz w:val="18"/>
          <w:szCs w:val="18"/>
          <w:color w:val="auto"/>
        </w:rPr>
        <w:t>Income (loss) from equity method investment, which relates to our JV, increased by $2.0 million and $1.5 million during the three and six months ended December 31, 2024, respectively, as compared to the same periods in the prior fiscal year, primarily due to a higher volume of shipments of system units by the JV and higher service revenue due to the increase in installed base in China.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40" w:type="dxa"/>
            <w:vAlign w:val="bottom"/>
            <w:gridSpan w:val="6"/>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540" w:type="dxa"/>
            <w:vAlign w:val="bottom"/>
            <w:gridSpan w:val="6"/>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Six Months Ended December 31,</w:t>
            </w:r>
          </w:p>
        </w:tc>
      </w:tr>
      <w:tr>
        <w:trPr>
          <w:trHeight w:val="117"/>
        </w:trPr>
        <w:tc>
          <w:tcPr>
            <w:tcW w:w="42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ind w:left="220"/>
              <w:spacing w:after="0" w:line="118" w:lineRule="exact"/>
              <w:rPr>
                <w:sz w:val="20"/>
                <w:szCs w:val="20"/>
                <w:color w:val="auto"/>
              </w:rPr>
            </w:pPr>
            <w:r>
              <w:rPr>
                <w:rFonts w:ascii="Times New Roman" w:cs="Times New Roman" w:eastAsia="Times New Roman" w:hAnsi="Times New Roman"/>
                <w:sz w:val="13"/>
                <w:szCs w:val="13"/>
                <w:b w:val="1"/>
                <w:bCs w:val="1"/>
                <w:color w:val="auto"/>
              </w:rPr>
              <w:t>Percent</w:t>
            </w:r>
          </w:p>
        </w:tc>
        <w:tc>
          <w:tcPr>
            <w:tcW w:w="22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ind w:left="240"/>
              <w:spacing w:after="0" w:line="118" w:lineRule="exact"/>
              <w:rPr>
                <w:sz w:val="20"/>
                <w:szCs w:val="20"/>
                <w:color w:val="auto"/>
              </w:rPr>
            </w:pPr>
            <w:r>
              <w:rPr>
                <w:rFonts w:ascii="Times New Roman" w:cs="Times New Roman" w:eastAsia="Times New Roman" w:hAnsi="Times New Roman"/>
                <w:sz w:val="13"/>
                <w:szCs w:val="13"/>
                <w:b w:val="1"/>
                <w:bCs w:val="1"/>
                <w:color w:val="auto"/>
              </w:rPr>
              <w:t>Percent</w:t>
            </w:r>
          </w:p>
        </w:tc>
        <w:tc>
          <w:tcPr>
            <w:tcW w:w="240" w:type="dxa"/>
            <w:vAlign w:val="bottom"/>
          </w:tcPr>
          <w:p>
            <w:pPr>
              <w:spacing w:after="0"/>
              <w:rPr>
                <w:sz w:val="10"/>
                <w:szCs w:val="10"/>
                <w:color w:val="auto"/>
              </w:rPr>
            </w:pPr>
          </w:p>
        </w:tc>
      </w:tr>
      <w:tr>
        <w:trPr>
          <w:trHeight w:val="173"/>
        </w:trPr>
        <w:tc>
          <w:tcPr>
            <w:tcW w:w="4200" w:type="dxa"/>
            <w:vAlign w:val="bottom"/>
          </w:tcPr>
          <w:p>
            <w:pPr>
              <w:jc w:val="center"/>
              <w:ind w:right="2719"/>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5"/>
                <w:szCs w:val="15"/>
                <w:color w:val="auto"/>
              </w:rPr>
            </w:pPr>
          </w:p>
        </w:tc>
        <w:tc>
          <w:tcPr>
            <w:tcW w:w="7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9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5"/>
                <w:szCs w:val="15"/>
                <w:color w:val="auto"/>
              </w:rPr>
            </w:pPr>
          </w:p>
        </w:tc>
        <w:tc>
          <w:tcPr>
            <w:tcW w:w="9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Pr>
          <w:p>
            <w:pPr>
              <w:spacing w:after="0"/>
              <w:rPr>
                <w:sz w:val="15"/>
                <w:szCs w:val="15"/>
                <w:color w:val="auto"/>
              </w:rPr>
            </w:pPr>
          </w:p>
        </w:tc>
      </w:tr>
      <w:tr>
        <w:trPr>
          <w:trHeight w:val="209"/>
        </w:trPr>
        <w:tc>
          <w:tcPr>
            <w:tcW w:w="4200" w:type="dxa"/>
            <w:vAlign w:val="bottom"/>
            <w:shd w:val="clear" w:color="auto" w:fill="CFF0FC"/>
          </w:tcPr>
          <w:p>
            <w:pPr>
              <w:jc w:val="center"/>
              <w:ind w:right="2719"/>
              <w:spacing w:after="0"/>
              <w:rPr>
                <w:sz w:val="20"/>
                <w:szCs w:val="20"/>
                <w:color w:val="auto"/>
              </w:rPr>
            </w:pPr>
            <w:r>
              <w:rPr>
                <w:rFonts w:ascii="Times New Roman" w:cs="Times New Roman" w:eastAsia="Times New Roman" w:hAnsi="Times New Roman"/>
                <w:sz w:val="18"/>
                <w:szCs w:val="18"/>
                <w:color w:val="auto"/>
                <w:w w:val="99"/>
              </w:rPr>
              <w:t>Interest expense</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(2,883 )  $</w:t>
            </w: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(2,922 )</w:t>
            </w:r>
          </w:p>
        </w:tc>
        <w:tc>
          <w:tcPr>
            <w:tcW w:w="74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(1 )%</w:t>
            </w: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(5,838 )</w:t>
            </w: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(5,844 )</w:t>
            </w: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(0 )%</w:t>
            </w:r>
          </w:p>
        </w:tc>
      </w:tr>
    </w:tbl>
    <w:p>
      <w:pPr>
        <w:spacing w:after="0" w:line="198" w:lineRule="exact"/>
        <w:rPr>
          <w:sz w:val="20"/>
          <w:szCs w:val="20"/>
          <w:color w:val="auto"/>
        </w:rPr>
      </w:pPr>
    </w:p>
    <w:p>
      <w:pPr>
        <w:ind w:right="520" w:firstLine="255"/>
        <w:spacing w:after="0" w:line="282" w:lineRule="auto"/>
        <w:rPr>
          <w:sz w:val="20"/>
          <w:szCs w:val="20"/>
          <w:color w:val="auto"/>
        </w:rPr>
      </w:pPr>
      <w:r>
        <w:rPr>
          <w:rFonts w:ascii="Times New Roman" w:cs="Times New Roman" w:eastAsia="Times New Roman" w:hAnsi="Times New Roman"/>
          <w:sz w:val="18"/>
          <w:szCs w:val="18"/>
          <w:color w:val="auto"/>
        </w:rPr>
        <w:t>Interest expense remained flat during the three and six months ended December 31, 2024, as compared to the same period in the prior fiscal year, primarily due to lower average interest rates, mostly offset by higher average outstanding balances on our Credit Facilities in fiscal year 2025.</w:t>
      </w:r>
    </w:p>
    <w:p>
      <w:pPr>
        <w:sectPr>
          <w:pgSz w:w="11900" w:h="16838" w:orient="portrait"/>
          <w:cols w:equalWidth="0" w:num="1">
            <w:col w:w="11240"/>
          </w:cols>
          <w:pgMar w:left="320" w:top="1309" w:right="339" w:bottom="1440" w:gutter="0" w:footer="0" w:header="0"/>
        </w:sectPr>
      </w:pP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 net</w:t>
      </w:r>
    </w:p>
    <w:p>
      <w:pPr>
        <w:spacing w:after="0" w:line="200" w:lineRule="exact"/>
        <w:rPr>
          <w:sz w:val="20"/>
          <w:szCs w:val="20"/>
          <w:color w:val="auto"/>
        </w:rPr>
      </w:pPr>
    </w:p>
    <w:p>
      <w:pPr>
        <w:spacing w:after="0" w:line="3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Interest income</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Foreign currency exchange gain (loss)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Costs for hedging activities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net</w:t>
      </w:r>
    </w:p>
    <w:p>
      <w:pPr>
        <w:spacing w:after="0" w:line="4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Total other income (expense),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220" w:type="dxa"/>
            <w:vAlign w:val="bottom"/>
          </w:tcPr>
          <w:p>
            <w:pPr>
              <w:spacing w:after="0"/>
              <w:rPr>
                <w:sz w:val="15"/>
                <w:szCs w:val="15"/>
                <w:color w:val="auto"/>
              </w:rPr>
            </w:pPr>
          </w:p>
        </w:tc>
        <w:tc>
          <w:tcPr>
            <w:tcW w:w="3520" w:type="dxa"/>
            <w:vAlign w:val="bottom"/>
            <w:gridSpan w:val="8"/>
          </w:tcPr>
          <w:p>
            <w:pPr>
              <w:jc w:val="right"/>
              <w:ind w:right="99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3200" w:type="dxa"/>
            <w:vAlign w:val="bottom"/>
            <w:gridSpan w:val="7"/>
          </w:tcPr>
          <w:p>
            <w:pPr>
              <w:jc w:val="right"/>
              <w:ind w:right="730"/>
              <w:spacing w:after="0"/>
              <w:rPr>
                <w:sz w:val="20"/>
                <w:szCs w:val="20"/>
                <w:color w:val="auto"/>
              </w:rPr>
            </w:pPr>
            <w:r>
              <w:rPr>
                <w:rFonts w:ascii="Times New Roman" w:cs="Times New Roman" w:eastAsia="Times New Roman" w:hAnsi="Times New Roman"/>
                <w:sz w:val="14"/>
                <w:szCs w:val="14"/>
                <w:b w:val="1"/>
                <w:bCs w:val="1"/>
                <w:color w:val="auto"/>
              </w:rPr>
              <w:t>Six Months Ended December 31,</w:t>
            </w:r>
          </w:p>
        </w:tc>
        <w:tc>
          <w:tcPr>
            <w:tcW w:w="0" w:type="dxa"/>
            <w:vAlign w:val="bottom"/>
          </w:tcPr>
          <w:p>
            <w:pPr>
              <w:spacing w:after="0"/>
              <w:rPr>
                <w:sz w:val="1"/>
                <w:szCs w:val="1"/>
                <w:color w:val="auto"/>
              </w:rPr>
            </w:pPr>
          </w:p>
        </w:tc>
      </w:tr>
      <w:tr>
        <w:trPr>
          <w:trHeight w:val="117"/>
        </w:trPr>
        <w:tc>
          <w:tcPr>
            <w:tcW w:w="2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vMerge w:val="restart"/>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ind w:left="160"/>
              <w:spacing w:after="0" w:line="118" w:lineRule="exact"/>
              <w:rPr>
                <w:sz w:val="20"/>
                <w:szCs w:val="20"/>
                <w:color w:val="auto"/>
              </w:rPr>
            </w:pPr>
            <w:r>
              <w:rPr>
                <w:rFonts w:ascii="Times New Roman" w:cs="Times New Roman" w:eastAsia="Times New Roman" w:hAnsi="Times New Roman"/>
                <w:sz w:val="13"/>
                <w:szCs w:val="13"/>
                <w:b w:val="1"/>
                <w:bCs w:val="1"/>
                <w:color w:val="auto"/>
              </w:rPr>
              <w:t>Percent</w:t>
            </w:r>
          </w:p>
        </w:tc>
        <w:tc>
          <w:tcPr>
            <w:tcW w:w="4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vMerge w:val="restart"/>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ind w:right="116"/>
              <w:spacing w:after="0" w:line="118" w:lineRule="exact"/>
              <w:rPr>
                <w:sz w:val="20"/>
                <w:szCs w:val="20"/>
                <w:color w:val="auto"/>
              </w:rPr>
            </w:pPr>
            <w:r>
              <w:rPr>
                <w:rFonts w:ascii="Times New Roman" w:cs="Times New Roman" w:eastAsia="Times New Roman" w:hAnsi="Times New Roman"/>
                <w:sz w:val="13"/>
                <w:szCs w:val="13"/>
                <w:b w:val="1"/>
                <w:bCs w:val="1"/>
                <w:color w:val="auto"/>
              </w:rPr>
              <w:t>Percent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1"/>
        </w:trPr>
        <w:tc>
          <w:tcPr>
            <w:tcW w:w="220" w:type="dxa"/>
            <w:vAlign w:val="bottom"/>
            <w:tcBorders>
              <w:top w:val="single" w:sz="8" w:color="auto"/>
            </w:tcBorders>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278</w:t>
            </w:r>
          </w:p>
        </w:tc>
        <w:tc>
          <w:tcPr>
            <w:tcW w:w="240" w:type="dxa"/>
            <w:vAlign w:val="bottom"/>
          </w:tcPr>
          <w:p>
            <w:pPr>
              <w:spacing w:after="0"/>
              <w:rPr>
                <w:sz w:val="16"/>
                <w:szCs w:val="16"/>
                <w:color w:val="auto"/>
              </w:rPr>
            </w:pPr>
          </w:p>
        </w:tc>
        <w:tc>
          <w:tcPr>
            <w:tcW w:w="2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267</w:t>
            </w:r>
          </w:p>
        </w:tc>
        <w:tc>
          <w:tcPr>
            <w:tcW w:w="220" w:type="dxa"/>
            <w:vAlign w:val="bottom"/>
          </w:tcPr>
          <w:p>
            <w:pPr>
              <w:spacing w:after="0"/>
              <w:rPr>
                <w:sz w:val="16"/>
                <w:szCs w:val="16"/>
                <w:color w:val="auto"/>
              </w:rPr>
            </w:pPr>
          </w:p>
        </w:tc>
        <w:tc>
          <w:tcPr>
            <w:tcW w:w="8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4</w:t>
            </w:r>
          </w:p>
        </w:tc>
        <w:tc>
          <w:tcPr>
            <w:tcW w:w="400" w:type="dxa"/>
            <w:vAlign w:val="bottom"/>
          </w:tcPr>
          <w:p>
            <w:pPr>
              <w:jc w:val="right"/>
              <w:ind w:right="150"/>
              <w:spacing w:after="0" w:line="191" w:lineRule="exact"/>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581</w:t>
            </w:r>
          </w:p>
        </w:tc>
        <w:tc>
          <w:tcPr>
            <w:tcW w:w="2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653</w:t>
            </w:r>
          </w:p>
        </w:tc>
        <w:tc>
          <w:tcPr>
            <w:tcW w:w="220" w:type="dxa"/>
            <w:vAlign w:val="bottom"/>
          </w:tcPr>
          <w:p>
            <w:pPr>
              <w:spacing w:after="0"/>
              <w:rPr>
                <w:sz w:val="16"/>
                <w:szCs w:val="16"/>
                <w:color w:val="auto"/>
              </w:rPr>
            </w:pPr>
          </w:p>
        </w:tc>
        <w:tc>
          <w:tcPr>
            <w:tcW w:w="8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(1,278 )</w:t>
            </w:r>
          </w:p>
        </w:tc>
        <w:tc>
          <w:tcPr>
            <w:tcW w:w="12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114 %</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(2,234 )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205 %</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9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(626 )</w:t>
            </w:r>
          </w:p>
        </w:tc>
        <w:tc>
          <w:tcPr>
            <w:tcW w:w="200" w:type="dxa"/>
            <w:vAlign w:val="bottom"/>
          </w:tcPr>
          <w:p>
            <w:pPr>
              <w:spacing w:after="0"/>
              <w:rPr>
                <w:sz w:val="18"/>
                <w:szCs w:val="18"/>
                <w:color w:val="auto"/>
              </w:rPr>
            </w:pPr>
          </w:p>
        </w:tc>
        <w:tc>
          <w:tcPr>
            <w:tcW w:w="9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(403 )</w:t>
            </w:r>
          </w:p>
        </w:tc>
        <w:tc>
          <w:tcPr>
            <w:tcW w:w="12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55 %</w:t>
            </w:r>
          </w:p>
        </w:tc>
        <w:tc>
          <w:tcPr>
            <w:tcW w:w="2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(1,196 )</w:t>
            </w:r>
          </w:p>
        </w:tc>
        <w:tc>
          <w:tcPr>
            <w:tcW w:w="220" w:type="dxa"/>
            <w:vAlign w:val="bottom"/>
          </w:tcPr>
          <w:p>
            <w:pPr>
              <w:spacing w:after="0"/>
              <w:rPr>
                <w:sz w:val="18"/>
                <w:szCs w:val="18"/>
                <w:color w:val="auto"/>
              </w:rPr>
            </w:pPr>
          </w:p>
        </w:tc>
        <w:tc>
          <w:tcPr>
            <w:tcW w:w="9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(688 )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9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(25 )</w:t>
            </w:r>
          </w:p>
        </w:tc>
        <w:tc>
          <w:tcPr>
            <w:tcW w:w="200" w:type="dxa"/>
            <w:vAlign w:val="bottom"/>
          </w:tcPr>
          <w:p>
            <w:pPr>
              <w:spacing w:after="0"/>
              <w:rPr>
                <w:sz w:val="20"/>
                <w:szCs w:val="20"/>
                <w:color w:val="auto"/>
              </w:rPr>
            </w:pPr>
          </w:p>
        </w:tc>
        <w:tc>
          <w:tcPr>
            <w:tcW w:w="9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(16 )</w:t>
            </w:r>
          </w:p>
        </w:tc>
        <w:tc>
          <w:tcPr>
            <w:tcW w:w="12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(56 )%</w:t>
            </w:r>
          </w:p>
        </w:tc>
        <w:tc>
          <w:tcPr>
            <w:tcW w:w="20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(85 )</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(206 )%</w:t>
            </w:r>
          </w:p>
        </w:tc>
        <w:tc>
          <w:tcPr>
            <w:tcW w:w="0" w:type="dxa"/>
            <w:vAlign w:val="bottom"/>
          </w:tcPr>
          <w:p>
            <w:pPr>
              <w:spacing w:after="0"/>
              <w:rPr>
                <w:sz w:val="1"/>
                <w:szCs w:val="1"/>
                <w:color w:val="auto"/>
              </w:rPr>
            </w:pPr>
          </w:p>
        </w:tc>
      </w:tr>
      <w:tr>
        <w:trPr>
          <w:trHeight w:val="209"/>
        </w:trPr>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12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(86 )%</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2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(2,189</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0" w:type="dxa"/>
            <w:vAlign w:val="bottom"/>
          </w:tcPr>
          <w:p>
            <w:pPr>
              <w:spacing w:after="0"/>
              <w:rPr>
                <w:sz w:val="1"/>
                <w:szCs w:val="1"/>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-2712085</wp:posOffset>
            </wp:positionH>
            <wp:positionV relativeFrom="paragraph">
              <wp:posOffset>-719455</wp:posOffset>
            </wp:positionV>
            <wp:extent cx="7132320" cy="13716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-445135</wp:posOffset>
            </wp:positionV>
            <wp:extent cx="7132320" cy="13716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-161925</wp:posOffset>
            </wp:positionV>
            <wp:extent cx="7132320" cy="16256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3560" w:space="720"/>
            <w:col w:w="6960"/>
          </w:cols>
          <w:pgMar w:left="320" w:top="1309" w:right="339" w:bottom="1440" w:gutter="0" w:footer="0" w:header="0"/>
          <w:type w:val="continuous"/>
        </w:sectPr>
      </w:pPr>
    </w:p>
    <w:p>
      <w:pPr>
        <w:ind w:right="260" w:firstLine="255"/>
        <w:spacing w:after="0" w:line="261" w:lineRule="auto"/>
        <w:rPr>
          <w:sz w:val="20"/>
          <w:szCs w:val="20"/>
          <w:color w:val="auto"/>
        </w:rPr>
      </w:pPr>
      <w:r>
        <w:rPr>
          <w:rFonts w:ascii="Times New Roman" w:cs="Times New Roman" w:eastAsia="Times New Roman" w:hAnsi="Times New Roman"/>
          <w:sz w:val="18"/>
          <w:szCs w:val="18"/>
          <w:color w:val="auto"/>
        </w:rPr>
        <w:t>Other expense decreased during the three months ended December 31, 2024, as compared to the same period in the prior fiscal year, primarily due to favorable changes in the fair value of foreign currency forward contracts. Other income increased during the six months ended December 31, 2024 as compared to the same period in the prior fiscal year, primarily due to favorable changes in the fair value of foreign currency forward contracts, partially offset by increased costs for hedging activities.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40" w:type="dxa"/>
            <w:vAlign w:val="bottom"/>
          </w:tcPr>
          <w:p>
            <w:pPr>
              <w:spacing w:after="0"/>
              <w:rPr>
                <w:sz w:val="15"/>
                <w:szCs w:val="15"/>
                <w:color w:val="auto"/>
              </w:rPr>
            </w:pPr>
          </w:p>
        </w:tc>
        <w:tc>
          <w:tcPr>
            <w:tcW w:w="3740" w:type="dxa"/>
            <w:vAlign w:val="bottom"/>
            <w:gridSpan w:val="9"/>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3260" w:type="dxa"/>
            <w:vAlign w:val="bottom"/>
            <w:gridSpan w:val="7"/>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Six Months Ended December 31,</w:t>
            </w:r>
          </w:p>
        </w:tc>
      </w:tr>
      <w:tr>
        <w:trPr>
          <w:trHeight w:val="117"/>
        </w:trPr>
        <w:tc>
          <w:tcPr>
            <w:tcW w:w="424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ind w:left="220"/>
              <w:spacing w:after="0" w:line="118" w:lineRule="exact"/>
              <w:rPr>
                <w:sz w:val="20"/>
                <w:szCs w:val="20"/>
                <w:color w:val="auto"/>
              </w:rPr>
            </w:pPr>
            <w:r>
              <w:rPr>
                <w:rFonts w:ascii="Times New Roman" w:cs="Times New Roman" w:eastAsia="Times New Roman" w:hAnsi="Times New Roman"/>
                <w:sz w:val="13"/>
                <w:szCs w:val="13"/>
                <w:b w:val="1"/>
                <w:bCs w:val="1"/>
                <w:color w:val="auto"/>
              </w:rPr>
              <w:t>Percent</w:t>
            </w:r>
          </w:p>
        </w:tc>
        <w:tc>
          <w:tcPr>
            <w:tcW w:w="36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ind w:left="220"/>
              <w:spacing w:after="0" w:line="118" w:lineRule="exact"/>
              <w:rPr>
                <w:sz w:val="20"/>
                <w:szCs w:val="20"/>
                <w:color w:val="auto"/>
              </w:rPr>
            </w:pPr>
            <w:r>
              <w:rPr>
                <w:rFonts w:ascii="Times New Roman" w:cs="Times New Roman" w:eastAsia="Times New Roman" w:hAnsi="Times New Roman"/>
                <w:sz w:val="13"/>
                <w:szCs w:val="13"/>
                <w:b w:val="1"/>
                <w:bCs w:val="1"/>
                <w:color w:val="auto"/>
              </w:rPr>
              <w:t>Percent</w:t>
            </w:r>
          </w:p>
        </w:tc>
        <w:tc>
          <w:tcPr>
            <w:tcW w:w="240" w:type="dxa"/>
            <w:vAlign w:val="bottom"/>
          </w:tcPr>
          <w:p>
            <w:pPr>
              <w:spacing w:after="0"/>
              <w:rPr>
                <w:sz w:val="10"/>
                <w:szCs w:val="10"/>
                <w:color w:val="auto"/>
              </w:rPr>
            </w:pPr>
          </w:p>
        </w:tc>
      </w:tr>
      <w:tr>
        <w:trPr>
          <w:trHeight w:val="173"/>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5"/>
                <w:szCs w:val="15"/>
                <w:color w:val="auto"/>
              </w:rPr>
            </w:pPr>
          </w:p>
        </w:tc>
        <w:tc>
          <w:tcPr>
            <w:tcW w:w="9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5"/>
                <w:szCs w:val="15"/>
                <w:color w:val="auto"/>
              </w:rPr>
            </w:pPr>
          </w:p>
        </w:tc>
        <w:tc>
          <w:tcPr>
            <w:tcW w:w="9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Pr>
          <w:p>
            <w:pPr>
              <w:spacing w:after="0"/>
              <w:rPr>
                <w:sz w:val="15"/>
                <w:szCs w:val="15"/>
                <w:color w:val="auto"/>
              </w:rPr>
            </w:pPr>
          </w:p>
        </w:tc>
      </w:tr>
      <w:tr>
        <w:trPr>
          <w:trHeight w:val="210"/>
        </w:trPr>
        <w:tc>
          <w:tcPr>
            <w:tcW w:w="4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600" w:type="dxa"/>
            <w:vAlign w:val="bottom"/>
            <w:shd w:val="clear" w:color="auto" w:fill="CFF0FC"/>
          </w:tcPr>
          <w:p>
            <w:pPr>
              <w:jc w:val="right"/>
              <w:ind w:right="422"/>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695</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740" w:type="dxa"/>
            <w:vAlign w:val="bottom"/>
            <w:gridSpan w:val="4"/>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(21 )%  $</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2,810</w:t>
            </w:r>
          </w:p>
        </w:tc>
        <w:tc>
          <w:tcPr>
            <w:tcW w:w="14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(53 )%</w:t>
            </w:r>
          </w:p>
        </w:tc>
      </w:tr>
    </w:tbl>
    <w:p>
      <w:pPr>
        <w:spacing w:after="0" w:line="198" w:lineRule="exact"/>
        <w:rPr>
          <w:sz w:val="20"/>
          <w:szCs w:val="20"/>
          <w:color w:val="auto"/>
        </w:rPr>
      </w:pPr>
    </w:p>
    <w:p>
      <w:pPr>
        <w:ind w:right="140" w:firstLine="255"/>
        <w:spacing w:after="0" w:line="266" w:lineRule="auto"/>
        <w:rPr>
          <w:sz w:val="20"/>
          <w:szCs w:val="20"/>
          <w:color w:val="auto"/>
        </w:rPr>
      </w:pPr>
      <w:r>
        <w:rPr>
          <w:rFonts w:ascii="Times New Roman" w:cs="Times New Roman" w:eastAsia="Times New Roman" w:hAnsi="Times New Roman"/>
          <w:sz w:val="18"/>
          <w:szCs w:val="18"/>
          <w:color w:val="auto"/>
        </w:rPr>
        <w:t>On a quarterly basis, we provide for income taxes based upon an estimated annual effective income tax rate. The provision for income taxes decreased by $0.2 million and $1.5 million during the three and six months ended December 31, 2024, respectively, as compared to the same periods in the prior fiscal year, primarily due to an additional expense in the prior year period relating to higher deferred tax liability on unremitted foreign earnings.</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220" w:firstLine="255"/>
        <w:spacing w:after="0" w:line="266" w:lineRule="auto"/>
        <w:rPr>
          <w:sz w:val="20"/>
          <w:szCs w:val="20"/>
          <w:color w:val="auto"/>
        </w:rPr>
      </w:pPr>
      <w:r>
        <w:rPr>
          <w:rFonts w:ascii="Times New Roman" w:cs="Times New Roman" w:eastAsia="Times New Roman" w:hAnsi="Times New Roman"/>
          <w:sz w:val="18"/>
          <w:szCs w:val="18"/>
          <w:color w:val="auto"/>
        </w:rPr>
        <w:t>At December 31, 2024, we had $62.6 million in cash and cash equivalents. Cash from operations could be affected by various risks and uncertainties, including, declines in our revenue, particularly without a corresponding decrease in our expenses, the timing of payments from our customers and our expenditures, as well as but not limited to, macroeconomic conditions, inflation, actions taken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type w:val="continuous"/>
        </w:sectPr>
      </w:pPr>
    </w:p>
    <w:bookmarkStart w:id="27" w:name="page28"/>
    <w:bookmarkEnd w:id="27"/>
    <w:p>
      <w:pPr>
        <w:ind w:right="40"/>
        <w:spacing w:after="0" w:line="255" w:lineRule="auto"/>
        <w:rPr>
          <w:sz w:val="20"/>
          <w:szCs w:val="20"/>
          <w:color w:val="auto"/>
        </w:rPr>
      </w:pPr>
      <w:r>
        <w:rPr>
          <w:rFonts w:ascii="Times New Roman" w:cs="Times New Roman" w:eastAsia="Times New Roman" w:hAnsi="Times New Roman"/>
          <w:sz w:val="18"/>
          <w:szCs w:val="18"/>
          <w:color w:val="auto"/>
        </w:rPr>
        <w:t>to counter inflation, foreign currency exchange rate fluctuations, and the risks included in Part I, Item 1A titled “Risk Factors.” In particular, we expect inflation and the ongoing supply chain challenges and logistics costs to impact our cash from operations through fiscal year 2025. In addition, reduced budgets and lower capital deployment priority for radiotherapy equipment, along with longer customer installation timelines, in the United States have negatively impacted net revenue since fiscal year 2024, and we expect that this will continue to have an impact through fiscal year 2026. Based on our cash and cash equivalents balance, available debt facilities, current business plan and revenue prospects, we believe we will have sufficient cash resources and anticipated cash flows to fund our operations for at least the next 12 months. However, we continue to critically review our liquidity and anticipated capital requirements in light of the significant uncertainty created by macroeconomic conditions.</w:t>
      </w:r>
    </w:p>
    <w:p>
      <w:pPr>
        <w:spacing w:after="0" w:line="189" w:lineRule="exact"/>
        <w:rPr>
          <w:sz w:val="20"/>
          <w:szCs w:val="20"/>
          <w:color w:val="auto"/>
        </w:rPr>
      </w:pPr>
    </w:p>
    <w:p>
      <w:pPr>
        <w:ind w:right="20" w:firstLine="255"/>
        <w:spacing w:after="0" w:line="252" w:lineRule="auto"/>
        <w:rPr>
          <w:sz w:val="20"/>
          <w:szCs w:val="20"/>
          <w:color w:val="auto"/>
        </w:rPr>
      </w:pPr>
      <w:r>
        <w:rPr>
          <w:rFonts w:ascii="Times New Roman" w:cs="Times New Roman" w:eastAsia="Times New Roman" w:hAnsi="Times New Roman"/>
          <w:sz w:val="18"/>
          <w:szCs w:val="18"/>
          <w:color w:val="auto"/>
        </w:rPr>
        <w:t>Our liquidity and cash flows have been and could continue to be materially impacted by factors other than our cash from operations and factors that are not in our control, such as current macroeconomic factors, including facility closures, supply chain disruptions, inflation, foreign currency exchange rate fluctuations, increased volatility in the financial markets, uncertainty caused by the China anti-corruption campaign and timing of the China stimulus program, the change in the U.S. presidential administration, recent executive orders to impose new tariffs on imports from Canada, Mexico and China and uncertainties regarding impact, retaliations and further escalation, including against other countries, and tightening of credit markets which could impact debt availability. These factors have and could continue to negatively impact our business operations and cash flows for the foreseeable future, including reductions in revenue, decreases in gross margin and delays in payments from customers, as well as declines or delays in the conversion of backlog to revenue. Certain of our revenue may not be collectible to the extent our customers suffer financial difficulty. There remain uncertainties as to how the current macroeconomic environment will impact our business, results of operations, access to sources of liquidity and financial condition in the future. As a result, we are unable to predict with certainty the impacts of these factors on our ability to maintain compliance with the financial covenants contained in the credit and security agreements related to our credit facilities. On September 12, 2024, we entered into the Fourth Amendment to (i) change the requirements of certain financial maintenance covenants under the Credit Agreement for the fiscal quarter ending September 30, 2024, (ii) add a minimum liquidity covenant to the Credit Agreement and (iii) reduce the available revolving commitments available under the Credit Agreement to no more than $20.0 million through the end of the agreement.</w:t>
      </w:r>
    </w:p>
    <w:p>
      <w:pPr>
        <w:spacing w:after="0" w:line="197" w:lineRule="exact"/>
        <w:rPr>
          <w:sz w:val="20"/>
          <w:szCs w:val="20"/>
          <w:color w:val="auto"/>
        </w:rPr>
      </w:pPr>
    </w:p>
    <w:p>
      <w:pPr>
        <w:ind w:right="60" w:firstLine="255"/>
        <w:spacing w:after="0" w:line="255" w:lineRule="auto"/>
        <w:rPr>
          <w:sz w:val="20"/>
          <w:szCs w:val="20"/>
          <w:color w:val="auto"/>
        </w:rPr>
      </w:pPr>
      <w:r>
        <w:rPr>
          <w:rFonts w:ascii="Times New Roman" w:cs="Times New Roman" w:eastAsia="Times New Roman" w:hAnsi="Times New Roman"/>
          <w:sz w:val="18"/>
          <w:szCs w:val="18"/>
          <w:color w:val="auto"/>
        </w:rPr>
        <w:t>In May 2021, we issued $100.0 million aggregate principal amount of 3.75% Convertible Senior Notes due 2026 under an indenture between us and The Bank of New York Mellon Trust Company, N.A., as trustee. Concurrently, with the issuance of the convertible notes, in May 2021, we entered into a senior secured credit agreement with Silicon Valley Bank, individually as a lender and agent, and the other lenders (the “Credit Agreement”), which provides for a five-year $80 million term loan facility (the “Term Loan Facility”) and a $40 million revolving credit facility (the “Revolving Credit Facility”). As of December 31, 2024, we had an outstanding balance under the Term Loan Facility of $60.0 million and Revolving Credit Facility of $17.0 million. Refer to Note 8. Debt to our unaudited condensed consolidated financial statements included in this Quarterly Report on Form 10-Q for discussion of the Term Loan Facility, the Revolving Credit Facility and our Convertible Notes outstanding as of December 31, 2024.</w:t>
      </w:r>
    </w:p>
    <w:p>
      <w:pPr>
        <w:spacing w:after="0" w:line="189" w:lineRule="exact"/>
        <w:rPr>
          <w:sz w:val="20"/>
          <w:szCs w:val="20"/>
          <w:color w:val="auto"/>
        </w:rPr>
      </w:pPr>
    </w:p>
    <w:p>
      <w:pPr>
        <w:ind w:right="60" w:firstLine="255"/>
        <w:spacing w:after="0" w:line="258" w:lineRule="auto"/>
        <w:rPr>
          <w:sz w:val="20"/>
          <w:szCs w:val="20"/>
          <w:color w:val="auto"/>
        </w:rPr>
      </w:pPr>
      <w:r>
        <w:rPr>
          <w:rFonts w:ascii="Times New Roman" w:cs="Times New Roman" w:eastAsia="Times New Roman" w:hAnsi="Times New Roman"/>
          <w:sz w:val="18"/>
          <w:szCs w:val="18"/>
          <w:color w:val="auto"/>
        </w:rPr>
        <w:t>Additionally, the undistributed earnings of our foreign subsidiaries at December 31, 2024, for all countries except Japan, France, Switzerland and the United Kingdom are considered to be indefinitely reinvested and unavailable for distribution in the form of dividends or otherwise. Future repatriation of our foreign earnings could be subject to income taxes. As of December 31, 2024, we had $9.2 million of cash and cash equivalents at our foreign subsidiaries. If such funds were repatriated, there will be additional foreign tax withholdings imposed depending on the country from which the funds were repatriated.</w:t>
      </w:r>
    </w:p>
    <w:p>
      <w:pPr>
        <w:spacing w:after="0" w:line="1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Our cash flows for the six months ended December 31, 2024 and 2023 are summarized as follows (in thousands):</w:t>
      </w:r>
    </w:p>
    <w:p>
      <w:pPr>
        <w:spacing w:after="0" w:line="219" w:lineRule="exact"/>
        <w:rPr>
          <w:sz w:val="20"/>
          <w:szCs w:val="20"/>
          <w:color w:val="auto"/>
        </w:rPr>
      </w:pPr>
    </w:p>
    <w:p>
      <w:pPr>
        <w:jc w:val="center"/>
        <w:ind w:left="7560"/>
        <w:spacing w:after="0"/>
        <w:rPr>
          <w:sz w:val="20"/>
          <w:szCs w:val="20"/>
          <w:color w:val="auto"/>
        </w:rPr>
      </w:pPr>
      <w:r>
        <w:rPr>
          <w:rFonts w:ascii="Times New Roman" w:cs="Times New Roman" w:eastAsia="Times New Roman" w:hAnsi="Times New Roman"/>
          <w:sz w:val="14"/>
          <w:szCs w:val="14"/>
          <w:b w:val="1"/>
          <w:bCs w:val="1"/>
          <w:color w:val="auto"/>
        </w:rPr>
        <w:t>Six Months Ended</w:t>
      </w:r>
    </w:p>
    <w:p>
      <w:pPr>
        <w:jc w:val="center"/>
        <w:ind w:left="756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770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7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10"/>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00" w:type="dxa"/>
            <w:vAlign w:val="bottom"/>
            <w:shd w:val="clear" w:color="auto" w:fill="CFF0FC"/>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(5,493 )</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(13,684 )</w:t>
            </w: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(2,690 )</w:t>
            </w:r>
          </w:p>
        </w:tc>
        <w:tc>
          <w:tcPr>
            <w:tcW w:w="3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(2,341 )</w:t>
            </w:r>
          </w:p>
        </w:tc>
      </w:tr>
      <w:tr>
        <w:trPr>
          <w:trHeight w:val="21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3,593</w:t>
            </w: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(1,757 )</w:t>
            </w: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10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(414 )</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10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1000" w:type="dxa"/>
            <w:vAlign w:val="bottom"/>
            <w:shd w:val="clear" w:color="auto" w:fill="CFF0FC"/>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(5,004 )</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(16,710 )</w:t>
            </w:r>
          </w:p>
        </w:tc>
      </w:tr>
      <w:tr>
        <w:trPr>
          <w:trHeight w:val="628"/>
        </w:trPr>
        <w:tc>
          <w:tcPr>
            <w:tcW w:w="7700" w:type="dxa"/>
            <w:vAlign w:val="bottom"/>
            <w:tcBorders>
              <w:top w:val="single" w:sz="8" w:color="CFF0FC"/>
            </w:tcBorders>
          </w:tcPr>
          <w:p>
            <w:pPr>
              <w:ind w:left="5540"/>
              <w:spacing w:after="0"/>
              <w:rPr>
                <w:sz w:val="20"/>
                <w:szCs w:val="20"/>
                <w:color w:val="auto"/>
              </w:rPr>
            </w:pPr>
            <w:r>
              <w:rPr>
                <w:rFonts w:ascii="Times New Roman" w:cs="Times New Roman" w:eastAsia="Times New Roman" w:hAnsi="Times New Roman"/>
                <w:sz w:val="18"/>
                <w:szCs w:val="18"/>
                <w:color w:val="auto"/>
              </w:rPr>
              <w:t>28</w:t>
            </w:r>
          </w:p>
        </w:tc>
        <w:tc>
          <w:tcPr>
            <w:tcW w:w="10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77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-933450</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-916940</wp:posOffset>
            </wp:positionV>
            <wp:extent cx="6858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-916940</wp:posOffset>
            </wp:positionV>
            <wp:extent cx="6858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p>
      <w:pPr>
        <w:spacing w:after="0" w:line="229" w:lineRule="exact"/>
        <w:rPr>
          <w:sz w:val="20"/>
          <w:szCs w:val="20"/>
          <w:color w:val="auto"/>
        </w:rPr>
      </w:pPr>
    </w:p>
    <w:p>
      <w:pPr>
        <w:ind w:right="280" w:firstLine="255"/>
        <w:spacing w:after="0" w:line="282" w:lineRule="auto"/>
        <w:rPr>
          <w:sz w:val="20"/>
          <w:szCs w:val="20"/>
          <w:color w:val="auto"/>
        </w:rPr>
      </w:pPr>
      <w:r>
        <w:rPr>
          <w:rFonts w:ascii="Times New Roman" w:cs="Times New Roman" w:eastAsia="Times New Roman" w:hAnsi="Times New Roman"/>
          <w:sz w:val="18"/>
          <w:szCs w:val="18"/>
          <w:color w:val="auto"/>
        </w:rPr>
        <w:t>Net cash used in operating activities during the six months ended December 31, 2024 consisted of a net loss of $1.4 million, a decrease from the net changes from assets and liabilities of $12.4 million, and an increase from non-cash items of $8.3 million.</w:t>
      </w:r>
    </w:p>
    <w:p>
      <w:pPr>
        <w:spacing w:after="0" w:line="202" w:lineRule="exact"/>
        <w:rPr>
          <w:sz w:val="20"/>
          <w:szCs w:val="20"/>
          <w:color w:val="auto"/>
        </w:rPr>
      </w:pPr>
    </w:p>
    <w:p>
      <w:pPr>
        <w:ind w:left="640" w:right="20" w:hanging="377"/>
        <w:spacing w:after="0" w:line="266" w:lineRule="auto"/>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items primarily consisted of share-based compensation expense of $4.6 million, depreciation and amortization expense of $3.0 million, and the provision for write-down of inventories of $2.2 million, partially offset by $1.5 million in income from equity investment and $0.9 million in recognized gross profit on sales to the JV.</w:t>
      </w:r>
    </w:p>
    <w:p>
      <w:pPr>
        <w:spacing w:after="0" w:line="202" w:lineRule="exact"/>
        <w:rPr>
          <w:rFonts w:ascii="Times New Roman" w:cs="Times New Roman" w:eastAsia="Times New Roman" w:hAnsi="Times New Roman"/>
          <w:sz w:val="18"/>
          <w:szCs w:val="18"/>
          <w:color w:val="auto"/>
        </w:rPr>
      </w:pPr>
    </w:p>
    <w:p>
      <w:pPr>
        <w:ind w:left="640" w:hanging="377"/>
        <w:spacing w:after="0" w:line="256" w:lineRule="auto"/>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major contributors to the decrease from the net changes of assets and liabilities during the six months ended December 31, 2024 were as follows: a $17.1 million increase in inventories that was primarily due to increased purchases of materials to meet expected demand; and a $4.1 million increase in prepaid and other assets primarily due to value added tax receivables and an increase in prepaid expenses, partially offset by a $4.9 million increase in accounts payable that was primarily due to the timing of payments, a $2.0 million decrease in accounts receivable that was primarily due to increased collections, and $1.9 million increase in deferred revenue primarily due to an increase in billings and deliveries where the timing of revenue recognition was deferred.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p>
      <w:pPr>
        <w:spacing w:after="0" w:line="229" w:lineRule="exact"/>
        <w:rPr>
          <w:sz w:val="20"/>
          <w:szCs w:val="20"/>
          <w:color w:val="auto"/>
        </w:rPr>
      </w:pPr>
    </w:p>
    <w:p>
      <w:pPr>
        <w:ind w:right="160" w:firstLine="255"/>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$2.7 million during the six months ended December 31, 2024 and was primarily for the purchase of property and equipment and investments in software.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p>
      <w:pPr>
        <w:spacing w:after="0" w:line="229" w:lineRule="exact"/>
        <w:rPr>
          <w:sz w:val="20"/>
          <w:szCs w:val="20"/>
          <w:color w:val="auto"/>
        </w:rPr>
      </w:pPr>
    </w:p>
    <w:p>
      <w:pPr>
        <w:ind w:right="140" w:firstLine="255"/>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$3.6 million during the six months ended December 31, 2024 was due to $7.0 million in net borrowings on our Revolving Credit Facility, partially offset by the scheduled payments of $4.0 million for the principal amount outstanding on our Term Loan Facility.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Capital and Capital Expenditure Requirements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capital requirements depend on numerous factors. These factors include but are not limited to the following:</w:t>
      </w:r>
    </w:p>
    <w:p>
      <w:pPr>
        <w:spacing w:after="0" w:line="117" w:lineRule="exact"/>
        <w:rPr>
          <w:sz w:val="20"/>
          <w:szCs w:val="20"/>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generated by sales of our products and service plans;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cash flows from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our sales and marketing initiatives and manufacturing activities;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equipment and IT systems required to support current and future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 of progress and cost of our research and development activities;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obtaining and maintaining FDA and other regulatory clearances of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competing technological and market developments;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and timing of acquisitions and other strategic transactions;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Servicing and maturity of our current future indebtedness, including interest rates;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cost savings initiatives, including the reduction of our workforce;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inflation on our expenses;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macroeconomic environment, including on collections, supply chain, and logistics.</w:t>
      </w:r>
    </w:p>
    <w:p>
      <w:pPr>
        <w:spacing w:after="0" w:line="225" w:lineRule="exact"/>
        <w:rPr>
          <w:sz w:val="20"/>
          <w:szCs w:val="20"/>
          <w:color w:val="auto"/>
        </w:rPr>
      </w:pPr>
    </w:p>
    <w:p>
      <w:pPr>
        <w:ind w:right="440" w:firstLine="255"/>
        <w:spacing w:after="0" w:line="256" w:lineRule="auto"/>
        <w:rPr>
          <w:sz w:val="20"/>
          <w:szCs w:val="20"/>
          <w:color w:val="auto"/>
        </w:rPr>
      </w:pPr>
      <w:r>
        <w:rPr>
          <w:rFonts w:ascii="Times New Roman" w:cs="Times New Roman" w:eastAsia="Times New Roman" w:hAnsi="Times New Roman"/>
          <w:sz w:val="18"/>
          <w:szCs w:val="18"/>
          <w:color w:val="auto"/>
        </w:rPr>
        <w:t>We believe that our current cash and cash equivalents balance will be sufficient to meet our anticipated cash needs for working capital and capital expenditures for at least the next 12 months. If these sources of cash and cash equivalents are insufficient to satisfy our liquidity requirements, or we believe market conditions are favorable, we may seek to sell additional equity or debt securities or enter into additional credit facilities. The sale of additional equity or convertible debt securities could result in dilution to our stockholders. If additional funds are raised through the issuance of debt securities, these securities could have rights senior to those associated with our common stock and could contain covenants that would restrict our operations. Additional financing may not be</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4" w:right="379" w:bottom="1440" w:gutter="0" w:footer="0" w:header="0"/>
        </w:sectPr>
      </w:pPr>
    </w:p>
    <w:bookmarkStart w:id="29" w:name="page30"/>
    <w:bookmarkEnd w:id="29"/>
    <w:p>
      <w:pPr>
        <w:ind w:right="140"/>
        <w:spacing w:after="0" w:line="282" w:lineRule="auto"/>
        <w:rPr>
          <w:sz w:val="20"/>
          <w:szCs w:val="20"/>
          <w:color w:val="auto"/>
        </w:rPr>
      </w:pPr>
      <w:r>
        <w:rPr>
          <w:rFonts w:ascii="Times New Roman" w:cs="Times New Roman" w:eastAsia="Times New Roman" w:hAnsi="Times New Roman"/>
          <w:sz w:val="18"/>
          <w:szCs w:val="18"/>
          <w:color w:val="auto"/>
        </w:rPr>
        <w:t>available at all, or in amounts or on terms acceptable to us. If we are unable to obtain this additional financing, we may be required to reduce the scope of our planned product development and marketing efforts.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9"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8"/>
          <w:szCs w:val="18"/>
          <w:color w:val="auto"/>
        </w:rPr>
        <w:t>We presented our contractual obligations in our Annual Report on Form 10-K for the fiscal year ended June 30, 2024. Our contractual obligations consist of debt, operating leases, purchase commitments, and other contractual obligations. There have been no material changes to these obligations outside the ordinary course of business during the six months ended December 31, 2024 as compared to the contractual obligations disclosed in the “Management’s Discussion and Analysis of Financial Condition and Results of Operations” section of our Annual Report on Form 10-K for the year ended June 30,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29" w:lineRule="exact"/>
        <w:rPr>
          <w:sz w:val="20"/>
          <w:szCs w:val="20"/>
          <w:color w:val="auto"/>
        </w:rPr>
      </w:pPr>
    </w:p>
    <w:p>
      <w:pPr>
        <w:ind w:right="40" w:firstLine="255"/>
        <w:spacing w:after="0" w:line="255" w:lineRule="auto"/>
        <w:rPr>
          <w:sz w:val="20"/>
          <w:szCs w:val="20"/>
          <w:color w:val="auto"/>
        </w:rPr>
      </w:pPr>
      <w:r>
        <w:rPr>
          <w:rFonts w:ascii="Times New Roman" w:cs="Times New Roman" w:eastAsia="Times New Roman" w:hAnsi="Times New Roman"/>
          <w:sz w:val="18"/>
          <w:szCs w:val="18"/>
          <w:color w:val="auto"/>
        </w:rPr>
        <w:t>We experienced rising costs for certain materials, including increased logistics and duties costs that adversely affected our gross margins and net income (loss), and had a material effect on our business, financial condition and results of operations for fiscal years 2023 and 2024. We expect that gross margins and net income (loss) will continue to be adversely affected by increased material costs and freight and logistic expenses in fiscal year 2025 as we are unable to pass all of these increased costs to our customers. In addition, we expect inflation and the ongoing supply chain challenges and logistics costs to impact our cash from operations through fiscal year 2025. Continued pressure from inflationary factors, such as further increases in the cost of materials for our products, cost of labor, interest rates, overhead costs, logistics and duties costs could further exacerbate these effects and harm our business, operating results, and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is based on our consolidated financial statements, which have been prepared in accordance with accounting principles generally accepted in the United States of America (“U.S. GAAP”). The preparation of these consolidated financial statements requires management to make estimates and judgments that affect the reported amounts of assets and liabilities and the disclosure of contingent assets and liabilities at the date of the consolidated financial statements, as well as revenue and expenses during the reporting periods. We evaluate our estimates and judgments on an ongoing basis. We base our estimates on historical experience and on various other factors we believe are reasonable under the circumstances, the results of which form the basis for making judgments about the carrying value of assets and liabilities. The economic uncertainty in the current environment however, could limit our ability to accurately make and evaluate our estimates and judgments. Actual results could therefore differ materially from those estimates if actual conditions differ from our assumptions.</w:t>
      </w:r>
    </w:p>
    <w:p>
      <w:pPr>
        <w:spacing w:after="0" w:line="192" w:lineRule="exact"/>
        <w:rPr>
          <w:sz w:val="20"/>
          <w:szCs w:val="20"/>
          <w:color w:val="auto"/>
        </w:rPr>
      </w:pPr>
    </w:p>
    <w:p>
      <w:pPr>
        <w:ind w:right="60" w:firstLine="255"/>
        <w:spacing w:after="0" w:line="282" w:lineRule="auto"/>
        <w:rPr>
          <w:sz w:val="20"/>
          <w:szCs w:val="20"/>
          <w:color w:val="auto"/>
        </w:rPr>
      </w:pPr>
      <w:r>
        <w:rPr>
          <w:rFonts w:ascii="Times New Roman" w:cs="Times New Roman" w:eastAsia="Times New Roman" w:hAnsi="Times New Roman"/>
          <w:sz w:val="18"/>
          <w:szCs w:val="18"/>
          <w:color w:val="auto"/>
        </w:rPr>
        <w:t>During the six months ended December 31, 2024, there were no material changes to the critical accounting policies and estimates, previously disclosed in Part II, Item 7, of our Annual Report on Form 10-K filed with the SEC on September 19, 2024.</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do not utilize derivative commodity instruments or other market risk sensitive instruments, positions or transactions, but we may in the future.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and Other Risks</w:t>
      </w:r>
    </w:p>
    <w:p>
      <w:pPr>
        <w:spacing w:after="0" w:line="229" w:lineRule="exact"/>
        <w:rPr>
          <w:sz w:val="20"/>
          <w:szCs w:val="20"/>
          <w:color w:val="auto"/>
        </w:rPr>
      </w:pPr>
    </w:p>
    <w:p>
      <w:pPr>
        <w:ind w:right="20" w:firstLine="255"/>
        <w:spacing w:after="0" w:line="266" w:lineRule="auto"/>
        <w:rPr>
          <w:sz w:val="20"/>
          <w:szCs w:val="20"/>
          <w:color w:val="auto"/>
        </w:rPr>
      </w:pPr>
      <w:r>
        <w:rPr>
          <w:rFonts w:ascii="Times New Roman" w:cs="Times New Roman" w:eastAsia="Times New Roman" w:hAnsi="Times New Roman"/>
          <w:sz w:val="18"/>
          <w:szCs w:val="18"/>
          <w:color w:val="auto"/>
        </w:rPr>
        <w:t>Our cash and cash equivalents are deposited with several major financial institutions. At times, deposits in these institutions exceed the amount of insurance provided on such deposits. We have not experienced any losses in such accounts and do not believe that we are exposed to any significant risk of loss on these balances.</w:t>
      </w:r>
    </w:p>
    <w:p>
      <w:pPr>
        <w:spacing w:after="0" w:line="176" w:lineRule="exact"/>
        <w:rPr>
          <w:sz w:val="20"/>
          <w:szCs w:val="20"/>
          <w:color w:val="auto"/>
        </w:rPr>
      </w:pPr>
    </w:p>
    <w:p>
      <w:pPr>
        <w:ind w:right="80" w:firstLine="255"/>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December 31, 2024 and 2023, one customer represented 10% or more of total net revenue. As of December 31, 2024, and June 30, 2024, we had one customer that accounted for 10% or more of our total accounts receivable, net.</w:t>
      </w:r>
    </w:p>
    <w:p>
      <w:pPr>
        <w:spacing w:after="0" w:line="162" w:lineRule="exact"/>
        <w:rPr>
          <w:sz w:val="20"/>
          <w:szCs w:val="20"/>
          <w:color w:val="auto"/>
        </w:rPr>
      </w:pPr>
    </w:p>
    <w:p>
      <w:pPr>
        <w:jc w:val="both"/>
        <w:ind w:right="140" w:firstLine="255"/>
        <w:spacing w:after="0" w:line="266" w:lineRule="auto"/>
        <w:rPr>
          <w:sz w:val="20"/>
          <w:szCs w:val="20"/>
          <w:color w:val="auto"/>
        </w:rPr>
      </w:pPr>
      <w:r>
        <w:rPr>
          <w:rFonts w:ascii="Times New Roman" w:cs="Times New Roman" w:eastAsia="Times New Roman" w:hAnsi="Times New Roman"/>
          <w:sz w:val="18"/>
          <w:szCs w:val="18"/>
          <w:color w:val="auto"/>
        </w:rPr>
        <w:t>We perform ongoing credit evaluations of our customers and maintain reserves for potential credit losses. Accounts receivable are deemed past due in accordance with the contractual terms of the agreement. Accounts receivable balances are charged against the allowance for credit losses once collection efforts are unsuccessful.</w:t>
      </w:r>
    </w:p>
    <w:p>
      <w:pPr>
        <w:spacing w:after="0" w:line="176" w:lineRule="exact"/>
        <w:rPr>
          <w:sz w:val="20"/>
          <w:szCs w:val="20"/>
          <w:color w:val="auto"/>
        </w:rPr>
      </w:pPr>
    </w:p>
    <w:p>
      <w:pPr>
        <w:jc w:val="both"/>
        <w:ind w:right="140" w:firstLine="255"/>
        <w:spacing w:after="0" w:line="282" w:lineRule="auto"/>
        <w:rPr>
          <w:sz w:val="20"/>
          <w:szCs w:val="20"/>
          <w:color w:val="auto"/>
        </w:rPr>
      </w:pPr>
      <w:r>
        <w:rPr>
          <w:rFonts w:ascii="Times New Roman" w:cs="Times New Roman" w:eastAsia="Times New Roman" w:hAnsi="Times New Roman"/>
          <w:sz w:val="18"/>
          <w:szCs w:val="18"/>
          <w:color w:val="auto"/>
        </w:rPr>
        <w:t>Single-source suppliers presently provide us with several components. In most cases, if a supplier was unable to deliver these components, we believe that we would be able to find other sources for these components subject to any regulatory qualifications, if required.</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Foreign Currency Exchange Rate Risk</w:t>
      </w:r>
    </w:p>
    <w:p>
      <w:pPr>
        <w:spacing w:after="0" w:line="229" w:lineRule="exact"/>
        <w:rPr>
          <w:sz w:val="20"/>
          <w:szCs w:val="20"/>
          <w:color w:val="auto"/>
        </w:rPr>
      </w:pPr>
    </w:p>
    <w:p>
      <w:pPr>
        <w:ind w:right="100" w:firstLine="255"/>
        <w:spacing w:after="0" w:line="256" w:lineRule="auto"/>
        <w:rPr>
          <w:sz w:val="20"/>
          <w:szCs w:val="20"/>
          <w:color w:val="auto"/>
        </w:rPr>
      </w:pPr>
      <w:r>
        <w:rPr>
          <w:rFonts w:ascii="Times New Roman" w:cs="Times New Roman" w:eastAsia="Times New Roman" w:hAnsi="Times New Roman"/>
          <w:sz w:val="18"/>
          <w:szCs w:val="18"/>
          <w:color w:val="auto"/>
        </w:rPr>
        <w:t>A majority of our sales are denominated in foreign currencies, most notably the Euro and the Japanese Yen. Future fluctuations in the value of the U.S. Dollar may affect the price competitiveness of our products outside the United States. For direct sales outside the United States, we sell in both U.S. Dollars and local currencies, which exposes us to additional foreign currency risks, including changes in currency exchange rates. Our operating expenses in countries outside the United States are mostly payable in local currencies and therefore, expose us to currency risk. Foreign exchange continues to be a significant headwind as the U.S. Dollar has strengthened recently, which affect our results of operations and we may see our sales and margins outside of the U.S. decline as we may not be able to raise local prices to fully offset the strengthening of the U.S. Dollar.</w:t>
      </w:r>
    </w:p>
    <w:p>
      <w:pPr>
        <w:spacing w:after="0" w:line="187" w:lineRule="exact"/>
        <w:rPr>
          <w:sz w:val="20"/>
          <w:szCs w:val="20"/>
          <w:color w:val="auto"/>
        </w:rPr>
      </w:pPr>
    </w:p>
    <w:p>
      <w:pPr>
        <w:ind w:firstLine="255"/>
        <w:spacing w:after="0" w:line="256" w:lineRule="auto"/>
        <w:rPr>
          <w:sz w:val="20"/>
          <w:szCs w:val="20"/>
          <w:color w:val="auto"/>
        </w:rPr>
      </w:pPr>
      <w:r>
        <w:rPr>
          <w:rFonts w:ascii="Times New Roman" w:cs="Times New Roman" w:eastAsia="Times New Roman" w:hAnsi="Times New Roman"/>
          <w:sz w:val="18"/>
          <w:szCs w:val="18"/>
          <w:color w:val="auto"/>
        </w:rPr>
        <w:t>We expect the changes in the fair value of the net foreign currency assets arising from fluctuations in foreign currency exchange rates to be materially offset by the changes in the fair value of the forward contracts. We have developed a foreign exchange risk management policy to mitigate foreign currency exchange rate fluctuation risk. As of December 31, 2024, we had entered into foreign currency forward contracts to purchase or sell foreign currencies with a stated or notional value of approximately $79.6 million. These foreign currency forward contracts do not qualify for hedge accounting treatment and all changes in fair value are reported in earnings as part of other expense, net. We have not entered into any other types of derivative financial instruments for trading or speculative purpose.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89" w:lineRule="exact"/>
        <w:rPr>
          <w:sz w:val="20"/>
          <w:szCs w:val="20"/>
          <w:color w:val="auto"/>
        </w:rPr>
      </w:pPr>
    </w:p>
    <w:p>
      <w:pPr>
        <w:ind w:right="60" w:firstLine="255"/>
        <w:spacing w:after="0" w:line="254" w:lineRule="auto"/>
        <w:rPr>
          <w:sz w:val="20"/>
          <w:szCs w:val="20"/>
          <w:color w:val="auto"/>
        </w:rPr>
      </w:pPr>
      <w:r>
        <w:rPr>
          <w:rFonts w:ascii="Times New Roman" w:cs="Times New Roman" w:eastAsia="Times New Roman" w:hAnsi="Times New Roman"/>
          <w:sz w:val="18"/>
          <w:szCs w:val="18"/>
          <w:color w:val="auto"/>
        </w:rPr>
        <w:t>Our debt obligations consist of a variety of financial instruments that expose us to interest rate risk including, but not limited to the Credit Facilities and Notes. The interest rates on the Notes are fixed and the interest rate on the Credit Facilities are at variable rates, which are tied to a “prime rate” and the Secured Overnight Financing Rate (“SOFR”). As of December 31, 2024, our borrowings under the Term Loan Facility totaling $60.0 million and Revolving Credit Facility totaling $17.0 million, are both subject to a 90-day SOFR (subject to a 0.50% floor) plus a margin between 2.50% and 3.25% as determined by the Consolidated Senior Net Leverage Ratio as defined in the credit agreement governing the Credit Facilities. If the amount outstanding under the Credit Facilities remained at this level for the next 12 months and interest rates increased or decreased by a 50 basis point change, our annual interest expense would increase or decrease, respectively, approximately $0.4 million. Refer to Note 8. Debt to our unaudited condensed consolidated financial statements included in this Quarterly Report on Form 10-Q for a discussion regarding our debt obligation.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Price Risk</w:t>
      </w:r>
    </w:p>
    <w:p>
      <w:pPr>
        <w:spacing w:after="0" w:line="202" w:lineRule="exact"/>
        <w:rPr>
          <w:sz w:val="20"/>
          <w:szCs w:val="20"/>
          <w:color w:val="auto"/>
        </w:rPr>
      </w:pPr>
    </w:p>
    <w:p>
      <w:pPr>
        <w:ind w:right="20" w:firstLine="255"/>
        <w:spacing w:after="0" w:line="256" w:lineRule="auto"/>
        <w:rPr>
          <w:sz w:val="20"/>
          <w:szCs w:val="20"/>
          <w:color w:val="auto"/>
        </w:rPr>
      </w:pPr>
      <w:r>
        <w:rPr>
          <w:rFonts w:ascii="Times New Roman" w:cs="Times New Roman" w:eastAsia="Times New Roman" w:hAnsi="Times New Roman"/>
          <w:sz w:val="18"/>
          <w:szCs w:val="18"/>
          <w:color w:val="auto"/>
        </w:rPr>
        <w:t>On May 13, 2021, we issued approximately $100.0 million aggregate principal amount of 3.75% Convertible Notes due 2026. Upon conversion, we can settle the obligation by issuing our common stock, cash or a combination thereof at an initial conversion rate equal to 170.5611 shares of common stock per $1,000 principal amount of the 3.75% Convertible Notes due 2026, which is equivalent to a conversion price of approximately $5.86 per share of common stock, subject to adjustment. There is no equity price risk if the share price of our common stock is below $5.86 upon conversion of the 3.75% Convertible Notes due 2026. For every $1 that the share price of our common stock exceeds $5.86, we expect to issue an additional $17.1 million in cash or shares of our common stock, or a combination thereof, if all of the 3.75% Convertible Notes due 2026 are converted.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right="40" w:firstLine="255"/>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the design and operation of our disclosure controls and procedures (as defined in Rule 13a-15(e) of the Exchange Act) as of December 31, 2024. Based on this evaluation, our Chief Executive Officer and Chief Financial Officer concluded that due to the material weaknesses in our internal control over financial reporting that were disclosed in our Annual Report on Form 10-K for the year ended June 30, 2024 (“2024 Annual Report”) and discussed further below, as of December 31, 2024, our disclosure controls and procedures, as defined in Rule 13a-15(e), were not effective at a reasonable assurance level in ensuring (i) that the information required to be disclosed by us in the reports we file or submit under the Exchange Act is recorded, processed, summarized and reported within the time periods specified in the Securities and Exchange Commission’s rules and forms, and (ii) that such information is accumulated and communicated to our management, including our Chief Executive Officer and Chief Financial Officer, as appropriate to allow timely decisions regarding required disclosure. Our management, including our Chief Executive Officer and Chief Financial Officer, has also concluded that as of June 30, 2024 and September 30, 2024, our disclosure controls and procedures were not effective at the reasonable assurance level due to material weaknesses in our internal control over financial reporting which were disclosed in 2024 Annual Report.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ind w:right="40" w:firstLine="255"/>
        <w:spacing w:after="0" w:line="261" w:lineRule="auto"/>
        <w:rPr>
          <w:sz w:val="20"/>
          <w:szCs w:val="20"/>
          <w:color w:val="auto"/>
        </w:rPr>
      </w:pPr>
      <w:r>
        <w:rPr>
          <w:rFonts w:ascii="Times New Roman" w:cs="Times New Roman" w:eastAsia="Times New Roman" w:hAnsi="Times New Roman"/>
          <w:sz w:val="18"/>
          <w:szCs w:val="18"/>
          <w:color w:val="auto"/>
        </w:rPr>
        <w:t>As disclosed in our 2024 Annual Report, management concluded that our internal control over financial reporting was not effective as a result of the material weaknesses detailed below. 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w:t>
      </w:r>
    </w:p>
    <w:p>
      <w:pPr>
        <w:spacing w:after="0" w:line="180" w:lineRule="exact"/>
        <w:rPr>
          <w:sz w:val="20"/>
          <w:szCs w:val="20"/>
          <w:color w:val="auto"/>
        </w:rPr>
      </w:pPr>
    </w:p>
    <w:p>
      <w:pPr>
        <w:ind w:right="120" w:firstLine="255"/>
        <w:spacing w:after="0" w:line="266" w:lineRule="auto"/>
        <w:rPr>
          <w:sz w:val="20"/>
          <w:szCs w:val="20"/>
          <w:color w:val="auto"/>
        </w:rPr>
      </w:pPr>
      <w:r>
        <w:rPr>
          <w:rFonts w:ascii="Times New Roman" w:cs="Times New Roman" w:eastAsia="Times New Roman" w:hAnsi="Times New Roman"/>
          <w:sz w:val="18"/>
          <w:szCs w:val="18"/>
          <w:color w:val="auto"/>
        </w:rPr>
        <w:t>A deficiency was identified associated with the risk assessment component of the COSO framework. This specifically related to the implementation of the SAP S/4HANA ERP system on August 1, 2023, which contributed to two material weaknesses within our system of internal control over financial reporting at the control activity level;</w:t>
      </w:r>
    </w:p>
    <w:p>
      <w:pPr>
        <w:spacing w:after="0" w:line="68" w:lineRule="exact"/>
        <w:rPr>
          <w:sz w:val="20"/>
          <w:szCs w:val="20"/>
          <w:color w:val="auto"/>
        </w:rPr>
      </w:pPr>
    </w:p>
    <w:p>
      <w:pPr>
        <w:ind w:left="1020" w:right="80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system was not designed and did not maintain effective controls to ensure that all manual journal entries consistently enforced segregation of duties in the approval process prior to being posted to the general ledger system.</w:t>
      </w:r>
    </w:p>
    <w:p>
      <w:pPr>
        <w:spacing w:after="0" w:line="53" w:lineRule="exact"/>
        <w:rPr>
          <w:rFonts w:ascii="Times New Roman" w:cs="Times New Roman" w:eastAsia="Times New Roman" w:hAnsi="Times New Roman"/>
          <w:sz w:val="18"/>
          <w:szCs w:val="18"/>
          <w:color w:val="auto"/>
        </w:rPr>
      </w:pPr>
    </w:p>
    <w:p>
      <w:pPr>
        <w:ind w:left="1020" w:right="280" w:hanging="503"/>
        <w:spacing w:after="0" w:line="266"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system was not designed to and did not maintain effective controls to ensure the existence of inventory at the Madison manufacturing warehouse locations because its controls relied on a cycle count program that, due to limitations associated with the system, was not sufficiently precise.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of Previously Disclosed Material Weakness</w:t>
      </w:r>
    </w:p>
    <w:p>
      <w:pPr>
        <w:spacing w:after="0" w:line="229" w:lineRule="exact"/>
        <w:rPr>
          <w:sz w:val="20"/>
          <w:szCs w:val="20"/>
          <w:color w:val="auto"/>
        </w:rPr>
      </w:pPr>
    </w:p>
    <w:p>
      <w:pPr>
        <w:ind w:right="240" w:firstLine="255"/>
        <w:spacing w:after="0" w:line="255" w:lineRule="auto"/>
        <w:rPr>
          <w:sz w:val="20"/>
          <w:szCs w:val="20"/>
          <w:color w:val="auto"/>
        </w:rPr>
      </w:pPr>
      <w:r>
        <w:rPr>
          <w:rFonts w:ascii="Times New Roman" w:cs="Times New Roman" w:eastAsia="Times New Roman" w:hAnsi="Times New Roman"/>
          <w:sz w:val="18"/>
          <w:szCs w:val="18"/>
          <w:color w:val="auto"/>
        </w:rPr>
        <w:t>As noted above, management identified a material weakness within our system of internal control over financial reporting due to our SAP S/4HANA ERP system not being designed for and not maintaining effective controls to ensure that all manual journal entries consistently enforced segregation of duties in the approval process prior to being posted to the general ledger system. Remediation of this material weakness was completed during the three months ended December 31, 2024 and included establishing new controls and procedures to ensure segregation of duties is maintained between the creation, posting and approval of manual journal entries. As of December 31, 2024, these control activities have been appropriately designed and implemented, and have operated effectively for a sufficient period of time to conclude that the previously identified material weakness has been remediated.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Efforts to Address the Material Weakness Existing in the Current Period</w:t>
      </w:r>
    </w:p>
    <w:p>
      <w:pPr>
        <w:spacing w:after="0" w:line="162" w:lineRule="exact"/>
        <w:rPr>
          <w:sz w:val="20"/>
          <w:szCs w:val="20"/>
          <w:color w:val="auto"/>
        </w:rPr>
      </w:pPr>
    </w:p>
    <w:p>
      <w:pPr>
        <w:ind w:right="280" w:firstLine="255"/>
        <w:spacing w:after="0" w:line="258" w:lineRule="auto"/>
        <w:rPr>
          <w:sz w:val="20"/>
          <w:szCs w:val="20"/>
          <w:color w:val="auto"/>
        </w:rPr>
      </w:pPr>
      <w:r>
        <w:rPr>
          <w:rFonts w:ascii="Times New Roman" w:cs="Times New Roman" w:eastAsia="Times New Roman" w:hAnsi="Times New Roman"/>
          <w:sz w:val="18"/>
          <w:szCs w:val="18"/>
          <w:color w:val="auto"/>
        </w:rPr>
        <w:t>Management is committed to addressing and remediating the remaining cycle count material weakness described above and has developed a plan to enhance the design and operating effectiveness of our internal controls over financial reporting. Remediation measures, which are currently ongoing, include enhancing the ERP system reports to allow for full capture of inventory with proper count timing required for an effective cycle count program, inclusive of reinforcement for proper cycle count process through policy statements, regular communications and in periodic reviews and meetings with managers and staff.</w:t>
      </w:r>
    </w:p>
    <w:p>
      <w:pPr>
        <w:spacing w:after="0" w:line="183" w:lineRule="exact"/>
        <w:rPr>
          <w:sz w:val="20"/>
          <w:szCs w:val="20"/>
          <w:color w:val="auto"/>
        </w:rPr>
      </w:pPr>
    </w:p>
    <w:p>
      <w:pPr>
        <w:ind w:right="200" w:firstLine="255"/>
        <w:spacing w:after="0" w:line="266" w:lineRule="auto"/>
        <w:rPr>
          <w:sz w:val="20"/>
          <w:szCs w:val="20"/>
          <w:color w:val="auto"/>
        </w:rPr>
      </w:pPr>
      <w:r>
        <w:rPr>
          <w:rFonts w:ascii="Times New Roman" w:cs="Times New Roman" w:eastAsia="Times New Roman" w:hAnsi="Times New Roman"/>
          <w:sz w:val="18"/>
          <w:szCs w:val="18"/>
          <w:color w:val="auto"/>
        </w:rPr>
        <w:t>Implementation of the above remediation measures are subject to oversight by the Audit Committee of our Board of Directors, and while remediation measures are currently in place, this identified material weakness will not be considered remediated until the applicable controls operate for a sufficient period of time and we have concluded through testing that the newly implemented controls are designed and operating effectively.</w:t>
      </w:r>
    </w:p>
    <w:p>
      <w:pPr>
        <w:spacing w:after="0" w:line="176" w:lineRule="exact"/>
        <w:rPr>
          <w:sz w:val="20"/>
          <w:szCs w:val="20"/>
          <w:color w:val="auto"/>
        </w:rPr>
      </w:pPr>
    </w:p>
    <w:p>
      <w:pPr>
        <w:ind w:right="100" w:firstLine="255"/>
        <w:spacing w:after="0" w:line="266" w:lineRule="auto"/>
        <w:rPr>
          <w:sz w:val="20"/>
          <w:szCs w:val="20"/>
          <w:color w:val="auto"/>
        </w:rPr>
      </w:pPr>
      <w:r>
        <w:rPr>
          <w:rFonts w:ascii="Times New Roman" w:cs="Times New Roman" w:eastAsia="Times New Roman" w:hAnsi="Times New Roman"/>
          <w:sz w:val="18"/>
          <w:szCs w:val="18"/>
          <w:color w:val="auto"/>
        </w:rPr>
        <w:t>Notwithstanding the existing material weakness, management has concluded that the Company’s consolidated financial statements included in this Quarterly Report on Form 10-Q fairly present, in all material respects, our financial position, results of operations and cash flows for the periods presented with accounting principles generally accepted in the United States of America.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220" w:firstLine="255"/>
        <w:spacing w:after="0" w:line="258"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any changes in our internal control over financial reporting that occurred during the quarter ended December 31, 2024, and has concluded that other than the changes described above under "Remediation of Previously Disclosed Material Weakness" and the material weakness identified with corresponding remediation measures described above, there were no significant changes in our internal control over financial reporting that have been materially affected, or are reasonably likely to materially affect, our internal control over financial reporting.</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Inherent Limitations of Internal Control Over Financial Reporting</w:t>
      </w:r>
    </w:p>
    <w:p>
      <w:pPr>
        <w:spacing w:after="0" w:line="227"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8"/>
          <w:szCs w:val="18"/>
          <w:color w:val="auto"/>
        </w:rPr>
        <w:t>Internal control over financial reporting cannot provide absolute assurance of achieving financial reporting objectives because of its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2" w:name="page33"/>
    <w:bookmarkEnd w:id="32"/>
    <w:p>
      <w:pPr>
        <w:ind w:right="40"/>
        <w:spacing w:after="0" w:line="258" w:lineRule="auto"/>
        <w:rPr>
          <w:sz w:val="20"/>
          <w:szCs w:val="20"/>
          <w:color w:val="auto"/>
        </w:rPr>
      </w:pPr>
      <w:r>
        <w:rPr>
          <w:rFonts w:ascii="Times New Roman" w:cs="Times New Roman" w:eastAsia="Times New Roman" w:hAnsi="Times New Roman"/>
          <w:sz w:val="18"/>
          <w:szCs w:val="18"/>
          <w:color w:val="auto"/>
        </w:rPr>
        <w:t>may not be prevented or detected on a timely basis by internal control over financial reporting. These inherent limitations, however, are known features of the financial reporting process, therefore, it is possible to design into the process safeguards to reduce, though not eliminate, this risk. In designing and evaluating the disclosure controls and procedures, management recognized that any controls and procedures, no matter how well designed and operated, can provide only reasonable assurance of achieving the desired control objectives, and in reaching a reasonable level of assurance, management is required to apply its judgment in evaluating the cost-benefit relationship of possible controls and procedures.</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0" w:lineRule="exact"/>
        <w:rPr>
          <w:sz w:val="20"/>
          <w:szCs w:val="20"/>
          <w:color w:val="auto"/>
        </w:rPr>
      </w:pPr>
    </w:p>
    <w:p>
      <w:pPr>
        <w:ind w:right="560" w:firstLine="255"/>
        <w:spacing w:after="0" w:line="284" w:lineRule="auto"/>
        <w:rPr>
          <w:sz w:val="20"/>
          <w:szCs w:val="20"/>
          <w:color w:val="auto"/>
        </w:rPr>
      </w:pPr>
      <w:r>
        <w:rPr>
          <w:rFonts w:ascii="Times New Roman" w:cs="Times New Roman" w:eastAsia="Times New Roman" w:hAnsi="Times New Roman"/>
          <w:sz w:val="18"/>
          <w:szCs w:val="18"/>
          <w:color w:val="auto"/>
        </w:rPr>
        <w:t xml:space="preserve">The information set forth in Note 7. </w:t>
      </w:r>
      <w:r>
        <w:rPr>
          <w:rFonts w:ascii="Times New Roman" w:cs="Times New Roman" w:eastAsia="Times New Roman" w:hAnsi="Times New Roman"/>
          <w:sz w:val="18"/>
          <w:szCs w:val="18"/>
          <w:i w:val="1"/>
          <w:iCs w:val="1"/>
          <w:color w:val="auto"/>
        </w:rPr>
        <w:t>Commitments and Contingencies—Litigation</w:t>
      </w:r>
      <w:r>
        <w:rPr>
          <w:rFonts w:ascii="Times New Roman" w:cs="Times New Roman" w:eastAsia="Times New Roman" w:hAnsi="Times New Roman"/>
          <w:sz w:val="18"/>
          <w:szCs w:val="18"/>
          <w:color w:val="auto"/>
        </w:rPr>
        <w:t>, to our unaudited condensed consolidated financial statements included in this Quarterly Report on Form 10-Q is incorporated herein by reference.</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189" w:lineRule="exact"/>
        <w:rPr>
          <w:sz w:val="20"/>
          <w:szCs w:val="20"/>
          <w:color w:val="auto"/>
        </w:rPr>
      </w:pPr>
    </w:p>
    <w:p>
      <w:pPr>
        <w:ind w:firstLine="255"/>
        <w:spacing w:after="0" w:line="282"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highlighted in Part I, Item 1A titled “Risk Factors.” These risks include, but are not limited to, the following:</w:t>
      </w:r>
    </w:p>
    <w:p>
      <w:pPr>
        <w:spacing w:after="0" w:line="1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and results of operations</w:t>
      </w:r>
    </w:p>
    <w:p>
      <w:pPr>
        <w:spacing w:after="0" w:line="121" w:lineRule="exact"/>
        <w:rPr>
          <w:sz w:val="20"/>
          <w:szCs w:val="20"/>
          <w:color w:val="auto"/>
        </w:rPr>
      </w:pPr>
    </w:p>
    <w:p>
      <w:pPr>
        <w:ind w:left="1020" w:right="10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related to the current global economic environment, which could adversely affect our business, financial condition and results of operations.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products do not achieve widespread market acceptance, we will not be able to generate the revenue necessary to support our business.</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profitability depends in part on maintaining or increasing our gross margins on product sales and services, which we may not be able to achieve.</w:t>
      </w:r>
    </w:p>
    <w:p>
      <w:pPr>
        <w:spacing w:after="0" w:line="53"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outstanding indebtedness and may incur other debt in the future, which may adversely affect our financial condition and future financial results.</w:t>
      </w:r>
    </w:p>
    <w:p>
      <w:pPr>
        <w:spacing w:after="0" w:line="53" w:lineRule="exact"/>
        <w:rPr>
          <w:rFonts w:ascii="Times New Roman" w:cs="Times New Roman" w:eastAsia="Times New Roman" w:hAnsi="Times New Roman"/>
          <w:sz w:val="18"/>
          <w:szCs w:val="18"/>
          <w:color w:val="auto"/>
        </w:rPr>
      </w:pPr>
    </w:p>
    <w:p>
      <w:pPr>
        <w:ind w:left="1020" w:right="66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including our cash flows, quarterly orders, revenues and margins fluctuate from quarter to quarter and may be unpredictable, which may result in a decline in our stock price.</w:t>
      </w:r>
    </w:p>
    <w:p>
      <w:pPr>
        <w:spacing w:after="0" w:line="53" w:lineRule="exact"/>
        <w:rPr>
          <w:rFonts w:ascii="Times New Roman" w:cs="Times New Roman" w:eastAsia="Times New Roman" w:hAnsi="Times New Roman"/>
          <w:sz w:val="18"/>
          <w:szCs w:val="18"/>
          <w:color w:val="auto"/>
        </w:rPr>
      </w:pPr>
    </w:p>
    <w:p>
      <w:pPr>
        <w:jc w:val="both"/>
        <w:ind w:left="1020" w:right="40" w:hanging="503"/>
        <w:spacing w:after="0" w:line="261"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industry is subject to intense competition and rapid technological change, which may result in products or new tumor treatments that are superior to the CyberKnife and TomoTherapy platforms. If we are unable to anticipate or keep pace with changes in the marketplace and the direction of technological innovation and customer demands, our products may become obsolete or less useful and our operating results will suffer.</w:t>
      </w:r>
    </w:p>
    <w:p>
      <w:pPr>
        <w:spacing w:after="0" w:line="71"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arising from our international operations, which may adversely affect our business, financial condition, and results of operations.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have been and may continue to be impacted by changes in foreign currency exchange rates.</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66"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encounter manufacturing problems, or if our manufacturing facilities do not continue to meet federal, state or foreign manufacturing standards, we may be required to temporarily cease all or part of our manufacturing operations, which would result in delays and lost revenue.</w:t>
      </w:r>
    </w:p>
    <w:p>
      <w:pPr>
        <w:spacing w:after="0" w:line="6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develop new products or enhance existing products to meet our customers’ needs and compete favorably in the market, we may be unable to attract or retain customers.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effectively manage our growth, our business may be significantly harmed.</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become subject to product liability claims, product recalls, other field actions and warranty claims that could be expensive, divert management’s attention and harm our business.</w:t>
      </w:r>
    </w:p>
    <w:p>
      <w:pPr>
        <w:spacing w:after="0" w:line="12" w:lineRule="exact"/>
        <w:rPr>
          <w:rFonts w:ascii="Times New Roman" w:cs="Times New Roman" w:eastAsia="Times New Roman" w:hAnsi="Times New Roman"/>
          <w:sz w:val="18"/>
          <w:szCs w:val="18"/>
          <w:color w:val="auto"/>
        </w:rPr>
      </w:pPr>
    </w:p>
    <w:p>
      <w:pPr>
        <w:ind w:left="1020" w:right="140" w:hanging="503"/>
        <w:spacing w:after="0" w:line="245" w:lineRule="exact"/>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single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source suppliers for critical components of our products could harm our ability to meet demand for our products in a timely and cost effective manner.</w:t>
      </w:r>
    </w:p>
    <w:p>
      <w:pPr>
        <w:spacing w:after="0" w:line="1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33" w:name="page34"/>
    <w:bookmarkEnd w:id="33"/>
    <w:p>
      <w:pPr>
        <w:ind w:left="1020" w:right="48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key employees, the loss of whom would adversely affect our business. If we fail to attract and retain employees with the expertise required for our business, we may be unable to continue to grow our business.</w:t>
      </w:r>
    </w:p>
    <w:p>
      <w:pPr>
        <w:spacing w:after="0" w:line="53"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critical information technology systems, infrastructure and data or cyberattacks or other security breaches or incidents could harm our business and financial condition.</w:t>
      </w:r>
    </w:p>
    <w:p>
      <w:pPr>
        <w:spacing w:after="0" w:line="53"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actual or perceived failure by us to comply with legal or regulatory requirements related to privacy, cybersecurity and data protection could result in proceedings, actions or penalties against us.</w:t>
      </w:r>
    </w:p>
    <w:p>
      <w:pPr>
        <w:spacing w:after="0" w:line="53"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third-party payors do not provide sufficient coverage and reimbursement to healthcare providers for use of our product platforms or if the number of patients covered by health insurance reduces, demand for our products and our revenue could be adversely affected.</w:t>
      </w:r>
    </w:p>
    <w:p>
      <w:pPr>
        <w:spacing w:after="0" w:line="12" w:lineRule="exact"/>
        <w:rPr>
          <w:rFonts w:ascii="Times New Roman" w:cs="Times New Roman" w:eastAsia="Times New Roman" w:hAnsi="Times New Roman"/>
          <w:sz w:val="18"/>
          <w:szCs w:val="18"/>
          <w:color w:val="auto"/>
        </w:rPr>
      </w:pPr>
    </w:p>
    <w:p>
      <w:pPr>
        <w:ind w:left="1020" w:right="80" w:hanging="503"/>
        <w:spacing w:after="0" w:line="245" w:lineRule="exact"/>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and efficacy of our products for certain uses is not yet supported by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clinical data, and our products may therefore prove to be less safe and effective than initially thought.</w:t>
      </w:r>
    </w:p>
    <w:p>
      <w:pPr>
        <w:spacing w:after="0" w:line="9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or disruptions at our logistics providers have occurred and could occur in the future, which could adversely impact our business.</w:t>
      </w:r>
    </w:p>
    <w:p>
      <w:pPr>
        <w:spacing w:after="0" w:line="117"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claim we are infringing their intellectual property or that we are operating outside the scope of or violating a license or other agreement relating to their intellectual property.</w:t>
      </w:r>
    </w:p>
    <w:p>
      <w:pPr>
        <w:spacing w:after="0" w:line="53" w:lineRule="exact"/>
        <w:rPr>
          <w:rFonts w:ascii="Times New Roman" w:cs="Times New Roman" w:eastAsia="Times New Roman" w:hAnsi="Times New Roman"/>
          <w:sz w:val="18"/>
          <w:szCs w:val="18"/>
          <w:color w:val="auto"/>
        </w:rPr>
      </w:pPr>
    </w:p>
    <w:p>
      <w:pPr>
        <w:ind w:left="1020" w:right="8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difficult and costly to protect our intellectual property and our proprietary technologies and we may not be able to ensure their protection.</w:t>
      </w:r>
    </w:p>
    <w:p>
      <w:pPr>
        <w:spacing w:after="0" w:line="53" w:lineRule="exact"/>
        <w:rPr>
          <w:rFonts w:ascii="Times New Roman" w:cs="Times New Roman" w:eastAsia="Times New Roman" w:hAnsi="Times New Roman"/>
          <w:sz w:val="18"/>
          <w:szCs w:val="18"/>
          <w:color w:val="auto"/>
        </w:rPr>
      </w:pPr>
    </w:p>
    <w:p>
      <w:pPr>
        <w:jc w:val="both"/>
        <w:ind w:left="1020" w:right="200" w:hanging="503"/>
        <w:spacing w:after="0" w:line="266"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identified material weaknesses in our system of internal controls as of June 30, 2024 and are in the process of remediation. If we fail to remediate such material weakness or otherwise fail to achieve and maintain an effective system of internal control over financial reporting, our ability to produce timely and accurate financial results could be adversely impacted.</w:t>
      </w:r>
    </w:p>
    <w:p>
      <w:pPr>
        <w:spacing w:after="0" w:line="1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the regulation of our products and business</w:t>
      </w:r>
    </w:p>
    <w:p>
      <w:pPr>
        <w:spacing w:after="0" w:line="121" w:lineRule="exact"/>
        <w:rPr>
          <w:sz w:val="20"/>
          <w:szCs w:val="20"/>
          <w:color w:val="auto"/>
        </w:rPr>
      </w:pPr>
    </w:p>
    <w:p>
      <w:pPr>
        <w:ind w:left="1020" w:right="60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Modifications, upgrades, new indications and future products related to our products may require new Food and Drug Administration (“FDA”) 510(k) clearances or premarket approvals and similar licensing or approvals in international markets.</w:t>
      </w:r>
    </w:p>
    <w:p>
      <w:pPr>
        <w:spacing w:after="0" w:line="53" w:lineRule="exact"/>
        <w:rPr>
          <w:rFonts w:ascii="Times New Roman" w:cs="Times New Roman" w:eastAsia="Times New Roman" w:hAnsi="Times New Roman"/>
          <w:sz w:val="18"/>
          <w:szCs w:val="18"/>
          <w:color w:val="auto"/>
        </w:rPr>
      </w:pPr>
    </w:p>
    <w:p>
      <w:pPr>
        <w:ind w:left="1020" w:right="80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federal, state and foreign laws and regulations applicable to our operations, the violation of which could result in substantial penalties and harm our business.</w:t>
      </w:r>
    </w:p>
    <w:p>
      <w:pPr>
        <w:spacing w:after="0" w:line="53"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or our distributors do not obtain and maintain the necessary regulatory approvals in a specific country, we will not be able to market and sell our products in that country.</w:t>
      </w:r>
    </w:p>
    <w:p>
      <w:pPr>
        <w:spacing w:after="0" w:line="1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common stock</w:t>
      </w:r>
    </w:p>
    <w:p>
      <w:pPr>
        <w:spacing w:after="0" w:line="121" w:lineRule="exact"/>
        <w:rPr>
          <w:sz w:val="20"/>
          <w:szCs w:val="20"/>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common stock is volatile and may continue to fluctuate significantly, which could lead to losses for stockholders.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issuances of shares of our common stock could dilute the ownership interests of our stockholders.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conditional conversion features of the Notes, if triggered, may adversely affect our financial condition and operating results.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in the indenture for the Notes, the credit agreement for our Credit Facilities (as defined below), our certificate of incorporation and our bylaws could discourage or prevent a takeover, even if an acquisition would be beneficial in the opinion of our stockholders.</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General Risks</w:t>
      </w:r>
    </w:p>
    <w:p>
      <w:pPr>
        <w:spacing w:after="0" w:line="121" w:lineRule="exact"/>
        <w:rPr>
          <w:sz w:val="20"/>
          <w:szCs w:val="20"/>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liquidity could be adversely impacted by adverse conditions in the financial markets.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right="560" w:firstLine="255"/>
        <w:spacing w:after="0" w:line="240" w:lineRule="exact"/>
        <w:rPr>
          <w:sz w:val="20"/>
          <w:szCs w:val="20"/>
          <w:color w:val="auto"/>
        </w:rPr>
      </w:pPr>
      <w:r>
        <w:rPr>
          <w:rFonts w:ascii="Times New Roman" w:cs="Times New Roman" w:eastAsia="Times New Roman" w:hAnsi="Times New Roman"/>
          <w:sz w:val="18"/>
          <w:szCs w:val="18"/>
          <w:i w:val="1"/>
          <w:iCs w:val="1"/>
          <w:color w:val="auto"/>
        </w:rPr>
        <w:t>We operate in a rapidly changing environment that involves significant risks, a number of which are beyond our control. In addition to the other information contained in this Form 10</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Q, the following discussion highlights some of these risks and the possible</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4" w:name="page35"/>
    <w:bookmarkEnd w:id="34"/>
    <w:p>
      <w:pPr>
        <w:ind w:right="180"/>
        <w:spacing w:after="0" w:line="228" w:lineRule="exact"/>
        <w:rPr>
          <w:sz w:val="20"/>
          <w:szCs w:val="20"/>
          <w:color w:val="auto"/>
        </w:rPr>
      </w:pPr>
      <w:r>
        <w:rPr>
          <w:rFonts w:ascii="Times New Roman" w:cs="Times New Roman" w:eastAsia="Times New Roman" w:hAnsi="Times New Roman"/>
          <w:sz w:val="18"/>
          <w:szCs w:val="18"/>
          <w:i w:val="1"/>
          <w:iCs w:val="1"/>
          <w:color w:val="auto"/>
        </w:rPr>
        <w:t>impact of these factors on our business, financial condition and future results of operations. If any of the following risks actually occur, our business, financial condition or results of operations may be adversely impacted, causing the trading price of our common stock to decline. In addition, these risks and uncertainties may impact the “forward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looking” statements described elsewhere in this Form 10</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Q and in the documents incorporated herein by reference. They could affect our actual results of operations, causing them to differ materially from those expressed in “forward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looking” statements.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Results of Operations</w:t>
      </w:r>
    </w:p>
    <w:p>
      <w:pPr>
        <w:spacing w:after="0" w:line="225" w:lineRule="exact"/>
        <w:rPr>
          <w:sz w:val="20"/>
          <w:szCs w:val="20"/>
          <w:color w:val="auto"/>
        </w:rPr>
      </w:pPr>
    </w:p>
    <w:p>
      <w:pPr>
        <w:ind w:right="4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We face risks related to the current global economic environment, including risks arising in connection with tariffs, inflation, recession or currency fluctuations, any of which could adversely affect our business, financial condition and results of operations by, among other things, delaying or preventing our customers from obtaining financing to purchase our products and services or implementing the required facilities to house our systems.</w:t>
      </w:r>
    </w:p>
    <w:p>
      <w:pPr>
        <w:spacing w:after="0" w:line="157" w:lineRule="exact"/>
        <w:rPr>
          <w:sz w:val="20"/>
          <w:szCs w:val="20"/>
          <w:color w:val="auto"/>
        </w:rPr>
      </w:pPr>
    </w:p>
    <w:p>
      <w:pPr>
        <w:ind w:right="20" w:firstLine="255"/>
        <w:spacing w:after="0" w:line="252" w:lineRule="auto"/>
        <w:rPr>
          <w:sz w:val="20"/>
          <w:szCs w:val="20"/>
          <w:color w:val="auto"/>
        </w:rPr>
      </w:pPr>
      <w:r>
        <w:rPr>
          <w:rFonts w:ascii="Times New Roman" w:cs="Times New Roman" w:eastAsia="Times New Roman" w:hAnsi="Times New Roman"/>
          <w:sz w:val="18"/>
          <w:szCs w:val="18"/>
          <w:color w:val="auto"/>
        </w:rPr>
        <w:t>Our business and results of operations are materially affected by conditions in the global markets and the economy generally. Concerns over economic and political stability; inflation levels and related efforts to mitigate inflation; a potential recession; the level of U.S. national debt, the U.S. debt credit rating and U.S. budgetary concerns; currency fluctuations and volatility; the rate of growth of Japan, China and other Asian economies, including the impact of the China anti-corruption campaign and timing of China stimulus program on those economies; unemployment; the availability and cost of credit; trade relations, including the imposition of various sanctions and tariffs in other countries; energy costs; instability in the banking and financial services sector and geopolitical uncertainty and conflict, the change in the U.S. presidential administration and recent executive orders to impose new tariffs on imports from Canada, Mexico and China and uncertainties regarding impact, retaliations and further escalation, including against other countries, have contributed to increased volatility and diminished expectations for the economy and the markets in general. In turn, periods of economic slowdown or recession could lead to a reduction in demand for our products and services, which in turn would reduce our revenues and adversely affect our results of operations and our financial position. The results of these macroeconomic conditions, and the actions taken by governments, central banks, companies, and consumers in response, have and may continue to result in higher inflation in the U.S. and globally, which has led to an increase in costs and caused changes in fiscal and monetary policy, including increased interest rates. Other adverse impacts of recent macroeconomic conditions that have impacted us and may continue to impact us are foreign exchange rate fluctuations, supply chain constraints, logistics challenges, and fluctuations in labor availability. Thus, if general macroeconomic conditions deteriorate, our business and financial results could be materially and adversely affected.</w:t>
      </w:r>
    </w:p>
    <w:p>
      <w:pPr>
        <w:spacing w:after="0" w:line="197" w:lineRule="exact"/>
        <w:rPr>
          <w:sz w:val="20"/>
          <w:szCs w:val="20"/>
          <w:color w:val="auto"/>
        </w:rPr>
      </w:pPr>
    </w:p>
    <w:p>
      <w:pPr>
        <w:ind w:firstLine="255"/>
        <w:spacing w:after="0" w:line="253" w:lineRule="auto"/>
        <w:rPr>
          <w:sz w:val="20"/>
          <w:szCs w:val="20"/>
          <w:color w:val="auto"/>
        </w:rPr>
      </w:pPr>
      <w:r>
        <w:rPr>
          <w:rFonts w:ascii="Times New Roman" w:cs="Times New Roman" w:eastAsia="Times New Roman" w:hAnsi="Times New Roman"/>
          <w:sz w:val="18"/>
          <w:szCs w:val="18"/>
          <w:color w:val="auto"/>
        </w:rPr>
        <w:t>In an inflationary environment, we may be unable to raise the prices of our products and services sufficiently to keep up with the rate of inflation. Impacts from inflationary pressures could be more pronounced and materially adversely impact aspects of our business where revenue streams and cost commitments are linked to contractual agreements that extend many years into the future, as we may not be able to quickly or easily adjust pricing, reduce costs, or implement counter measures. A higher inflationary environment can also negatively impact raw material, component, and logistics costs that, in turn, has increased the costs of producing and distributing our products. For example, inflationary pressures as well as ongoing supply chain challenges beginning in fiscal year 2023 have resulted in rising costs for certain materials, including increased logistics and duties costs, that have materially affected our gross margins and net income (loss), which have had a material effect on our business, financial condition or results of operations. We expect that gross margins and net income (loss) will continue to be adversely affected by increased material costs and freight and logistic expenses through fiscal year 2025, and potentially longer. In addition, we expect inflation and the ongoing supply chain challenges and logistics costs to impact our cash from operations through fiscal year 2025.</w:t>
      </w:r>
    </w:p>
    <w:p>
      <w:pPr>
        <w:spacing w:after="0" w:line="194" w:lineRule="exact"/>
        <w:rPr>
          <w:sz w:val="20"/>
          <w:szCs w:val="20"/>
          <w:color w:val="auto"/>
        </w:rPr>
      </w:pPr>
    </w:p>
    <w:p>
      <w:pPr>
        <w:ind w:right="220" w:firstLine="255"/>
        <w:spacing w:after="0" w:line="254" w:lineRule="auto"/>
        <w:rPr>
          <w:sz w:val="20"/>
          <w:szCs w:val="20"/>
          <w:color w:val="auto"/>
        </w:rPr>
      </w:pPr>
      <w:r>
        <w:rPr>
          <w:rFonts w:ascii="Times New Roman" w:cs="Times New Roman" w:eastAsia="Times New Roman" w:hAnsi="Times New Roman"/>
          <w:sz w:val="18"/>
          <w:szCs w:val="18"/>
          <w:color w:val="auto"/>
        </w:rPr>
        <w:t>Further, the U.S. federal government has called for, or enacted, substantial changes to healthcare, trade, fiscal, and tax policies, which may include changes to existing trade agreements and may have a significant impact on our operations. For example, the United States has imposed tariffs on certain foreign products, including most recently from Canada, Mexico and China, that in the past have resulted in and may result in future retaliatory tariffs on U.S. goods and products. We cannot predict whether these policies will continue, or if new policies will be enacted, or the impact, if any, that any policy changes could have on our business. In addition, failure of the U.S. Government to pass a budget in a timely manner or any reductions in healthcare spending in the budget may adversely impact us or our customers. If economic conditions worsen, or new legislation is passed related to the healthcare system, trade, fiscal or tax policies, customer demand may not materialize to levels we require to achieve our anticipated financial results, which could have a material adverse effect on our business, financial condition and results of operations.</w:t>
      </w:r>
    </w:p>
    <w:p>
      <w:pPr>
        <w:spacing w:after="0" w:line="192" w:lineRule="exact"/>
        <w:rPr>
          <w:sz w:val="20"/>
          <w:szCs w:val="20"/>
          <w:color w:val="auto"/>
        </w:rPr>
      </w:pPr>
    </w:p>
    <w:p>
      <w:pPr>
        <w:ind w:firstLine="255"/>
        <w:spacing w:after="0" w:line="256" w:lineRule="auto"/>
        <w:rPr>
          <w:sz w:val="20"/>
          <w:szCs w:val="20"/>
          <w:color w:val="auto"/>
        </w:rPr>
      </w:pPr>
      <w:r>
        <w:rPr>
          <w:rFonts w:ascii="Times New Roman" w:cs="Times New Roman" w:eastAsia="Times New Roman" w:hAnsi="Times New Roman"/>
          <w:sz w:val="18"/>
          <w:szCs w:val="18"/>
          <w:color w:val="auto"/>
        </w:rPr>
        <w:t>The uncertain macroeconomic environment, including volatile credit markets and concerns regarding the availability and cost of credit, increased interest rates, inflation, reduced economic growth or a recession, instability in the banking and financial services sector, and concerns relating to the change in the U.S. presidential administration, in any of the geographic areas where we do business, could impact consumer and customer demand for our products and services, as well as our ability to manage normal commercial relationships with our customers, suppliers and creditors, including financial institutions, and the ability of our customers to meet their obligations to us. For example, in the United States, at least one customer declared bankruptcy in fiscal 2023 causing us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7" w:right="359" w:bottom="1440" w:gutter="0" w:footer="0" w:header="0"/>
        </w:sectPr>
      </w:pPr>
    </w:p>
    <w:bookmarkStart w:id="35" w:name="page36"/>
    <w:bookmarkEnd w:id="35"/>
    <w:p>
      <w:pPr>
        <w:spacing w:after="0" w:line="253" w:lineRule="auto"/>
        <w:rPr>
          <w:sz w:val="20"/>
          <w:szCs w:val="20"/>
          <w:color w:val="auto"/>
        </w:rPr>
      </w:pPr>
      <w:r>
        <w:rPr>
          <w:rFonts w:ascii="Times New Roman" w:cs="Times New Roman" w:eastAsia="Times New Roman" w:hAnsi="Times New Roman"/>
          <w:sz w:val="18"/>
          <w:szCs w:val="18"/>
          <w:color w:val="auto"/>
        </w:rPr>
        <w:t>to increase our bad debt reserve due to the expectation that they will be unable to pay us. Further, some of our customers have been delayed in obtaining, or have not been able to obtain, necessary financing for their purchases of the CyberKnife or TomoTherapy platforms. In addition, some of our customers have been delayed in obtaining, or have not been able to obtain, necessary financing for the construction or renovation of facilities to house the CyberKnife or TomoTherapy platforms, the cost of which can be substantial. These delays have, in some instances, led to our customers postponing the shipment and installation of previously ordered systems or cancelling their system orders and may cause other customers to postpone their system installation or to cancel their agreements with us. Reduced budgets and lower capital deployment priority for radiotherapy equipment, along with longer customer installation timelines, in the United States have also negatively impacted our net revenue since fiscal year 2024, and we expect this will continue to have an impact through fiscal year 2026. A continuation or further deterioration of the adverse economic environment would further increase delays and order cancellations, or affect our ability to collect from our customers, any of which would continue to adversely affect revenues, and therefore, harm our business and results of operations.</w:t>
      </w:r>
    </w:p>
    <w:p>
      <w:pPr>
        <w:spacing w:after="0" w:line="190"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CyberKnife or TomoTherapy platforms do not achieve widespread market acceptance, we will not be able to generate the revenue necessary to support our business.</w:t>
      </w:r>
    </w:p>
    <w:p>
      <w:pPr>
        <w:spacing w:after="0" w:line="118" w:lineRule="exact"/>
        <w:rPr>
          <w:sz w:val="20"/>
          <w:szCs w:val="20"/>
          <w:color w:val="auto"/>
        </w:rPr>
      </w:pPr>
    </w:p>
    <w:p>
      <w:pPr>
        <w:ind w:right="20" w:firstLine="255"/>
        <w:spacing w:after="0" w:line="224" w:lineRule="exact"/>
        <w:rPr>
          <w:sz w:val="20"/>
          <w:szCs w:val="20"/>
          <w:color w:val="auto"/>
        </w:rPr>
      </w:pPr>
      <w:r>
        <w:rPr>
          <w:rFonts w:ascii="Times New Roman" w:cs="Times New Roman" w:eastAsia="Times New Roman" w:hAnsi="Times New Roman"/>
          <w:sz w:val="18"/>
          <w:szCs w:val="18"/>
          <w:color w:val="auto"/>
        </w:rPr>
        <w:t>Achieving physician, patient, hospital administrator and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 acceptance of the CyberKnife and TomoTherapy platforms as preferred methods of tumor treatment is crucial to our continued success. Physicians will not begin to use or increase the use of the CyberKnife or TomoTherapy platforms unless they determine, based on experience, clinical data and other factors, that the CyberKnife and TomoTherapy platforms are safe and effective alternatives to traditional treatment methods. Further, physicians may be slow to adopt new or updated versions of our CyberKnife and TomoTherapy platforms because of the perceived liability risks arising from the use of new products and the uncertainty of reimbursement from third-party payors, particularly in light of ongoing health care reform initiatives and the evolving U.S. health care environment. If we are not able to expand market acceptance of our products and maintain and increase our base of installed systems, or installed base, then sales of our products may not meet expectations. Any failure to expand and protect our existing installed base could adversely affect our operating results.</w:t>
      </w:r>
    </w:p>
    <w:p>
      <w:pPr>
        <w:spacing w:after="0" w:line="198" w:lineRule="exact"/>
        <w:rPr>
          <w:sz w:val="20"/>
          <w:szCs w:val="20"/>
          <w:color w:val="auto"/>
        </w:rPr>
      </w:pPr>
    </w:p>
    <w:p>
      <w:pPr>
        <w:ind w:right="220" w:firstLine="255"/>
        <w:spacing w:after="0" w:line="254" w:lineRule="auto"/>
        <w:rPr>
          <w:sz w:val="20"/>
          <w:szCs w:val="20"/>
          <w:color w:val="auto"/>
        </w:rPr>
      </w:pPr>
      <w:r>
        <w:rPr>
          <w:rFonts w:ascii="Times New Roman" w:cs="Times New Roman" w:eastAsia="Times New Roman" w:hAnsi="Times New Roman"/>
          <w:sz w:val="18"/>
          <w:szCs w:val="18"/>
          <w:color w:val="auto"/>
        </w:rPr>
        <w:t>We often need to educate physicians about the use of stereotactic radiosurgery, image guided radiation therapy (“IGRT”) and adaptive radiation therapy, convince healthcare payors that the benefits of the CyberKnife and TomoTherapy platforms and their related treatment processes outweigh their costs, and help train qualified physicians in the skilled use of these systems. In addition, we also must educate prospective customers regarding the entire functionality of our radiation therapy systems and their relative benefits compared to alternative products and treatment methods. We must also increase awareness among potential patients, who are increasingly educated about treatment options and therefore, impact adoption of new technologies by clinicians. We have expended and will continue to expend significant resources on marketing and educational efforts to create awareness of stereotactic radiosurgery and robotic intensity-modulated radiotherapy (“IMRT”) as well as adaptive radiation therapy and IGRT generally and to encourage the acceptance and adoption of our products for these technologies. We cannot be sure that our products will gain significant market acceptance among physicians, patients and healthcare payors, even if we spend significant time and expense on their education.</w:t>
      </w:r>
    </w:p>
    <w:p>
      <w:pPr>
        <w:spacing w:after="0" w:line="188" w:lineRule="exact"/>
        <w:rPr>
          <w:sz w:val="20"/>
          <w:szCs w:val="20"/>
          <w:color w:val="auto"/>
        </w:rPr>
      </w:pPr>
    </w:p>
    <w:p>
      <w:pPr>
        <w:ind w:right="240" w:firstLine="255"/>
        <w:spacing w:after="0" w:line="256" w:lineRule="auto"/>
        <w:rPr>
          <w:sz w:val="20"/>
          <w:szCs w:val="20"/>
          <w:color w:val="auto"/>
        </w:rPr>
      </w:pPr>
      <w:r>
        <w:rPr>
          <w:rFonts w:ascii="Times New Roman" w:cs="Times New Roman" w:eastAsia="Times New Roman" w:hAnsi="Times New Roman"/>
          <w:sz w:val="18"/>
          <w:szCs w:val="18"/>
          <w:color w:val="auto"/>
        </w:rPr>
        <w:t>In addition to achieving market acceptance of our products and the need to educate physicians and others about the benefits of our products, the CyberKnife and TomoTherapy platforms are major capital purchases, and purchase decisions are greatly influenced by hospital administrators who are subject to increasing pressures to reduce costs. In addition, hospitals and other health professionals may reduce staffing and reduce or postpone meetings with potential suppliers in response to the spread of an infectious disease, such as COVID-19, effectively delaying the decision on potential purchases of new products such as ours. These and other factors, including the following, may affect the rate and level of market acceptance of the CyberKnife and TomoTherapy platforms:</w:t>
      </w:r>
    </w:p>
    <w:p>
      <w:pPr>
        <w:spacing w:after="0" w:line="79" w:lineRule="exact"/>
        <w:rPr>
          <w:sz w:val="20"/>
          <w:szCs w:val="20"/>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CyberKnife and TomoTherapy platforms’ price relative to other products or competing treatments;</w:t>
      </w:r>
    </w:p>
    <w:p>
      <w:pPr>
        <w:spacing w:after="0" w:line="117"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products and enhancements and receive regulatory clearances and approval, if required, to such products in a timely manner;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scrutiny by state boards when evaluating certificates of need requested by purchasing institutions;</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 by patients, physicians and other members of the healthcare community of the CyberKnife and TomoTherapy platforms’ safety, efficacy, efficiency and benefits compared to competing technologies or treatments;</w:t>
      </w:r>
    </w:p>
    <w:p>
      <w:pPr>
        <w:spacing w:after="0" w:line="53"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willingness of physicians to adopt new techniques and the ability of physicians to acquire the skills necessary to operate the CyberKnife and TomoTherapy platforms;</w:t>
      </w:r>
    </w:p>
    <w:p>
      <w:pPr>
        <w:spacing w:after="0" w:line="12" w:lineRule="exact"/>
        <w:rPr>
          <w:rFonts w:ascii="Times New Roman" w:cs="Times New Roman" w:eastAsia="Times New Roman" w:hAnsi="Times New Roman"/>
          <w:sz w:val="18"/>
          <w:szCs w:val="18"/>
          <w:color w:val="auto"/>
        </w:rPr>
      </w:pPr>
    </w:p>
    <w:p>
      <w:pPr>
        <w:ind w:left="1020" w:right="100" w:hanging="503"/>
        <w:spacing w:after="0" w:line="245" w:lineRule="exact"/>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extent of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coverage and reimbursement rates, particularly from Medicare, for procedures using the CyberKnife and TomoTherapy platforms; and</w:t>
      </w:r>
    </w:p>
    <w:p>
      <w:pPr>
        <w:spacing w:after="0" w:line="9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new products and technologies by our competitors or new treatment alternatives.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6" w:name="page37"/>
    <w:bookmarkEnd w:id="36"/>
    <w:p>
      <w:pPr>
        <w:ind w:right="500" w:firstLine="255"/>
        <w:spacing w:after="0" w:line="282" w:lineRule="auto"/>
        <w:rPr>
          <w:sz w:val="20"/>
          <w:szCs w:val="20"/>
          <w:color w:val="auto"/>
        </w:rPr>
      </w:pPr>
      <w:r>
        <w:rPr>
          <w:rFonts w:ascii="Times New Roman" w:cs="Times New Roman" w:eastAsia="Times New Roman" w:hAnsi="Times New Roman"/>
          <w:sz w:val="18"/>
          <w:szCs w:val="18"/>
          <w:color w:val="auto"/>
        </w:rPr>
        <w:t>If the CyberKnife or TomoTherapy platforms are unable to achieve or maintain market acceptance, new orders and sales of our systems would be adversely affected, our revenue levels would decrease and our business would be harmed.</w:t>
      </w:r>
    </w:p>
    <w:p>
      <w:pPr>
        <w:spacing w:after="0" w:line="131"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achieve profitability depends in part on maintaining or increasing our gross margins on product sales and services, which we may not be able to achieve.</w:t>
      </w:r>
    </w:p>
    <w:p>
      <w:pPr>
        <w:spacing w:after="0" w:line="159" w:lineRule="exact"/>
        <w:rPr>
          <w:sz w:val="20"/>
          <w:szCs w:val="20"/>
          <w:color w:val="auto"/>
        </w:rPr>
      </w:pPr>
    </w:p>
    <w:p>
      <w:pPr>
        <w:ind w:firstLine="255"/>
        <w:spacing w:after="0" w:line="220" w:lineRule="exact"/>
        <w:rPr>
          <w:sz w:val="20"/>
          <w:szCs w:val="20"/>
          <w:color w:val="auto"/>
        </w:rPr>
      </w:pPr>
      <w:r>
        <w:rPr>
          <w:rFonts w:ascii="Times New Roman" w:cs="Times New Roman" w:eastAsia="Times New Roman" w:hAnsi="Times New Roman"/>
          <w:sz w:val="18"/>
          <w:szCs w:val="18"/>
          <w:color w:val="auto"/>
        </w:rPr>
        <w:t>As of December 31, 2024, we had an accumulated deficit of $519.1 million. We have incurred net losses, and expect to incur net losses in the future, particularly as selling and marketing activities increase ahead of any expected revenue. Our ability to achieve and sustain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profitability is largely dependent on our ability to successfully market and sell the CyberKnife and TomoTherapy platforms, control our costs, and effectively manage our growth. We cannot assure you that we will be able to achieve profitability and even if we do achieve profitability, we may not be able to sustain or increase profitability on a quarterly or annual basis. In the event we fail to achieve profitability, our stock price could decline.</w:t>
      </w:r>
    </w:p>
    <w:p>
      <w:pPr>
        <w:spacing w:after="0" w:line="201" w:lineRule="exact"/>
        <w:rPr>
          <w:sz w:val="20"/>
          <w:szCs w:val="20"/>
          <w:color w:val="auto"/>
        </w:rPr>
      </w:pPr>
    </w:p>
    <w:p>
      <w:pPr>
        <w:ind w:right="340" w:firstLine="255"/>
        <w:spacing w:after="0" w:line="282" w:lineRule="auto"/>
        <w:rPr>
          <w:sz w:val="20"/>
          <w:szCs w:val="20"/>
          <w:color w:val="auto"/>
        </w:rPr>
      </w:pPr>
      <w:r>
        <w:rPr>
          <w:rFonts w:ascii="Times New Roman" w:cs="Times New Roman" w:eastAsia="Times New Roman" w:hAnsi="Times New Roman"/>
          <w:sz w:val="18"/>
          <w:szCs w:val="18"/>
          <w:color w:val="auto"/>
        </w:rPr>
        <w:t>Our ability to achieve profitability also depends on our ability to maintain or increase our gross margins on product sales and services. A number of factors have adversely impacted or could impact gross margins, including:</w:t>
      </w:r>
    </w:p>
    <w:p>
      <w:pPr>
        <w:spacing w:after="0" w:line="54" w:lineRule="exact"/>
        <w:rPr>
          <w:sz w:val="20"/>
          <w:szCs w:val="20"/>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than expected manufacturing yields of high cost components leading to increased manufacturing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 production volume, which will result in high levels of overhead cost per unit of production;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selling pricing;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sell products and services, recognize revenue from our sales and the timing of revenue recognition and revenue deferrals;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labor costs or other costs as a result of increased inflation and supply chain constraints;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receipt of or increased costs related to critical components parts, including as a result of supply chain disruptions;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inventory costs and liabilities for excess inventory resulting from inventory held in excess of forecasted demand;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service or warranty costs or the failure to reduce service or warranty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price competition;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 in the margins across products installed in a particular period;</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U.S. and foreign trade policies, including enactments of tariffs on goods imported into the U.S. and any retaliatory tariffs imposed by other countries on U.S. goods, including our products;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well we execute on our strategic and operating plans.</w:t>
      </w:r>
    </w:p>
    <w:p>
      <w:pPr>
        <w:spacing w:after="0" w:line="225" w:lineRule="exact"/>
        <w:rPr>
          <w:sz w:val="20"/>
          <w:szCs w:val="20"/>
          <w:color w:val="auto"/>
        </w:rPr>
      </w:pPr>
    </w:p>
    <w:p>
      <w:pPr>
        <w:ind w:right="140" w:firstLine="255"/>
        <w:spacing w:after="0" w:line="282" w:lineRule="auto"/>
        <w:rPr>
          <w:sz w:val="20"/>
          <w:szCs w:val="20"/>
          <w:color w:val="auto"/>
        </w:rPr>
      </w:pPr>
      <w:r>
        <w:rPr>
          <w:rFonts w:ascii="Times New Roman" w:cs="Times New Roman" w:eastAsia="Times New Roman" w:hAnsi="Times New Roman"/>
          <w:sz w:val="18"/>
          <w:szCs w:val="18"/>
          <w:color w:val="auto"/>
        </w:rPr>
        <w:t>If we are unable to maintain or increase our gross margins on product sales and service, our results of operations could be adversely impacted, we may not achieve profitability and our stock price could decline.</w:t>
      </w:r>
    </w:p>
    <w:p>
      <w:pPr>
        <w:spacing w:after="0" w:line="117"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outstanding indebtedness in the form of Convertible Senior Notes and a credit facility and may incur other debt in the future, which may adversely affect our financial condition and future financial results.</w:t>
      </w:r>
    </w:p>
    <w:p>
      <w:pPr>
        <w:spacing w:after="0" w:line="118" w:lineRule="exact"/>
        <w:rPr>
          <w:sz w:val="20"/>
          <w:szCs w:val="20"/>
          <w:color w:val="auto"/>
        </w:rPr>
      </w:pPr>
    </w:p>
    <w:p>
      <w:pPr>
        <w:ind w:right="100" w:firstLine="255"/>
        <w:spacing w:after="0" w:line="256" w:lineRule="auto"/>
        <w:rPr>
          <w:sz w:val="20"/>
          <w:szCs w:val="20"/>
          <w:color w:val="auto"/>
        </w:rPr>
      </w:pPr>
      <w:r>
        <w:rPr>
          <w:rFonts w:ascii="Times New Roman" w:cs="Times New Roman" w:eastAsia="Times New Roman" w:hAnsi="Times New Roman"/>
          <w:sz w:val="18"/>
          <w:szCs w:val="18"/>
          <w:color w:val="auto"/>
        </w:rPr>
        <w:t>In May 2021, we issued $100.0 million aggregate principal amount of our 3.75% Convertible Senior Notes due 2026 (the “Notes”). As our debt matures, we anticipate having to expend significant resources to either repay or refinance the Notes. For example, in May 2021, in connection with the issuance of the Notes, we (i) exchanged approximately $82.1 million aggregate principal amount of our previously issued 3.75% Convertible Senior Notes due 2022 for approximately $97.1 million aggregate principal amount of the Notes and (ii) sold approximately $2.9 million aggregate principal amount of the Notes for cash. If we decide to, or are required to, refinance the Notes in the future, we may be required to do so on different or less favorable terms or we may be unable to refinance the Notes at all, both of which may adversely affect our financial condition.</w:t>
      </w:r>
    </w:p>
    <w:p>
      <w:pPr>
        <w:spacing w:after="0" w:line="160" w:lineRule="exact"/>
        <w:rPr>
          <w:sz w:val="20"/>
          <w:szCs w:val="20"/>
          <w:color w:val="auto"/>
        </w:rPr>
      </w:pPr>
    </w:p>
    <w:p>
      <w:pPr>
        <w:ind w:right="40" w:firstLine="255"/>
        <w:spacing w:after="0" w:line="282" w:lineRule="auto"/>
        <w:rPr>
          <w:sz w:val="20"/>
          <w:szCs w:val="20"/>
          <w:color w:val="auto"/>
        </w:rPr>
      </w:pPr>
      <w:r>
        <w:rPr>
          <w:rFonts w:ascii="Times New Roman" w:cs="Times New Roman" w:eastAsia="Times New Roman" w:hAnsi="Times New Roman"/>
          <w:sz w:val="18"/>
          <w:szCs w:val="18"/>
          <w:color w:val="auto"/>
        </w:rPr>
        <w:t>In May 2021, we entered into a credit agreement that provided us with a five-year $80.0 million term loan (the “Term Loan Facility”) and $40.0 million revolving credit facility (the “Revolving Credit Facility” and together with the “Term Loan Facility”, the “Credit Facilities”).</w:t>
      </w:r>
    </w:p>
    <w:p>
      <w:pPr>
        <w:spacing w:after="0" w:line="121" w:lineRule="exact"/>
        <w:rPr>
          <w:sz w:val="20"/>
          <w:szCs w:val="20"/>
          <w:color w:val="auto"/>
        </w:rPr>
      </w:pPr>
    </w:p>
    <w:p>
      <w:pPr>
        <w:ind w:right="400" w:firstLine="255"/>
        <w:spacing w:after="0" w:line="282" w:lineRule="auto"/>
        <w:rPr>
          <w:sz w:val="20"/>
          <w:szCs w:val="20"/>
          <w:color w:val="auto"/>
        </w:rPr>
      </w:pPr>
      <w:r>
        <w:rPr>
          <w:rFonts w:ascii="Times New Roman" w:cs="Times New Roman" w:eastAsia="Times New Roman" w:hAnsi="Times New Roman"/>
          <w:sz w:val="18"/>
          <w:szCs w:val="18"/>
          <w:color w:val="auto"/>
        </w:rPr>
        <w:t>As of December 31, 2024, we had total consolidated liabilities of $430.5 million; including long-term liabilities of the Notes of $100.0 million, the Revolving Credit Facility of $17.0 million and the Term Loan Facility of $60.0 million, of which $7.6 million is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37" w:name="page38"/>
    <w:bookmarkEnd w:id="37"/>
    <w:p>
      <w:pPr>
        <w:ind w:right="120" w:firstLine="45"/>
        <w:spacing w:after="0" w:line="282" w:lineRule="auto"/>
        <w:rPr>
          <w:sz w:val="20"/>
          <w:szCs w:val="20"/>
          <w:color w:val="auto"/>
        </w:rPr>
      </w:pPr>
      <w:r>
        <w:rPr>
          <w:rFonts w:ascii="Times New Roman" w:cs="Times New Roman" w:eastAsia="Times New Roman" w:hAnsi="Times New Roman"/>
          <w:sz w:val="18"/>
          <w:szCs w:val="18"/>
          <w:color w:val="auto"/>
        </w:rPr>
        <w:t>classified as short-term loan. Our existing and future levels of indebtedness could have important consequences to stockholders and note holders and may adversely affect our financial conditions and future financial results by, among other things:</w:t>
      </w:r>
    </w:p>
    <w:p>
      <w:pPr>
        <w:spacing w:after="0" w:line="54" w:lineRule="exact"/>
        <w:rPr>
          <w:sz w:val="20"/>
          <w:szCs w:val="20"/>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affecting our ability to satisfy our obligations under the Notes and Credit Facilities;</w:t>
      </w:r>
    </w:p>
    <w:p>
      <w:pPr>
        <w:spacing w:after="0" w:line="117"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 substantial portion of our cash flows from operations to be dedicated to interest and principal payments, which may not be available for operations, working capital, capital expenditures, expansion, acquisitions or general corporate or other purposes;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impairing our ability to obtain additional financing in the future;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our business and industry;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downturns in our business, our industry or the economy in general.</w:t>
      </w:r>
    </w:p>
    <w:p>
      <w:pPr>
        <w:spacing w:after="0" w:line="225" w:lineRule="exact"/>
        <w:rPr>
          <w:sz w:val="20"/>
          <w:szCs w:val="20"/>
          <w:color w:val="auto"/>
        </w:rPr>
      </w:pPr>
    </w:p>
    <w:p>
      <w:pPr>
        <w:ind w:right="20" w:firstLine="255"/>
        <w:spacing w:after="0" w:line="252" w:lineRule="auto"/>
        <w:rPr>
          <w:sz w:val="20"/>
          <w:szCs w:val="20"/>
          <w:color w:val="auto"/>
        </w:rPr>
      </w:pPr>
      <w:r>
        <w:rPr>
          <w:rFonts w:ascii="Times New Roman" w:cs="Times New Roman" w:eastAsia="Times New Roman" w:hAnsi="Times New Roman"/>
          <w:sz w:val="18"/>
          <w:szCs w:val="18"/>
          <w:color w:val="auto"/>
        </w:rPr>
        <w:t>The credit agreement governing the Credit Facilities (the “Existing Credit Agreement”) also includes certain restrictive covenants that limit, among other things, our ability and our subsidiaries’ ability to (i) incur indebtedness, (ii) incur liens on their property, (iii) pay dividends or make other distributions, (iv) sell their assets, (v) make certain loans or investments, (vi) merge or consolidate, (vii) voluntarily repay or prepay certain indebtedness and (viii) enter into transactions with affiliates, in each case, subject to certain exceptions. In addition, such agreements require us to meet certain financial covenants, including a consolidated fixed charge coverage ratio and consolidated senior net leverage ratio, as defined in the Existing Credit Agreement. These restrictions could adversely affect our ability to finance our future operations or capital needs, withstand a future downturn in our business or the economy in general, engage in business activities, including future opportunities that may be in our interest, and plan for or react to market conditions or otherwise execute our business strategies. Our ability to comply with the covenants and other terms governing the Credit Facilities will depend in part on our future operating performance. If we fail to comply with such covenants and terms, we may be in default and the maturity of the related debt could be accelerated and become immediately due and payable. In addition, because substantially all of our assets are pledged as a security under the Credit Facilities, if we are not able to cure any default or repay outstanding borrowings, such assets are subject to the risk of foreclosure by our lenders. From time to time, we have not been in compliance with such covenants or other terms governing the Credit Facilities and we have been required to obtain waivers or amendments to the Existing Credit Agreement from our lenders in order to maintain compliance. For example, in the first fiscal quarter of 2025, we amended the Existing Credit Agreement to make certain changes to our financial covenants that enabled us to remain in compliance with such covenants. There can, however, be no certainty that any such waiver or amendment will be available to us in the future, or what the cost of such waiver or amendment, if obtained, would be. If we are unable to obtain necessary waivers or relevant amendments and the debt under such credit facility is accelerated, we would be required to obtain replacement financing at prevailing market rates, which may not be favorable to us. Additionally, a default on indebtedness could result in a default under the terms of the indenture governing the Notes. There is no guarantee that we would be able to satisfy our obligations if any of our indebtedness is accelerated.</w:t>
      </w:r>
    </w:p>
    <w:p>
      <w:pPr>
        <w:spacing w:after="0" w:line="191" w:lineRule="exact"/>
        <w:rPr>
          <w:sz w:val="20"/>
          <w:szCs w:val="20"/>
          <w:color w:val="auto"/>
        </w:rPr>
      </w:pPr>
    </w:p>
    <w:p>
      <w:pPr>
        <w:ind w:right="180" w:firstLine="255"/>
        <w:spacing w:after="0" w:line="266" w:lineRule="auto"/>
        <w:rPr>
          <w:sz w:val="20"/>
          <w:szCs w:val="20"/>
          <w:color w:val="auto"/>
        </w:rPr>
      </w:pPr>
      <w:r>
        <w:rPr>
          <w:rFonts w:ascii="Times New Roman" w:cs="Times New Roman" w:eastAsia="Times New Roman" w:hAnsi="Times New Roman"/>
          <w:sz w:val="18"/>
          <w:szCs w:val="18"/>
          <w:color w:val="auto"/>
        </w:rPr>
        <w:t>In addition, our debt obligations consist of a variety of financial instruments that expose us to interest rate risk, including, but not limited to the Credit Facilities and Notes. If the amount outstanding under the Credit Facilities remained at this level for the next 12 months and interest rates increased or decreased by 50 basis point change, our annual interest expense would increase or decrease, respectively, approximately $0.4 million.</w:t>
      </w:r>
    </w:p>
    <w:p>
      <w:pPr>
        <w:spacing w:after="0" w:line="14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including our cash flows, quarterly orders, revenues and margins fluctuate from quarter to quarter and may be unpredictable, which may result in a decline in our stock price.</w:t>
      </w:r>
    </w:p>
    <w:p>
      <w:pPr>
        <w:spacing w:after="0" w:line="132" w:lineRule="exact"/>
        <w:rPr>
          <w:sz w:val="20"/>
          <w:szCs w:val="20"/>
          <w:color w:val="auto"/>
        </w:rPr>
      </w:pPr>
    </w:p>
    <w:p>
      <w:pPr>
        <w:ind w:firstLine="255"/>
        <w:spacing w:after="0" w:line="219" w:lineRule="exact"/>
        <w:rPr>
          <w:sz w:val="20"/>
          <w:szCs w:val="20"/>
          <w:color w:val="auto"/>
        </w:rPr>
      </w:pPr>
      <w:r>
        <w:rPr>
          <w:rFonts w:ascii="Times New Roman" w:cs="Times New Roman" w:eastAsia="Times New Roman" w:hAnsi="Times New Roman"/>
          <w:sz w:val="18"/>
          <w:szCs w:val="18"/>
          <w:color w:val="auto"/>
        </w:rPr>
        <w:t>We have experienced and expect in the future to experience fluctuations in our operating results, including gross orders, revenues and margins, from period to period. Drivers of orders include the introduction and timing of new product or product enhancement announcements by us and our competitors, the timing of regulatory approvals, changes in price by us and our competitors as well as changes or anticipated changes in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reimbursement amounts or policies applicable to treatments using our products. The availability of economic stimulus packages or other government funding, or reductions thereof, may also affect timing of customer purchases. Our products have a high unit price and require significant capital expenditures by our customers. Accordingly, we experience long sales and implementation cycles, which is of greater concern during a volatile economic environment where we have had customers delay or cancel orders. The timing of when orders are placed, when installation, delivery or shipping, as applicable, is accomplished and when revenue is recognized affect our quarterly results. Further, because of the high unit price of the CyberKnife and TomoTherapy platforms and the relatively small number of units sold or installed each quarter, each sale or installation of a CyberKnife or TomoTherapy platform can represent a significant percentage of our net orders, backlog or revenue for a particular quarter and shifts in sales or installation from one quarter to another may have significant effects. For example, multi-system sales or sales involving negotiations with integrated delivery networks involve additional complexities to the transaction and require a longer timeline to finalize the sale, which make it more difficult to predict the quarter in which the sale will occur. In addition, we have</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t>experienced delays in orders and installations due to the impact of macroeconomic factors as well as the COVID-19 pandemic at our customer sites.</w:t>
      </w:r>
    </w:p>
    <w:p>
      <w:pPr>
        <w:spacing w:after="0" w:line="198" w:lineRule="exact"/>
        <w:rPr>
          <w:sz w:val="20"/>
          <w:szCs w:val="20"/>
          <w:color w:val="auto"/>
        </w:rPr>
      </w:pPr>
    </w:p>
    <w:p>
      <w:pPr>
        <w:ind w:firstLine="255"/>
        <w:spacing w:after="0" w:line="226" w:lineRule="exact"/>
        <w:rPr>
          <w:sz w:val="20"/>
          <w:szCs w:val="20"/>
          <w:color w:val="auto"/>
        </w:rPr>
      </w:pPr>
      <w:r>
        <w:rPr>
          <w:rFonts w:ascii="Times New Roman" w:cs="Times New Roman" w:eastAsia="Times New Roman" w:hAnsi="Times New Roman"/>
          <w:sz w:val="18"/>
          <w:szCs w:val="18"/>
          <w:color w:val="auto"/>
        </w:rPr>
        <w:t>Once orders are received and booked into backlog, there is a risk that we may not recognize revenue in the near term or at all. The pace at which backlog converts to revenue has been adversely impacted in recent years, primarily due to delays in the timing of deliveries and installations in fiscal 2020 through 2022 caused by the COVID-19 pandemic and the resulting effects on the global economic environment. These delays in deliveries and installations could occur again in the future, which could have a negative impact on our revenue. Factors that may affect whether these orders become revenue (or are cancelled or deemed aged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out and reflected as a reduction in net orders) and the timing of revenue include:</w:t>
      </w:r>
    </w:p>
    <w:p>
      <w:pPr>
        <w:spacing w:after="0" w:line="63" w:lineRule="exact"/>
        <w:rPr>
          <w:sz w:val="20"/>
          <w:szCs w:val="20"/>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or political instability, including volatility related to the current global economic environment;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customer obtaining or inability of a customer to obtain funding or financing;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construction at the customer site and delays in installation;</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customer obtaining or inability of such customer to obtain local or foreign regulatory approvals such as certificates of need in certain states or Class A or Class B user licenses in China;</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applicable sales and service contracts of the CyberKnife and TomoTherapy platforms; and</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proportion of revenue attributable to orders placed by our distributors, which may be more difficult to forecast due to factors outside our control.</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Our operating results may also be affected by a number of other factors, some of which are outside of our control, including:</w:t>
      </w:r>
    </w:p>
    <w:p>
      <w:pPr>
        <w:spacing w:after="0" w:line="117" w:lineRule="exact"/>
        <w:rPr>
          <w:sz w:val="20"/>
          <w:szCs w:val="20"/>
          <w:color w:val="auto"/>
        </w:rPr>
      </w:pPr>
    </w:p>
    <w:p>
      <w:pPr>
        <w:ind w:left="1020" w:right="10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business operations of our customers or vendors, construction at customer sites and installation, including delays caused by supply chain delays;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level of expenditures associated with new product development activities;</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requirements in some states for a certificate of need prior to the installation of a radiation device or foreign regulatory approvals, such as Class A or Class B user licenses in China;</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shipment due to, among other things, unanticipated construction delays at customer locations where our products are to be installed, cancellations by customers, natural disasters, global or regional health pandemics or epidemics, or labor disturbances;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our manufacturing processes or unexpected manufacturing difficulties, including due to supply chain and logistics challenges;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the announcement, introduction and delivery of new products or product upgrades by us and by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level of expenditures associated with expansion of sales and marketing activities such as trade shows and our overall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level of expenditures associated with our financing activities;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foreign currency adjustments;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such as those related to revenue recognition, or in the interpretation or the application thereof; and</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66"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gross margins and the factors that contribute to such fluctuations, as described in Management’s Discussion and Analysis of Financial Condition and Results of Operations and the risk factor entitled, “Our ability to achieve profitability depends in part on maintaining or increasing our gross margins on product sales and services, which we may not be able to achieve.”</w:t>
      </w:r>
    </w:p>
    <w:p>
      <w:pPr>
        <w:spacing w:after="0" w:line="176" w:lineRule="exact"/>
        <w:rPr>
          <w:sz w:val="20"/>
          <w:szCs w:val="20"/>
          <w:color w:val="auto"/>
        </w:rPr>
      </w:pPr>
    </w:p>
    <w:p>
      <w:pPr>
        <w:ind w:right="60" w:firstLine="255"/>
        <w:spacing w:after="0" w:line="266" w:lineRule="auto"/>
        <w:rPr>
          <w:sz w:val="20"/>
          <w:szCs w:val="20"/>
          <w:color w:val="auto"/>
        </w:rPr>
      </w:pPr>
      <w:r>
        <w:rPr>
          <w:rFonts w:ascii="Times New Roman" w:cs="Times New Roman" w:eastAsia="Times New Roman" w:hAnsi="Times New Roman"/>
          <w:sz w:val="18"/>
          <w:szCs w:val="18"/>
          <w:color w:val="auto"/>
        </w:rPr>
        <w:t>Because many of our operating expenses are based on anticipated sales and a high percentage of these expenses are fixed for the short term, a small variation in the timing of revenue recognition can cause significant variations in operating results from quarter to quarter. If our financial results fall below the expectation of securities analysts and investors, the trading price of our common stock would almost certainly decline.</w:t>
      </w:r>
    </w:p>
    <w:p>
      <w:pPr>
        <w:spacing w:after="0" w:line="176" w:lineRule="exact"/>
        <w:rPr>
          <w:sz w:val="20"/>
          <w:szCs w:val="20"/>
          <w:color w:val="auto"/>
        </w:rPr>
      </w:pPr>
    </w:p>
    <w:p>
      <w:pPr>
        <w:ind w:right="460" w:firstLine="255"/>
        <w:spacing w:after="0" w:line="282" w:lineRule="auto"/>
        <w:rPr>
          <w:sz w:val="20"/>
          <w:szCs w:val="20"/>
          <w:color w:val="auto"/>
        </w:rPr>
      </w:pPr>
      <w:r>
        <w:rPr>
          <w:rFonts w:ascii="Times New Roman" w:cs="Times New Roman" w:eastAsia="Times New Roman" w:hAnsi="Times New Roman"/>
          <w:sz w:val="18"/>
          <w:szCs w:val="18"/>
          <w:color w:val="auto"/>
        </w:rPr>
        <w:t>We report our orders and backlog on a quarterly and annual basis. Unlike revenues, orders and backlog are not defined by United States generally accepted accounting principles (“U.S. GAAP”), and are not within the scope of the audit conducted by our</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9" w:right="359" w:bottom="1440" w:gutter="0" w:footer="0" w:header="0"/>
        </w:sectPr>
      </w:pPr>
    </w:p>
    <w:bookmarkStart w:id="39" w:name="page40"/>
    <w:bookmarkEnd w:id="39"/>
    <w:p>
      <w:pPr>
        <w:ind w:right="20"/>
        <w:spacing w:after="0" w:line="256" w:lineRule="auto"/>
        <w:rPr>
          <w:sz w:val="20"/>
          <w:szCs w:val="20"/>
          <w:color w:val="auto"/>
        </w:rPr>
      </w:pPr>
      <w:r>
        <w:rPr>
          <w:rFonts w:ascii="Times New Roman" w:cs="Times New Roman" w:eastAsia="Times New Roman" w:hAnsi="Times New Roman"/>
          <w:sz w:val="18"/>
          <w:szCs w:val="18"/>
          <w:color w:val="auto"/>
        </w:rPr>
        <w:t>independent registered public accounting firm. Also, for the reasons discussed in Management’s Discussion and Analysis of Financial Condition and Results of Operations, our orders and backlog cannot necessarily be relied upon as accurate predictors of future revenues. Order cancellation or significant delays in installation date will reduce our backlog and future revenues, and we cannot predict if or when orders will mature into revenues. Particularly high levels of cancellations or age-outs in one or more periods may cause our revenue and gross margins to decline in current or future periods and will make it difficult to compare our operating results from quarter to quarter. We cannot assure you that our backlog will result in revenue on a timely basis or at all, or that any cancelled contracts will be replaced.</w:t>
      </w:r>
    </w:p>
    <w:p>
      <w:pPr>
        <w:spacing w:after="0" w:line="183"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industry is subject to intense competition and rapid technological change, which may result in products or new tumor treatments that are superior to the CyberKnife and TomoTherapy platforms. If we are unable to anticipate or keep pace with changes in the marketplace and the direction of technological innovation and customer demands, our products may become obsolete or less useful and our operating results will suffer.</w:t>
      </w:r>
    </w:p>
    <w:p>
      <w:pPr>
        <w:spacing w:after="0" w:line="134" w:lineRule="exact"/>
        <w:rPr>
          <w:sz w:val="20"/>
          <w:szCs w:val="20"/>
          <w:color w:val="auto"/>
        </w:rPr>
      </w:pPr>
    </w:p>
    <w:p>
      <w:pPr>
        <w:ind w:right="220" w:firstLine="255"/>
        <w:spacing w:after="0" w:line="226" w:lineRule="exact"/>
        <w:rPr>
          <w:sz w:val="20"/>
          <w:szCs w:val="20"/>
          <w:color w:val="auto"/>
        </w:rPr>
      </w:pPr>
      <w:r>
        <w:rPr>
          <w:rFonts w:ascii="Times New Roman" w:cs="Times New Roman" w:eastAsia="Times New Roman" w:hAnsi="Times New Roman"/>
          <w:sz w:val="18"/>
          <w:szCs w:val="18"/>
          <w:color w:val="auto"/>
        </w:rPr>
        <w:t>The medical device industry in general and the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invasive cancer treatment field in particular are subject to intense and increasing competition and rapidly evolving technologies. Because our products often have long development and government approval cycles, we must anticipate changes in the marketplace and the direction of technological innovation and customer demands. To compete successfully, we will need to continue to demonstrate the advantages of our products and technologies over well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established alternative procedures, products and technologies, and convince physicians and other healthcare decision makers of the advantages of our products and technologies. Traditional surgery and other forms of minimally invasive procedures, brachytherapy, chemotherapy or other drugs remain alternatives to the CyberKnife and TomoTherapy platforms.</w:t>
      </w:r>
    </w:p>
    <w:p>
      <w:pPr>
        <w:spacing w:after="0" w:line="161" w:lineRule="exact"/>
        <w:rPr>
          <w:sz w:val="20"/>
          <w:szCs w:val="20"/>
          <w:color w:val="auto"/>
        </w:rPr>
      </w:pPr>
    </w:p>
    <w:p>
      <w:pPr>
        <w:ind w:firstLine="255"/>
        <w:spacing w:after="0" w:line="223" w:lineRule="exact"/>
        <w:rPr>
          <w:sz w:val="20"/>
          <w:szCs w:val="20"/>
          <w:color w:val="auto"/>
        </w:rPr>
      </w:pPr>
      <w:r>
        <w:rPr>
          <w:rFonts w:ascii="Times New Roman" w:cs="Times New Roman" w:eastAsia="Times New Roman" w:hAnsi="Times New Roman"/>
          <w:sz w:val="18"/>
          <w:szCs w:val="18"/>
          <w:color w:val="auto"/>
        </w:rPr>
        <w:t>We consider the competition for the CyberKnife and TomoTherapy platforms to be existing radiation therapy systems, primarily using C</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arm linacs, which are sold by large, well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capitalized companies with significantly greater market share and resources than we have. Several of these competitors are also able to leverage their fixed sales, service and other costs over multiple products or product lines. In particular, we compete with a number of existing radiation therapy equipment companies, including Varian Medical Systems, Inc., a Siemens Healthineers company (“Varian”), Elekta AB (“Elekta”), RefleXion Medical Inc. and Zap Surgical Systems. Varian has been the leader in the external beam radiation therapy market for many years and has the majority market share for radiation therapy systems worldwide. In general, because of aging demographics and attractive market factors in oncology, we believe that new competitors will enter the radiosurgery and radiation therapy markets in the years ahead. In addition, some manufacturers of conventional linac based radiation therapy systems, including Varian and Elekta, have products that can be used in combination with body and/or head frames and image guidance systems to perform both radiosurgical and radiotherapy procedures.</w:t>
      </w:r>
    </w:p>
    <w:p>
      <w:pPr>
        <w:spacing w:after="0" w:line="198" w:lineRule="exact"/>
        <w:rPr>
          <w:sz w:val="20"/>
          <w:szCs w:val="20"/>
          <w:color w:val="auto"/>
        </w:rPr>
      </w:pPr>
    </w:p>
    <w:p>
      <w:pPr>
        <w:ind w:right="100" w:firstLine="255"/>
        <w:spacing w:after="0" w:line="220" w:lineRule="exact"/>
        <w:rPr>
          <w:sz w:val="20"/>
          <w:szCs w:val="20"/>
          <w:color w:val="auto"/>
        </w:rPr>
      </w:pPr>
      <w:r>
        <w:rPr>
          <w:rFonts w:ascii="Times New Roman" w:cs="Times New Roman" w:eastAsia="Times New Roman" w:hAnsi="Times New Roman"/>
          <w:sz w:val="18"/>
          <w:szCs w:val="18"/>
          <w:color w:val="auto"/>
        </w:rPr>
        <w:t>Furthermore, many government, academic and business entities are investing substantial resources in research and development of cancer treatments, including surgical approaches, radiation treatment, MRI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guided radiotherapy systems, proton therapy systems, radiopharmaceutical/pharmaceutical treatments, gene therapy (which is the treatment of disease by replacing, manipulating, or supplementing nonfunctional genes) and other approaches. Successful developments that result in new approaches for the treatment of cancer could reduce the attractiveness of our products or render them obsolete.</w:t>
      </w:r>
    </w:p>
    <w:p>
      <w:pPr>
        <w:spacing w:after="0" w:line="200" w:lineRule="exact"/>
        <w:rPr>
          <w:sz w:val="20"/>
          <w:szCs w:val="20"/>
          <w:color w:val="auto"/>
        </w:rPr>
      </w:pPr>
    </w:p>
    <w:p>
      <w:pPr>
        <w:ind w:right="40" w:firstLine="255"/>
        <w:spacing w:after="0" w:line="254" w:lineRule="auto"/>
        <w:rPr>
          <w:sz w:val="20"/>
          <w:szCs w:val="20"/>
          <w:color w:val="auto"/>
        </w:rPr>
      </w:pPr>
      <w:r>
        <w:rPr>
          <w:rFonts w:ascii="Times New Roman" w:cs="Times New Roman" w:eastAsia="Times New Roman" w:hAnsi="Times New Roman"/>
          <w:sz w:val="18"/>
          <w:szCs w:val="18"/>
          <w:color w:val="auto"/>
        </w:rPr>
        <w:t>Our future success will depend in large part on our ability to establish and maintain a competitive position in current and future technologies. Rapid technological development may render the CyberKnife and TomoTherapy platforms and their technologies obsolete. Many of our competitors have or may have greater corporate, financial, operational, sales and marketing resources, and more experience and resources in research and development than we have. We cannot assure you that our competitors will not succeed in developing or marketing technologies or products that are more effective or commercially attractive than our products or that would render our technologies and products obsolete or less useful. We may not have the financial resources, technical expertise, marketing, distribution or support capabilities to compete successfully in the future. In addition, some of our competitors may compete by changing their pricing model or by lowering the price of their products. If we are unable to maintain or increase our selling prices, our revenue and gross margins may suffer. Our success will depend in large part on our ability to maintain a competitive position with our technologies.</w:t>
      </w:r>
    </w:p>
    <w:p>
      <w:pPr>
        <w:spacing w:after="0" w:line="192" w:lineRule="exact"/>
        <w:rPr>
          <w:sz w:val="20"/>
          <w:szCs w:val="20"/>
          <w:color w:val="auto"/>
        </w:rPr>
      </w:pPr>
    </w:p>
    <w:p>
      <w:pPr>
        <w:ind w:right="180" w:firstLine="255"/>
        <w:spacing w:after="0" w:line="226" w:lineRule="exact"/>
        <w:rPr>
          <w:sz w:val="20"/>
          <w:szCs w:val="20"/>
          <w:color w:val="auto"/>
        </w:rPr>
      </w:pPr>
      <w:r>
        <w:rPr>
          <w:rFonts w:ascii="Times New Roman" w:cs="Times New Roman" w:eastAsia="Times New Roman" w:hAnsi="Times New Roman"/>
          <w:sz w:val="18"/>
          <w:szCs w:val="18"/>
          <w:color w:val="auto"/>
        </w:rPr>
        <w:t>In addition to competition from technologies performing similar functions as our platforms, competition also exists for the limited capital expenditure budgets of our customers. For example, our platforms may compete with other equipment required by a radiation therapy department for financing under the same capital expenditure budget, which is typically limited. A purchaser, such as a hospital or cancer treatment center, may be required to select between the two items of capital equipment. Our ability to compete may also be adversely affected when purchase decisions are based solely upon price, since our products are premium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priced systems due to their higher level of functionality and performance.</w:t>
      </w:r>
    </w:p>
    <w:p>
      <w:pPr>
        <w:spacing w:after="0" w:line="167"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arising from our international operations, which may adversely affect our business, financial condition, and results of operations.</w:t>
      </w:r>
    </w:p>
    <w:p>
      <w:pPr>
        <w:spacing w:after="0" w:line="1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40" w:name="page41"/>
    <w:bookmarkEnd w:id="40"/>
    <w:p>
      <w:pPr>
        <w:ind w:left="260"/>
        <w:spacing w:after="0"/>
        <w:rPr>
          <w:sz w:val="20"/>
          <w:szCs w:val="20"/>
          <w:color w:val="auto"/>
        </w:rPr>
      </w:pPr>
      <w:r>
        <w:rPr>
          <w:rFonts w:ascii="Times New Roman" w:cs="Times New Roman" w:eastAsia="Times New Roman" w:hAnsi="Times New Roman"/>
          <w:sz w:val="18"/>
          <w:szCs w:val="18"/>
          <w:color w:val="auto"/>
        </w:rPr>
        <w:t>We derive most of our revenue from our international operations, and we plan to continue expanding our business in international markets in the future.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we have employees engaged in R&amp;D, manufacturing, administration, manufacturing, support and sales and marketing activities.</w:t>
      </w:r>
    </w:p>
    <w:p>
      <w:pPr>
        <w:spacing w:after="0" w:line="207" w:lineRule="exact"/>
        <w:rPr>
          <w:sz w:val="20"/>
          <w:szCs w:val="20"/>
          <w:color w:val="auto"/>
        </w:rPr>
      </w:pPr>
    </w:p>
    <w:p>
      <w:pPr>
        <w:ind w:right="20" w:firstLine="255"/>
        <w:spacing w:after="0" w:line="282" w:lineRule="auto"/>
        <w:rPr>
          <w:sz w:val="20"/>
          <w:szCs w:val="20"/>
          <w:color w:val="auto"/>
        </w:rPr>
      </w:pPr>
      <w:r>
        <w:rPr>
          <w:rFonts w:ascii="Times New Roman" w:cs="Times New Roman" w:eastAsia="Times New Roman" w:hAnsi="Times New Roman"/>
          <w:sz w:val="18"/>
          <w:szCs w:val="18"/>
          <w:color w:val="auto"/>
        </w:rPr>
        <w:t>As a result of our international operations, in addition to similar risks we face in our U.S. operations, we are affected by economic, business, regulatory, social, and political conditions in foreign countries, including the following:</w:t>
      </w:r>
    </w:p>
    <w:p>
      <w:pPr>
        <w:spacing w:after="0" w:line="54" w:lineRule="exact"/>
        <w:rPr>
          <w:sz w:val="20"/>
          <w:szCs w:val="20"/>
          <w:color w:val="auto"/>
        </w:rPr>
      </w:pPr>
    </w:p>
    <w:p>
      <w:pPr>
        <w:ind w:left="1020" w:right="320" w:hanging="503"/>
        <w:spacing w:after="0" w:line="266"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or political instability in the world or in particular regions or countries in which we do business, including the market volatility resulting from conflicts or war, such as the Russia-Ukraine and the Middle East conflicts and the change in the U.S. presidential administration;</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delays;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foreign laws and regulations governing, among other matters, the clearance, approval and sales of medical devices;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differing foreign regulatory requirements to sell and market our products;</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relations with the governments of the foreign countries in which we operate, which may, among other things, affect our access to such markets, including China, where our JV is located;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payment cycles associated with many customers outside the United States;</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of customers to obtain requisite government approvals, such as customers in China, including customers of the JV, obtaining one of the limited number of Class A or Class B user licenses available in order to purchase our products;</w:t>
      </w:r>
    </w:p>
    <w:p>
      <w:pPr>
        <w:spacing w:after="0" w:line="53" w:lineRule="exact"/>
        <w:rPr>
          <w:rFonts w:ascii="Times New Roman" w:cs="Times New Roman" w:eastAsia="Times New Roman" w:hAnsi="Times New Roman"/>
          <w:sz w:val="18"/>
          <w:szCs w:val="18"/>
          <w:color w:val="auto"/>
        </w:rPr>
      </w:pPr>
    </w:p>
    <w:p>
      <w:pPr>
        <w:ind w:left="1020" w:right="72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compliance with privacy, data protection and information security laws, such as the European Union (“EU”) General Data Protection Regulation (the “GDPR”) and new regulations in China;</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coverage and reimbursement for the CyberKnife and TomoTherapy platform treatment procedures outside the United States;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local laws to provide the same degree of protection against infringement of our intellectual property;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protectionist laws and business practices that favor local competitors;</w:t>
      </w:r>
    </w:p>
    <w:p>
      <w:pPr>
        <w:spacing w:after="0" w:line="117" w:lineRule="exact"/>
        <w:rPr>
          <w:rFonts w:ascii="Times New Roman" w:cs="Times New Roman" w:eastAsia="Times New Roman" w:hAnsi="Times New Roman"/>
          <w:sz w:val="18"/>
          <w:szCs w:val="18"/>
          <w:color w:val="auto"/>
        </w:rPr>
      </w:pPr>
    </w:p>
    <w:p>
      <w:pPr>
        <w:ind w:left="1020" w:right="70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trade and economic sanctions policies that are in effect from time to time and the possibility that foreign countries may impose additional taxes, tariffs or other restrictions on foreign trade;</w:t>
      </w:r>
    </w:p>
    <w:p>
      <w:pPr>
        <w:spacing w:after="0" w:line="53" w:lineRule="exact"/>
        <w:rPr>
          <w:rFonts w:ascii="Times New Roman" w:cs="Times New Roman" w:eastAsia="Times New Roman" w:hAnsi="Times New Roman"/>
          <w:sz w:val="18"/>
          <w:szCs w:val="18"/>
          <w:color w:val="auto"/>
        </w:rPr>
      </w:pPr>
    </w:p>
    <w:p>
      <w:pPr>
        <w:ind w:left="1020" w:right="76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restrictions that are in effect from time to time, including U.S. prohibitions and restrictions on exports of certain products and technologies to certain nations and customers;</w:t>
      </w:r>
    </w:p>
    <w:p>
      <w:pPr>
        <w:spacing w:after="0" w:line="53"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unfamiliarity of shipping companies and other logistics providers with U.S. export control laws, which may lead to their unwillingness to ship or delays in shipping, our products to certain nations and customers despite such shipments being permitted under such laws;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obtain required export or import licenses or approvals;</w:t>
      </w:r>
    </w:p>
    <w:p>
      <w:pPr>
        <w:spacing w:after="0" w:line="117" w:lineRule="exact"/>
        <w:rPr>
          <w:rFonts w:ascii="Times New Roman" w:cs="Times New Roman" w:eastAsia="Times New Roman" w:hAnsi="Times New Roman"/>
          <w:sz w:val="18"/>
          <w:szCs w:val="18"/>
          <w:color w:val="auto"/>
        </w:rPr>
      </w:pPr>
    </w:p>
    <w:p>
      <w:pPr>
        <w:ind w:left="1020" w:right="80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foreign currency, including fluctuations in foreign currency exchange rates possibly causing fewer sales due to the strengthening of the U.S. Dollar;</w:t>
      </w:r>
    </w:p>
    <w:p>
      <w:pPr>
        <w:spacing w:after="0" w:line="53" w:lineRule="exact"/>
        <w:rPr>
          <w:rFonts w:ascii="Times New Roman" w:cs="Times New Roman" w:eastAsia="Times New Roman" w:hAnsi="Times New Roman"/>
          <w:sz w:val="18"/>
          <w:szCs w:val="18"/>
          <w:color w:val="auto"/>
        </w:rPr>
      </w:pPr>
    </w:p>
    <w:p>
      <w:pPr>
        <w:ind w:left="1080" w:hanging="563"/>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and uncertainties caused by the United Kingdom’s withdrawal from the European Union;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contractual provisions governed by foreign laws; and</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66"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such as earthquakes and fires, and global or regional health pandemics or epidemics, such as COVID-19 or data privacy or security incidents, that may have a disproportionate effect in certain geographies resulting in decreased demand or decreased ability of our employees or employees of our customers and partners to work and travel.</w:t>
      </w:r>
    </w:p>
    <w:p>
      <w:pPr>
        <w:spacing w:after="0" w:line="176" w:lineRule="exact"/>
        <w:rPr>
          <w:sz w:val="20"/>
          <w:szCs w:val="20"/>
          <w:color w:val="auto"/>
        </w:rPr>
      </w:pPr>
    </w:p>
    <w:p>
      <w:pPr>
        <w:ind w:right="320" w:firstLine="255"/>
        <w:spacing w:after="0" w:line="282" w:lineRule="auto"/>
        <w:rPr>
          <w:sz w:val="20"/>
          <w:szCs w:val="20"/>
          <w:color w:val="auto"/>
        </w:rPr>
      </w:pPr>
      <w:r>
        <w:rPr>
          <w:rFonts w:ascii="Times New Roman" w:cs="Times New Roman" w:eastAsia="Times New Roman" w:hAnsi="Times New Roman"/>
          <w:sz w:val="18"/>
          <w:szCs w:val="18"/>
          <w:color w:val="auto"/>
        </w:rPr>
        <w:t>Our inability to overcome these obstacles could harm our business, financial condition and operating results. Even if we are successful in managing these obstacles, our partners internationally are subject to these same risks and may not be able to manage these obstacles effectively.</w:t>
      </w:r>
    </w:p>
    <w:p>
      <w:pPr>
        <w:spacing w:after="0" w:line="162" w:lineRule="exact"/>
        <w:rPr>
          <w:sz w:val="20"/>
          <w:szCs w:val="20"/>
          <w:color w:val="auto"/>
        </w:rPr>
      </w:pPr>
    </w:p>
    <w:p>
      <w:pPr>
        <w:ind w:firstLine="255"/>
        <w:spacing w:after="0" w:line="282" w:lineRule="auto"/>
        <w:rPr>
          <w:sz w:val="20"/>
          <w:szCs w:val="20"/>
          <w:color w:val="auto"/>
        </w:rPr>
      </w:pPr>
      <w:r>
        <w:rPr>
          <w:rFonts w:ascii="Times New Roman" w:cs="Times New Roman" w:eastAsia="Times New Roman" w:hAnsi="Times New Roman"/>
          <w:sz w:val="18"/>
          <w:szCs w:val="18"/>
          <w:color w:val="auto"/>
        </w:rPr>
        <w:t>In addition, our partners internationally are subject to these same risks. If we or our partners are impacted by any of these factors, our business, financial condition and operating results could be adversely affected.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9"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i w:val="1"/>
          <w:iCs w:val="1"/>
          <w:color w:val="auto"/>
        </w:rPr>
        <w:t>Our results have been and may continue to be impacted by changes in foreign currency exchange rates.</w:t>
      </w:r>
    </w:p>
    <w:p>
      <w:pPr>
        <w:spacing w:after="0" w:line="229" w:lineRule="exact"/>
        <w:rPr>
          <w:sz w:val="20"/>
          <w:szCs w:val="20"/>
          <w:color w:val="auto"/>
        </w:rPr>
      </w:pPr>
    </w:p>
    <w:p>
      <w:pPr>
        <w:ind w:firstLine="255"/>
        <w:spacing w:after="0" w:line="219" w:lineRule="exact"/>
        <w:rPr>
          <w:sz w:val="20"/>
          <w:szCs w:val="20"/>
          <w:color w:val="auto"/>
        </w:rPr>
      </w:pPr>
      <w:r>
        <w:rPr>
          <w:rFonts w:ascii="Times New Roman" w:cs="Times New Roman" w:eastAsia="Times New Roman" w:hAnsi="Times New Roman"/>
          <w:sz w:val="18"/>
          <w:szCs w:val="18"/>
          <w:color w:val="auto"/>
        </w:rPr>
        <w:t>Our operating results are subject to volatility due to fluctuations in foreign currency exchange rates. Currently, the majority of our international sales are denominated in U.S. Dollars. As a result, an increase in the value of the U.S. Dollar relative to foreign currencies could require us to reduce our sales price or make our products less competitive in international markets. Foreign exchange continues to be a significant headwind as the U.S. Dollar has continued to strengthen, which affect our results of operations and could cause potential delays in orders and we may see our sales and margins outside of the U.S. decline as we may not be able to raise local prices to fully offset the strengthening of the U.S. Dollar. Also, if our international sales continue to increase, we may enter into a greater number of transactions denominated in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 Dollars, which would expose us to foreign currency risks, including changes in currency exchange rates. If we are unable to address these risks and challenges effectively, our international operations may not be successful and our business would be materially harmed.</w:t>
      </w:r>
    </w:p>
    <w:p>
      <w:pPr>
        <w:spacing w:after="0" w:line="194"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Enhanced international tariffs, including tariffs imposed by the United States and China that affect our products or components within our products, other trade barriers or a global trade war could increase our costs and materially and adversely affect our business operations and financial condition.</w:t>
      </w:r>
    </w:p>
    <w:p>
      <w:pPr>
        <w:spacing w:after="0" w:line="159" w:lineRule="exact"/>
        <w:rPr>
          <w:sz w:val="20"/>
          <w:szCs w:val="20"/>
          <w:color w:val="auto"/>
        </w:rPr>
      </w:pPr>
    </w:p>
    <w:p>
      <w:pPr>
        <w:ind w:firstLine="255"/>
        <w:spacing w:after="0" w:line="252" w:lineRule="auto"/>
        <w:rPr>
          <w:sz w:val="20"/>
          <w:szCs w:val="20"/>
          <w:color w:val="auto"/>
        </w:rPr>
      </w:pPr>
      <w:r>
        <w:rPr>
          <w:rFonts w:ascii="Times New Roman" w:cs="Times New Roman" w:eastAsia="Times New Roman" w:hAnsi="Times New Roman"/>
          <w:sz w:val="18"/>
          <w:szCs w:val="18"/>
          <w:color w:val="auto"/>
        </w:rPr>
        <w:t>Our global business could be negatively affected by trade barriers and other governmental protectionist measures, any of which can be imposed suddenly and unpredictably. For example, following Russia’s invasion of Ukraine, the United States and other countries imposed economic sanctions and severe export control restrictions against Russia and Belarus, and the United States and other countries could impose wider sanctions and export restrictions and take other actions should the conflict further escalate. Any exports or sales of our products into Russia and Belarus may be impacted by these restrictions. For instance, we are not able to ship certain spare or replacement parts into Russia and Belarus, which impacts our distributor's ability to service our installed base in such countries. The military conflict in Ukraine has also led to an expansion of sanction programs imposed against Russia by the United States, Canada, the EU, the United Kingdom, Switzerland, and Japan, among others, that in relevant part, impose sanctions against some of the largest state-owned and private Russian financial institutions (and their subsequent removal from the Society for Worldwide Interbank Financial Telecommunication (“SWIFT”) payment system) and certain Russian businesses, some of which have significant financial and trade ties to the EU, making it increasingly difficult to transfer money from Russia to other countries. In response to international sanctions, and as part of measures to stabilize and support the volatile Russian financial and currency markets, the Russian authorities imposed significant currency control measures aimed at restricting the outflow of foreign currency and capital from Russia, imposed various restrictions on transacting with non-Russian parties, banned exports of various products and imposed other economic and financial restrictions. If we are unable to receive payment from customers in Russia or transfer money outside of Russia, it could affect our ability to convert backlog from that region into revenue. The situation continues to evolve, and the United States, the EU, the United Kingdom and other countries may implement additional sanctions, export controls or other measures against Russia and other countries, regions, officials, individuals or industries in the respective territories. Such sanctions and measures, as well as existing and potential further responses from Russia or other countries, could adversely affect the global economy and financial markets, as well as our business, financial condition and results of operations, which may also magnify the impact of other risks described in this “Risk Factors” section.</w:t>
      </w:r>
    </w:p>
    <w:p>
      <w:pPr>
        <w:spacing w:after="0" w:line="192" w:lineRule="exact"/>
        <w:rPr>
          <w:sz w:val="20"/>
          <w:szCs w:val="20"/>
          <w:color w:val="auto"/>
        </w:rPr>
      </w:pPr>
    </w:p>
    <w:p>
      <w:pPr>
        <w:ind w:firstLine="255"/>
        <w:spacing w:after="0" w:line="253" w:lineRule="auto"/>
        <w:rPr>
          <w:sz w:val="20"/>
          <w:szCs w:val="20"/>
          <w:color w:val="auto"/>
        </w:rPr>
      </w:pPr>
      <w:r>
        <w:rPr>
          <w:rFonts w:ascii="Times New Roman" w:cs="Times New Roman" w:eastAsia="Times New Roman" w:hAnsi="Times New Roman"/>
          <w:sz w:val="18"/>
          <w:szCs w:val="18"/>
          <w:color w:val="auto"/>
        </w:rPr>
        <w:t>There is also currently significant uncertainty about the future relationship between the U.S. and various other countries, most significantly China, with respect to trade policies, treaties, government regulations and tariffs and such uncertainty could continue with the change in the U.S. presidential administration. Recently, the U.S. presidential administration has signed executive orders to impose new tariffs on imports from Canada, Mexico and China and has indicated that additional tariffs may be imposed against other countries, including the European Union. These tariffs affect component parts including the linear accelerator for our CyberKnife platforms, which we manufacture in China and import into the U.S., as well as other components that we import into the U.S. from other suppliers, which could significantly impact the cost of these parts. Any retaliatory tariffs could also impact our ability to export and sell our products into those countries. For example, during the last half of calendar year 2018, the U.S. federal government imposed a series of tariffs ranging from 10% to 25% on a variety of imports from China, to which China responded with retaliatory tariffs ranging from 5% to 25% on a wide range of products from the U.S., which included certain of our products. If these tariffs continue, if additional tariffs are placed on certain of our components or products, or if any related counter-measures are taken by China, Mexico and Canada, the U.S. or other countries, our business, financial condition and results of operations may be materially harmed. The imposition of tariffs could also increase our costs and require us to raise prices on our products, which may negatively impact the demand for our products in the affected market. If we are not successful in offsetting the impact of any such tariffs, our revenue, gross margins and operating results may be adversely affected.</w:t>
      </w:r>
    </w:p>
    <w:p>
      <w:pPr>
        <w:spacing w:after="0" w:line="187" w:lineRule="exact"/>
        <w:rPr>
          <w:sz w:val="20"/>
          <w:szCs w:val="20"/>
          <w:color w:val="auto"/>
        </w:rPr>
      </w:pPr>
    </w:p>
    <w:p>
      <w:pPr>
        <w:ind w:right="80" w:firstLine="255"/>
        <w:spacing w:after="0" w:line="261" w:lineRule="auto"/>
        <w:rPr>
          <w:sz w:val="20"/>
          <w:szCs w:val="20"/>
          <w:color w:val="auto"/>
        </w:rPr>
      </w:pPr>
      <w:r>
        <w:rPr>
          <w:rFonts w:ascii="Times New Roman" w:cs="Times New Roman" w:eastAsia="Times New Roman" w:hAnsi="Times New Roman"/>
          <w:sz w:val="18"/>
          <w:szCs w:val="18"/>
          <w:color w:val="auto"/>
        </w:rPr>
        <w:t>These tariffs are subject to a number of uncertainties as they are implemented, including future adjustments and changes. The ultimate reaction of other countries and the impact of these tariffs or other actions on the U.S., the global economy and our business, financial condition and results of operations, cannot be predicted at this time, nor can we predict the impact of any other developments with respect to global trade. Further, the imposition of additional tariffs by the U.S. could result in the adoption of additional tariffs by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42" w:name="page43"/>
    <w:bookmarkEnd w:id="42"/>
    <w:p>
      <w:pPr>
        <w:spacing w:after="0" w:line="258" w:lineRule="auto"/>
        <w:rPr>
          <w:sz w:val="20"/>
          <w:szCs w:val="20"/>
          <w:color w:val="auto"/>
        </w:rPr>
      </w:pPr>
      <w:r>
        <w:rPr>
          <w:rFonts w:ascii="Times New Roman" w:cs="Times New Roman" w:eastAsia="Times New Roman" w:hAnsi="Times New Roman"/>
          <w:sz w:val="18"/>
          <w:szCs w:val="18"/>
          <w:color w:val="auto"/>
        </w:rPr>
        <w:t>other countries, as well as further retaliatory actions by any affected country. Any resulting trade war could negatively impact the global market for medical devices, including radiation therapy devices, and could have a significant adverse effect on our business. These developments may have a material adverse effect on global economic conditions and the stability of global financial markets, and they may significantly reduce global trade. Any of these factors could depress economic activity, restrict our access to customers and have a material adverse effect on our business, financial condition and results of operations.</w:t>
      </w:r>
    </w:p>
    <w:p>
      <w:pPr>
        <w:spacing w:after="0" w:line="179"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encounter manufacturing problems, or if our manufacturing facilities do not continue to meet federal, state or foreign manufacturing standards, we may be required to temporarily cease all or part of our manufacturing operations, which would result in delays and lost revenue.</w:t>
      </w:r>
    </w:p>
    <w:p>
      <w:pPr>
        <w:spacing w:after="0" w:line="159" w:lineRule="exact"/>
        <w:rPr>
          <w:sz w:val="20"/>
          <w:szCs w:val="20"/>
          <w:color w:val="auto"/>
        </w:rPr>
      </w:pPr>
    </w:p>
    <w:p>
      <w:pPr>
        <w:ind w:right="20" w:firstLine="255"/>
        <w:spacing w:after="0" w:line="253" w:lineRule="auto"/>
        <w:rPr>
          <w:sz w:val="20"/>
          <w:szCs w:val="20"/>
          <w:color w:val="auto"/>
        </w:rPr>
      </w:pPr>
      <w:r>
        <w:rPr>
          <w:rFonts w:ascii="Times New Roman" w:cs="Times New Roman" w:eastAsia="Times New Roman" w:hAnsi="Times New Roman"/>
          <w:sz w:val="18"/>
          <w:szCs w:val="18"/>
          <w:color w:val="auto"/>
        </w:rPr>
        <w:t>The CyberKnife and TomoTherapy platforms are complex and require the integration of a number of components from several sources of supply. We must manufacture and assemble these complex systems in commercial quantities in compliance with regulatory requirements and at an acceptable cost. Our linear accelerator components are extremely complex devices and require significant expertise to manufacture, and we may encounter difficulties in scaling up production of the CyberKnife or TomoTherapy platforms, including problems with quality control and assurance, component supply shortages, increased costs, shortages of qualified personnel, the long lead time required to develop additional radiation shielded facilities for purposes of testing our products and/or difficulties associated with compliance with local, state, federal and foreign regulatory requirements. In addition, the macroeconomic environment has and may continue to impact the supply of key components such that we may not receive them in a timely manner, in sufficient quantities, or at a reasonable cost. If component supply or our manufacturing capacity does not keep pace with demand, we will not be able to fulfill product orders or service our products in a timely manner, which in turn may have a negative effect on our financial results and overall business. Conversely, if demand for our products decreases, the fixed costs associated with excess manufacturing capacity may adversely affect our financial results.</w:t>
      </w:r>
    </w:p>
    <w:p>
      <w:pPr>
        <w:spacing w:after="0" w:line="153" w:lineRule="exact"/>
        <w:rPr>
          <w:sz w:val="20"/>
          <w:szCs w:val="20"/>
          <w:color w:val="auto"/>
        </w:rPr>
      </w:pPr>
    </w:p>
    <w:p>
      <w:pPr>
        <w:ind w:right="20" w:firstLine="255"/>
        <w:spacing w:after="0" w:line="220" w:lineRule="exact"/>
        <w:rPr>
          <w:sz w:val="20"/>
          <w:szCs w:val="20"/>
          <w:color w:val="auto"/>
        </w:rPr>
      </w:pPr>
      <w:r>
        <w:rPr>
          <w:rFonts w:ascii="Times New Roman" w:cs="Times New Roman" w:eastAsia="Times New Roman" w:hAnsi="Times New Roman"/>
          <w:sz w:val="18"/>
          <w:szCs w:val="18"/>
          <w:color w:val="auto"/>
        </w:rPr>
        <w:t>Our manufacturing processes and the manufacturing processes of 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suppliers are required to comply with the FDA’s Quality System Regulations (“QSR”) for any products imported into, or sold within, the U.S. The QSR is a complex regulatory scheme that covers the methods and documentation of the design, testing, production process and controls, manufacturing, labeling, quality assurance, packaging, storage and shipping of our products. Furthermore, we are required to verify that our suppliers maintain facilities, procedures and operations that comply with our quality requirements. We are also subject to state licensing and other requirements and licenses applicable to manufacturers of medical devices, and we are required to comply with International Organization for Standardization (“ISO”), quality system standards in order to produce products for sale in Europe and Canada, as well as various other foreign laws and regulations. Because our manufacturing processes include the production of diagnostic and therapeutic 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ray equipment and laser equipment, we are subject to the electronic product radiation control provisions of the Federal Food, Drug and Cosmetic Act, which requires that we file reports with the FDA, applicable states and our customers regarding the distribution, manufacturing and installation of these types of equipment. The FDA enforces the QSR and the electronic product radiation control provisions through periodic inspections, some of which may be unannounced. We have been and anticipate in the future being subject to such inspections. FDA inspections usually occur every two to three years. During such inspections, the FDA may issue Inspectional Observations on Form FDA 483, listing instances where the manufacturer has failed to comply with applicable regulations and procedures, or warning letters.</w:t>
      </w:r>
    </w:p>
    <w:p>
      <w:pPr>
        <w:spacing w:after="0" w:line="206" w:lineRule="exact"/>
        <w:rPr>
          <w:sz w:val="20"/>
          <w:szCs w:val="20"/>
          <w:color w:val="auto"/>
        </w:rPr>
      </w:pPr>
    </w:p>
    <w:p>
      <w:pPr>
        <w:ind w:right="40" w:firstLine="255"/>
        <w:spacing w:after="0" w:line="218" w:lineRule="exact"/>
        <w:rPr>
          <w:sz w:val="20"/>
          <w:szCs w:val="20"/>
          <w:color w:val="auto"/>
        </w:rPr>
      </w:pPr>
      <w:r>
        <w:rPr>
          <w:rFonts w:ascii="Times New Roman" w:cs="Times New Roman" w:eastAsia="Times New Roman" w:hAnsi="Times New Roman"/>
          <w:sz w:val="18"/>
          <w:szCs w:val="18"/>
          <w:color w:val="auto"/>
        </w:rPr>
        <w:t>If a manufacturer does not adequately address the observations, the FDA may take enforcement action against the manufacturer, including the imposition of fines, restriction of the ability to export product, total shutdown of production facilities and criminal prosecution. If we or a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supplier receive a Form FDA 483 with material or major observations that are not promptly corrected, fail to pass a QSR inspection, or fail to comply with these, ISO and other applicable regulatory requirements, our operations could be disrupted and our ability to generate sales could be delayed. Our failure to take prompt and satisfactory corrective action in response to an adverse inspection or our failure to comply with applicable standards could result in enforcement actions, including a public warning letter, a shutdown of our manufacturing operations, a recall of our products, civil or criminal penalties, or other sanctions, which would cause our sales and business to suffer. In addition, because some foreign regulatory approvals are based on approvals or clearances from the FDA, any failure to comply with FDA requirements may also disrupt our sales of products in other countries. We cannot assure you that the FDA or other governmental authorities would agree with our interpretation of applicable regulatory requirements or that we or 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suppliers have in all instances fully complied with all applicable requirements. If any of these events occur, our reputation could be harmed, we could lose customers and there could be a material adverse effect on our business, financial condition and results of operations.</w:t>
      </w:r>
    </w:p>
    <w:p>
      <w:pPr>
        <w:spacing w:after="0" w:line="201" w:lineRule="exact"/>
        <w:rPr>
          <w:sz w:val="20"/>
          <w:szCs w:val="20"/>
          <w:color w:val="auto"/>
        </w:rPr>
      </w:pPr>
    </w:p>
    <w:p>
      <w:pPr>
        <w:ind w:right="160" w:firstLine="255"/>
        <w:spacing w:after="0" w:line="220" w:lineRule="exact"/>
        <w:rPr>
          <w:sz w:val="20"/>
          <w:szCs w:val="20"/>
          <w:color w:val="auto"/>
        </w:rPr>
      </w:pPr>
      <w:r>
        <w:rPr>
          <w:rFonts w:ascii="Times New Roman" w:cs="Times New Roman" w:eastAsia="Times New Roman" w:hAnsi="Times New Roman"/>
          <w:sz w:val="18"/>
          <w:szCs w:val="18"/>
          <w:color w:val="auto"/>
        </w:rPr>
        <w:t>If we cannot achieve the required level and quality of production, we may need to outsource production or rely on licensing and other arrangements with third parties who possess sufficient manufacturing facilities and capabilities in compliance with regulatory requirements. Even if we could outsource needed production or enter into licensing or other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arrangements, this could reduce our gross margin and expose us to the risks inherent in relying on others. We also cannot assure you that our suppliers will deliver an adequate supply of required components on a timely basis or that they will adequately comply with the QSR. Failure to</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auto"/>
        </w:rPr>
        <w:t>obtain these components on a timely basis would disrupt our manufacturing processes and increase our costs, which would harm our operating results.</w:t>
      </w:r>
    </w:p>
    <w:p>
      <w:pPr>
        <w:spacing w:after="0" w:line="18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develop new products or enhance existing products to meet our customers’ needs and compete favorably in the market, we may be unable to attract or retain customers.</w:t>
      </w:r>
    </w:p>
    <w:p>
      <w:pPr>
        <w:spacing w:after="0" w:line="159" w:lineRule="exact"/>
        <w:rPr>
          <w:sz w:val="20"/>
          <w:szCs w:val="20"/>
          <w:color w:val="auto"/>
        </w:rPr>
      </w:pPr>
    </w:p>
    <w:p>
      <w:pPr>
        <w:ind w:right="20" w:firstLine="255"/>
        <w:spacing w:after="0" w:line="218" w:lineRule="exact"/>
        <w:rPr>
          <w:sz w:val="20"/>
          <w:szCs w:val="20"/>
          <w:color w:val="auto"/>
        </w:rPr>
      </w:pPr>
      <w:r>
        <w:rPr>
          <w:rFonts w:ascii="Times New Roman" w:cs="Times New Roman" w:eastAsia="Times New Roman" w:hAnsi="Times New Roman"/>
          <w:sz w:val="18"/>
          <w:szCs w:val="18"/>
          <w:color w:val="auto"/>
        </w:rPr>
        <w:t>Our success depends on the successful development, regulatory clearance or approval, introduction and commercialization of new generations of products, treatment systems, and enhancements to and/or simplification of existing products that will meet our customers’ needs provide novel features and compete favorably in the market. The CyberKnife and TomoTherapy platforms, which are currently our principal products, are technologically complex and must keep pace with, among other things, the products of our competitors and new technologies. We are making significant investments in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growth initiatives. Such initiatives require significant capital commitments, involvement of senior management and other investments on our part, which we may be unable to recover. Our timeline for the development of new products or enhancements may not be achieved and price and profitability targets may not prove feasible. Commercialization of new products may prove challenging, and we may be required to invest more time and money than expected to successfully introduce them. Once introduced, new products may adversely impact orders and sales of our existing products or make them less desirable or even obsolete. Compliance with regulations, competitive alternatives, and shifting market preferences may also impact the successful implementation of new products or enhancements. Our inability to develop, gain regulatory approval for or supply competitive products to the market as quickly and effectively as our competitors could limit market acceptance of our products and reduce our sales.</w:t>
      </w:r>
    </w:p>
    <w:p>
      <w:pPr>
        <w:spacing w:after="0" w:line="174" w:lineRule="exact"/>
        <w:rPr>
          <w:sz w:val="20"/>
          <w:szCs w:val="20"/>
          <w:color w:val="auto"/>
        </w:rPr>
      </w:pPr>
    </w:p>
    <w:p>
      <w:pPr>
        <w:ind w:right="120" w:firstLine="255"/>
        <w:spacing w:after="0" w:line="261" w:lineRule="auto"/>
        <w:rPr>
          <w:sz w:val="20"/>
          <w:szCs w:val="20"/>
          <w:color w:val="auto"/>
        </w:rPr>
      </w:pPr>
      <w:r>
        <w:rPr>
          <w:rFonts w:ascii="Times New Roman" w:cs="Times New Roman" w:eastAsia="Times New Roman" w:hAnsi="Times New Roman"/>
          <w:sz w:val="18"/>
          <w:szCs w:val="18"/>
          <w:color w:val="auto"/>
        </w:rPr>
        <w:t>In addition, we depend on one of our customers for a substantial portion of our revenue, and the loss of, or a significant reduction in orders from our major customer could have a material adverse effect on our revenue and operating results. We had one customer that represented 10% or more of total net revenue for the years ended June 30, 2024, 2023, and 2022, respectively. In the future, our major customer may decide not to purchase our products at all, may purchase fewer products than they did in the past, or may defer or cancel purchases or otherwise alter their purchasing patterns.</w:t>
      </w:r>
    </w:p>
    <w:p>
      <w:pPr>
        <w:spacing w:after="0" w:line="139" w:lineRule="exact"/>
        <w:rPr>
          <w:sz w:val="20"/>
          <w:szCs w:val="20"/>
          <w:color w:val="auto"/>
        </w:rPr>
      </w:pPr>
    </w:p>
    <w:p>
      <w:pPr>
        <w:ind w:right="40" w:firstLine="255"/>
        <w:spacing w:after="0" w:line="282" w:lineRule="auto"/>
        <w:rPr>
          <w:sz w:val="20"/>
          <w:szCs w:val="20"/>
          <w:color w:val="auto"/>
        </w:rPr>
      </w:pPr>
      <w:r>
        <w:rPr>
          <w:rFonts w:ascii="Times New Roman" w:cs="Times New Roman" w:eastAsia="Times New Roman" w:hAnsi="Times New Roman"/>
          <w:sz w:val="18"/>
          <w:szCs w:val="18"/>
          <w:color w:val="auto"/>
        </w:rPr>
        <w:t>Our ability to successfully develop and introduce new products, treatment systems and product enhancements and simplifications, and the revenues and costs associated with these efforts, will be affected by our ability to:</w:t>
      </w:r>
    </w:p>
    <w:p>
      <w:pPr>
        <w:spacing w:after="0" w:line="54" w:lineRule="exact"/>
        <w:rPr>
          <w:sz w:val="20"/>
          <w:szCs w:val="20"/>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properly identify and address customer needs;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prove feasibility of new products in a timely manner;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educate physicians about the use of new products and procedures;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internal quality assurance systems and processes timely and efficiently;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the timing and cost of obtaining regulatory approvals or clearances;</w:t>
      </w:r>
    </w:p>
    <w:p>
      <w:pPr>
        <w:spacing w:after="0" w:line="76" w:lineRule="exact"/>
        <w:rPr>
          <w:rFonts w:ascii="Times New Roman" w:cs="Times New Roman" w:eastAsia="Times New Roman" w:hAnsi="Times New Roman"/>
          <w:sz w:val="18"/>
          <w:szCs w:val="18"/>
          <w:color w:val="auto"/>
        </w:rPr>
      </w:pPr>
    </w:p>
    <w:p>
      <w:pPr>
        <w:ind w:left="1020" w:hanging="503"/>
        <w:spacing w:after="0" w:line="207" w:lineRule="exact"/>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accurately predict and control costs associated with inventory overruns caused by phase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 of new products and phase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out of old products;</w:t>
      </w:r>
    </w:p>
    <w:p>
      <w:pPr>
        <w:spacing w:after="0" w:line="15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new products competitively;</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and deliver our products in sufficient volumes on time and accurately predict and control costs associated with manufacturing, installation, warranty and maintenance of the products;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 our product development plan and launch timelines;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collaborations with third parties. For example, a key component of our research and development program is our collaboration with research programs at selected hospitals, cancer treatment centers, academic institutions and research institutions worldwide;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manufacturing yields of components;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customer demands for retrofits of both old and new products.</w:t>
      </w:r>
    </w:p>
    <w:p>
      <w:pPr>
        <w:spacing w:after="0" w:line="225" w:lineRule="exact"/>
        <w:rPr>
          <w:sz w:val="20"/>
          <w:szCs w:val="20"/>
          <w:color w:val="auto"/>
        </w:rPr>
      </w:pPr>
    </w:p>
    <w:p>
      <w:pPr>
        <w:ind w:right="140" w:firstLine="255"/>
        <w:spacing w:after="0" w:line="282" w:lineRule="auto"/>
        <w:rPr>
          <w:sz w:val="20"/>
          <w:szCs w:val="20"/>
          <w:color w:val="auto"/>
        </w:rPr>
      </w:pPr>
      <w:r>
        <w:rPr>
          <w:rFonts w:ascii="Times New Roman" w:cs="Times New Roman" w:eastAsia="Times New Roman" w:hAnsi="Times New Roman"/>
          <w:sz w:val="18"/>
          <w:szCs w:val="18"/>
          <w:color w:val="auto"/>
        </w:rPr>
        <w:t>Even if customers accept new products or product enhancements, the revenues from these products may not be sufficient to offset the significant costs associated with making them available to customers.</w:t>
      </w:r>
    </w:p>
    <w:p>
      <w:pPr>
        <w:spacing w:after="0" w:line="16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We cannot be sure that we will be able to successfully develop, obtain regulatory approval or clearance for, manufacture or introduce new products,</w:t>
      </w:r>
    </w:p>
    <w:p>
      <w:pPr>
        <w:spacing w:after="0" w:line="22" w:lineRule="exact"/>
        <w:rPr>
          <w:sz w:val="20"/>
          <w:szCs w:val="20"/>
          <w:color w:val="auto"/>
        </w:rPr>
      </w:pPr>
    </w:p>
    <w:p>
      <w:pPr>
        <w:ind w:right="60"/>
        <w:spacing w:after="0" w:line="219" w:lineRule="exact"/>
        <w:rPr>
          <w:sz w:val="20"/>
          <w:szCs w:val="20"/>
          <w:color w:val="auto"/>
        </w:rPr>
      </w:pPr>
      <w:r>
        <w:rPr>
          <w:rFonts w:ascii="Times New Roman" w:cs="Times New Roman" w:eastAsia="Times New Roman" w:hAnsi="Times New Roman"/>
          <w:sz w:val="18"/>
          <w:szCs w:val="18"/>
          <w:color w:val="auto"/>
        </w:rPr>
        <w:t>treatment systems or enhancements, the roll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out of which involves compliance with complex quality assurance processes, including QSR. Failure to obtain regulatory approval or clearance for our products or to complete these processes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44" w:name="page45"/>
    <w:bookmarkEnd w:id="44"/>
    <w:p>
      <w:pPr>
        <w:ind w:right="420"/>
        <w:spacing w:after="0" w:line="282" w:lineRule="auto"/>
        <w:rPr>
          <w:sz w:val="20"/>
          <w:szCs w:val="20"/>
          <w:color w:val="auto"/>
        </w:rPr>
      </w:pPr>
      <w:r>
        <w:rPr>
          <w:rFonts w:ascii="Times New Roman" w:cs="Times New Roman" w:eastAsia="Times New Roman" w:hAnsi="Times New Roman"/>
          <w:sz w:val="18"/>
          <w:szCs w:val="18"/>
          <w:color w:val="auto"/>
        </w:rPr>
        <w:t>in a timely and efficient manner could result in delays that could affect our ability to attract and retain customers, or could cause customers to delay or cancel orders, causing our backlog, revenues and operating results to suffer.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effectively manage our growth, our business may be significantly harmed.</w:t>
      </w:r>
    </w:p>
    <w:p>
      <w:pPr>
        <w:spacing w:after="0" w:line="229" w:lineRule="exact"/>
        <w:rPr>
          <w:sz w:val="20"/>
          <w:szCs w:val="20"/>
          <w:color w:val="auto"/>
        </w:rPr>
      </w:pPr>
    </w:p>
    <w:p>
      <w:pPr>
        <w:ind w:firstLine="255"/>
        <w:spacing w:after="0" w:line="218" w:lineRule="exact"/>
        <w:rPr>
          <w:sz w:val="20"/>
          <w:szCs w:val="20"/>
          <w:color w:val="auto"/>
        </w:rPr>
      </w:pPr>
      <w:r>
        <w:rPr>
          <w:rFonts w:ascii="Times New Roman" w:cs="Times New Roman" w:eastAsia="Times New Roman" w:hAnsi="Times New Roman"/>
          <w:sz w:val="18"/>
          <w:szCs w:val="18"/>
          <w:color w:val="auto"/>
        </w:rPr>
        <w:t>In order to implement our business strategy, we expect continued growth in our infrastructure requirements, particularly as we expand into new and growing markets as well as expand our manufacturing capacities and sales and marketing capabilities. To manage our growth, we must expand our facilities, augment our management, operational and financial systems, hire and train additional qualified personnel, scale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up our manufacturing capacity and expand our marketing and distribution capabilities, all of which will be more difficult to accomplish the more employees we have that work remotely from home. Our manufacturing, assembly and installation process is complex and occurs over many months and we must effectively scale this entire process to satisfy customer expectations and changes in demand. Further, to accommodate our growth and compete effectively, we will be required to make improvements to our business operations. We cannot be certain that our personnel, systems, procedures and internal controls will be adequate to support our future operations and any expansion of our systems and infrastructure may require us to commit significant additional financial, operational and management resources. If we cannot manage our growth effectively, our business will suffer.</w:t>
      </w:r>
    </w:p>
    <w:p>
      <w:pPr>
        <w:spacing w:after="0" w:line="173" w:lineRule="exact"/>
        <w:rPr>
          <w:sz w:val="20"/>
          <w:szCs w:val="20"/>
          <w:color w:val="auto"/>
        </w:rPr>
      </w:pPr>
    </w:p>
    <w:p>
      <w:pPr>
        <w:ind w:right="9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become subject to product liability claims, product recalls, other field actions and warranty claims that could be expensive, divert management’s attention and harm our business.</w:t>
      </w:r>
    </w:p>
    <w:p>
      <w:pPr>
        <w:spacing w:after="0" w:line="118" w:lineRule="exact"/>
        <w:rPr>
          <w:sz w:val="20"/>
          <w:szCs w:val="20"/>
          <w:color w:val="auto"/>
        </w:rPr>
      </w:pPr>
    </w:p>
    <w:p>
      <w:pPr>
        <w:ind w:right="40" w:firstLine="255"/>
        <w:spacing w:after="0" w:line="252" w:lineRule="auto"/>
        <w:rPr>
          <w:sz w:val="20"/>
          <w:szCs w:val="20"/>
          <w:color w:val="auto"/>
        </w:rPr>
      </w:pPr>
      <w:r>
        <w:rPr>
          <w:rFonts w:ascii="Times New Roman" w:cs="Times New Roman" w:eastAsia="Times New Roman" w:hAnsi="Times New Roman"/>
          <w:sz w:val="18"/>
          <w:szCs w:val="18"/>
          <w:color w:val="auto"/>
        </w:rPr>
        <w:t>Our business exposes us to potential liability risks that are inherent in the manufacturing, marketing, sale, installation, servicing, and support of medical device products. We may be held liable if one of our CyberKnife or TomoTherapy platforms or our software, including the Precision Treatment Planning System with iDMS Data Management System software, causes or contributes to injury or death or is found otherwise unsuitable during usage. Our products incorporate sophisticated components and computer software. Complex software can contain errors, particularly when first introduced. In addition, new products or enhancements may contain undetected errors or performance problems that, despite testing, are discovered only after installation. Because our products are designed to be used to perform complex surgical and therapeutic procedures involving delivery of radiation to the body, defects, even if small, could result in a number of complications, some of which could be serious and could harm or kill patients. Any alleged weaknesses in physician training and services associated with our products may result in unsatisfactory patient outcomes and product liability lawsuits. It is also possible that defects in the design, manufacture or labeling of our products might necessitate a product recall or other field corrective action, which may result in warranty claims beyond our expectations and may harm our reputation and create adverse publicity. A product liability claim, regardless of its merit or eventual outcome, could result in significant legal defense costs that may not be covered by insurance and be time-consuming to defend. We may also be subject to claims for personal injury, property damage or economic loss related to, or resulting from, any errors or defects in our products, or the installation, servicing and support of our products, or any professional services rendered in conjunction with our products. Adverse publicity related to any product liability actions may cause patients to be less receptive to radiation therapy generally or our products specifically and could also result in additional regulation that could adversely affect our ability to promote, manufacture and sell our products. The coverage limits of our insurance policies may not be adequate to cover future claims. If sales of our products increase or we suffer future product liability claims, we may be unable to maintain product liability insurance in the future at satisfactory rates or with adequate amounts of coverage. A product liability claim, any product recalls or other field actions or excessive warranty claims, whether arising from defects in design or manufacture or labeling, could negatively affect our sales or require a change in the design, manufacturing process or the indications for which our systems or software may be used, any of which could harm our reputation and business and result in a decline in revenue.</w:t>
      </w:r>
    </w:p>
    <w:p>
      <w:pPr>
        <w:spacing w:after="0" w:line="149" w:lineRule="exact"/>
        <w:rPr>
          <w:sz w:val="20"/>
          <w:szCs w:val="20"/>
          <w:color w:val="auto"/>
        </w:rPr>
      </w:pPr>
    </w:p>
    <w:p>
      <w:pPr>
        <w:ind w:firstLine="255"/>
        <w:spacing w:after="0" w:line="253" w:lineRule="auto"/>
        <w:rPr>
          <w:sz w:val="20"/>
          <w:szCs w:val="20"/>
          <w:color w:val="auto"/>
        </w:rPr>
      </w:pPr>
      <w:r>
        <w:rPr>
          <w:rFonts w:ascii="Times New Roman" w:cs="Times New Roman" w:eastAsia="Times New Roman" w:hAnsi="Times New Roman"/>
          <w:sz w:val="18"/>
          <w:szCs w:val="18"/>
          <w:color w:val="auto"/>
        </w:rPr>
        <w:t>In addition, if a product we designed or manufactured is defective, whether because of design or manufacturing, supplied parts, or labeling defects, improper use of the product or other reasons, we may be required to notify regulatory authorities and/or to recall the product, possibly at our expense. We have voluntarily initiated recalls and other product corrections in the past. For example, in fiscal year 2025, we voluntarily initiated one recall related to the couch for the CyberKnife System, which was reported to the FDA. We are committed to the safety and precision of our products and while no serious adverse health consequences have been reported in connection with these recalls and the costs associated with each such recall were not material, we cannot ensure that the FDA will not require that we take additional actions to address problems that resulted in previous recalls or that similar or more significant product recalls will not occur in the future. A required notification of a correction or removal to a regulatory authority or recall could result in an investigation by regulatory authorities of our products, which could in turn result in required recalls, restrictions on the sale of the products or other civil or criminal penalties. The adverse publicity resulting from any of these actions could cause customers to review and potentially terminate their relationships with us. These investigations, corrections or recalls, especially if accompanied by unfavorable publicity, patient injury or termination of customer contracts, could result in incurring substantial costs, losing revenues and damaging our reputation, each of which would harm our business.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5" w:name="page46"/>
    <w:bookmarkEnd w:id="45"/>
    <w:p>
      <w:pPr>
        <w:ind w:right="40"/>
        <w:spacing w:after="0" w:line="245" w:lineRule="exact"/>
        <w:rPr>
          <w:sz w:val="20"/>
          <w:szCs w:val="20"/>
          <w:color w:val="auto"/>
        </w:rPr>
      </w:pPr>
      <w:r>
        <w:rPr>
          <w:rFonts w:ascii="Times New Roman" w:cs="Times New Roman" w:eastAsia="Times New Roman" w:hAnsi="Times New Roman"/>
          <w:sz w:val="18"/>
          <w:szCs w:val="18"/>
          <w:b w:val="1"/>
          <w:bCs w:val="1"/>
          <w:i w:val="1"/>
          <w:iCs w:val="1"/>
          <w:color w:val="auto"/>
        </w:rPr>
        <w:t>Our reliance on single</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source suppliers for critical components of the CyberKnife and TomoTherapy platforms could harm our ability to meet demand for our products in a timely and cost effective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1061085</wp:posOffset>
            </wp:positionH>
            <wp:positionV relativeFrom="paragraph">
              <wp:posOffset>-223520</wp:posOffset>
            </wp:positionV>
            <wp:extent cx="64135" cy="3937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We currently depend on single source suppliers for some of the critical components necessary to assemble the CyberKnife and TomoTherapy platforms,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with respect to the CyberKnife platform, the robot, couch and magnetron and, with respect to the TomoTherapy platforms, the couch, solid state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modulator and magnetron. Global supply chain disruptions in parts of our supply chain, have occurred and could occur again in the future, causing delays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receipt of certain component parts for our products and increased pricing pressure for such parts, including with respect to parts purchased from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single-source suppliers, adversely affecting our gross margins and increasing the risk that these supply chain disruptions could materially affect our ability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meet customer demand. Furthermore, as a result of the effects of the macroeconomic conditions, including inflation, and supply chain challenges, some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our suppliers have limited or reduced the sale of such components to us or increased the cost of such components to us. If these conditions worsen, or if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suppliers were to experience financial difficulties, additional supply chain or other problems that prevents them from supplying us with the necessary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components, we could fail to meet product demand, which could have a material adverse effect on our business, financial condition and results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These sole source and other suppliers could also be subject to quality and performance issues, materials shortages, excess demand, reduction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capacity and other factors that may disrupt the flow of goods to us; thereby adversely affecting our business and customer relationships. If any</w:t>
      </w:r>
    </w:p>
    <w:p>
      <w:pPr>
        <w:spacing w:after="0" w:line="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single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source supplier was to cease delivering components to us or fail to provide the components to our specifications and on a timely basis, we might be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required to find alternative sources for these components. The disruption or termination of the supply of components, including as a result of global</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shortages in important components, have resulted in, and will continue to cause, inflationary pressure on our supply chain and a significant increase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 of these components, which have materially affected and could continue to adversely affect our results of operations. In addition, we expect inflation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 ongoing supply chain challenges and logistics costs to impact our cash from operations through fiscal year 2025. In some cases, alternative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suppliers may be located in the same geographic area as existing suppliers, and are thus subject to the same economic, political and geographic factors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affect existing suppliers to meet our demand. We may have difficulty or be unable to find alternative sources for these components. Difficulties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obtaining a sufficient supply of component materials could increase as well as the costs associated with such components, and we expect such difficulties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persist through fiscal year 2025. As a result, we may be unable to meet the demand for the CyberKnife or TomoTherapy platforms, which could harm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ability to generate revenue and damage our reputation. Even if we do find alternate suppliers, we will be required to qualify any such alternate suppliers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we would likely experience a lengthy delay in our manufacturing processes or a cessation in production, which would result in delays of shipment to</w:t>
      </w:r>
    </w:p>
    <w:p>
      <w:pPr>
        <w:spacing w:after="0" w:line="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end users. We cannot assure you that our single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source suppliers will be able or willing to meet our future demands.</w:t>
      </w:r>
    </w:p>
    <w:p>
      <w:pPr>
        <w:spacing w:after="0" w:line="166" w:lineRule="exact"/>
        <w:rPr>
          <w:sz w:val="20"/>
          <w:szCs w:val="20"/>
          <w:color w:val="auto"/>
        </w:rPr>
      </w:pPr>
    </w:p>
    <w:p>
      <w:pPr>
        <w:ind w:firstLine="255"/>
        <w:spacing w:after="0" w:line="253" w:lineRule="auto"/>
        <w:rPr>
          <w:sz w:val="20"/>
          <w:szCs w:val="20"/>
          <w:color w:val="auto"/>
        </w:rPr>
      </w:pPr>
      <w:r>
        <w:rPr>
          <w:rFonts w:ascii="Times New Roman" w:cs="Times New Roman" w:eastAsia="Times New Roman" w:hAnsi="Times New Roman"/>
          <w:sz w:val="18"/>
          <w:szCs w:val="18"/>
          <w:color w:val="auto"/>
        </w:rPr>
        <w:t>We generally do not maintain large volumes of inventory, which makes us even more susceptible to harm if a single source supplier fails to deliver components on a timely basis or we experience quality issues with the components we do have in inventory, and maintaining our historical levels of inventory has been adversely impacted by the macroeconomic environment. For example, a supplier quality issue resulted in higher than anticipated failure rates for a component in our platforms, which resulted in higher parts consumption costs that adversely affected our financial results in fiscal year 2024. Furthermore, if we are required to change the manufacturer of a critical component of the CyberKnife or TomoTherapy platforms, we will be required to verify that the new manufacturer maintains facilities, procedures and operations that comply with our quality and applicable regulatory requirements and guidelines, which could further impede our ability to manufacture our products in a timely manner. If the change in manufacturer results in a significant change to the product, a new 510(k) clearance would be necessary, which would likely cause substantial delays. The disruption or termination of the supply of key components for the CyberKnife or TomoTherapy platforms could harm our ability to manufacture our products in a timely manner or within budget, harm our ability to generate revenue, lead to customer dissatisfaction and adversely affect our reputation and results of operations.</w:t>
      </w:r>
    </w:p>
    <w:p>
      <w:pPr>
        <w:spacing w:after="0" w:line="154" w:lineRule="exact"/>
        <w:rPr>
          <w:sz w:val="20"/>
          <w:szCs w:val="20"/>
          <w:color w:val="auto"/>
        </w:rPr>
      </w:pPr>
    </w:p>
    <w:p>
      <w:pPr>
        <w:ind w:right="180" w:firstLine="255"/>
        <w:spacing w:after="0" w:line="258" w:lineRule="auto"/>
        <w:rPr>
          <w:sz w:val="20"/>
          <w:szCs w:val="20"/>
          <w:color w:val="auto"/>
        </w:rPr>
      </w:pPr>
      <w:r>
        <w:rPr>
          <w:rFonts w:ascii="Times New Roman" w:cs="Times New Roman" w:eastAsia="Times New Roman" w:hAnsi="Times New Roman"/>
          <w:sz w:val="18"/>
          <w:szCs w:val="18"/>
          <w:color w:val="auto"/>
        </w:rPr>
        <w:t>Failures of components also affect the reliability and performance of our products, can reduce customer confidence in our products, increase service parts consumption, and may adversely affect our financial performance. From time to time, we may receive components that do not perform according to their specifications, which could result in the inability of such customer utilize our systems in their practices until such components are replaced. Any future difficulty in obtaining reliable component parts could result in increased customer dissatisfaction and adversely affect our reputation, our ability to protect and retain our installed base of customers and results of operations.</w:t>
      </w:r>
    </w:p>
    <w:p>
      <w:pPr>
        <w:spacing w:after="0" w:line="152"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key employees, the loss of whom would adversely affect our business. If we fail to attract and retain employees with the expertise required for our business, we may be unable to continue to grow our business.</w:t>
      </w:r>
    </w:p>
    <w:p>
      <w:pPr>
        <w:spacing w:after="0" w:line="132" w:lineRule="exact"/>
        <w:rPr>
          <w:sz w:val="20"/>
          <w:szCs w:val="20"/>
          <w:color w:val="auto"/>
        </w:rPr>
      </w:pPr>
    </w:p>
    <w:p>
      <w:pPr>
        <w:ind w:right="40" w:firstLine="255"/>
        <w:spacing w:after="0" w:line="258" w:lineRule="auto"/>
        <w:rPr>
          <w:sz w:val="20"/>
          <w:szCs w:val="20"/>
          <w:color w:val="auto"/>
        </w:rPr>
      </w:pPr>
      <w:r>
        <w:rPr>
          <w:rFonts w:ascii="Times New Roman" w:cs="Times New Roman" w:eastAsia="Times New Roman" w:hAnsi="Times New Roman"/>
          <w:sz w:val="18"/>
          <w:szCs w:val="18"/>
          <w:color w:val="auto"/>
        </w:rPr>
        <w:t>We are highly dependent on the members of our senior management, sales, marketing, operations and research and development staff. Our future success will depend in part on our ability to retain our key employees and to identify, hire and retain additional personnel. Competition for qualified personnel in the medical device industry is intense and finding and retaining qualified personnel with experience in our industry is very difficult. We believe there are only a limited number of individuals with the requisite skills to serve in many of our key positions and we face significant competition for key personnel and other employees, from other medical</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46" w:name="page47"/>
    <w:bookmarkEnd w:id="46"/>
    <w:p>
      <w:pPr>
        <w:ind w:right="20"/>
        <w:spacing w:after="0" w:line="253" w:lineRule="auto"/>
        <w:rPr>
          <w:sz w:val="20"/>
          <w:szCs w:val="20"/>
          <w:color w:val="auto"/>
        </w:rPr>
      </w:pPr>
      <w:r>
        <w:rPr>
          <w:rFonts w:ascii="Times New Roman" w:cs="Times New Roman" w:eastAsia="Times New Roman" w:hAnsi="Times New Roman"/>
          <w:sz w:val="18"/>
          <w:szCs w:val="18"/>
          <w:color w:val="auto"/>
        </w:rPr>
        <w:t>equipment and software manufacturers, technology companies, universities and research institutions. Fluctuations in labor availability globally, including labor shortages and staff burnout and attrition, may also impact our ability to hire and retain personnel critical to our manufacturing, logistics, and commercial operations. As a result, we may not be able to retain our existing employees or hire new employees quickly enough to meet our needs. Moreover, we have from time to time conducted reductions in force in order to optimize our organizational structure and reduce costs, some of which were substantial, and certain senior personnel have also departed for various reasons. For example, in October 2023, we informed affected employees of a cost savings initiative to reduce operating expenses resulting in the elimination of approximately 5.9 percent of our global workforce. At the same time, we may face high turnover among employees that are critical to our ongoing operations, requiring us to expend time and resources, including financial resources, to source, train and integrate new employees. The challenging markets in which we compete for talent may also require us to invest significant amounts of cash and equity to attract and retain employees. In addition, a significant portion of our compensation to our key employees is in the form of stock related grants. A prolonged depression in our stock price could make it difficult for us to retain our key and other employees and recruit additional qualified personnel and we may have to pay additional compensation to employees to incentivize them to join or stay with us. We do not maintain, and do not currently intend to obtain, key employee life insurance on any of our personnel. If we fail to hire and retain key personnel and other employees, we may be unable to continue to grow our business successfully.</w:t>
      </w:r>
    </w:p>
    <w:p>
      <w:pPr>
        <w:spacing w:after="0" w:line="15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Disruption of critical information technology systems, infrastructure and data or cyberattacks or other security breaches or incidents could harm our business and financial condition.</w:t>
      </w:r>
    </w:p>
    <w:p>
      <w:pPr>
        <w:spacing w:after="0" w:line="159" w:lineRule="exact"/>
        <w:rPr>
          <w:sz w:val="20"/>
          <w:szCs w:val="20"/>
          <w:color w:val="auto"/>
        </w:rPr>
      </w:pPr>
    </w:p>
    <w:p>
      <w:pPr>
        <w:ind w:firstLine="255"/>
        <w:spacing w:after="0" w:line="252" w:lineRule="auto"/>
        <w:rPr>
          <w:sz w:val="20"/>
          <w:szCs w:val="20"/>
          <w:color w:val="auto"/>
        </w:rPr>
      </w:pPr>
      <w:r>
        <w:rPr>
          <w:rFonts w:ascii="Times New Roman" w:cs="Times New Roman" w:eastAsia="Times New Roman" w:hAnsi="Times New Roman"/>
          <w:sz w:val="18"/>
          <w:szCs w:val="18"/>
          <w:color w:val="auto"/>
        </w:rPr>
        <w:t>Information technology helps us operate more efficiently, interface with customers, maintain financial accuracy and efficiency and accurately produce our financial statements. If we do not allocate and effectively manage the resources necessary to build, sustain and secure the proper technology infrastructure, we could be subject to transaction errors, processing inefficiencies, the loss of customers, business disruptions or the loss, unavailability of or damage to data and intellectual property through a cyberattack (including ransomware and other attacks) or other security breaches or incidents. While management is committed to identifying and improving data security risks through oversight of data security by our Chief Information Security Officer and implementation of various technical safeguards, procedural requirements and policies, regardless of the resources we allocate and the effectiveness with which we manage them, we face a risk of cyberattacks and other security breaches and incidents. Any cyberattacks or other security breaches or incidents we suffer could expose us to a risk of lost, unavailable, or corrupted information, unauthorized disclosure or other processing of information, claims, litigation and possible liability to employees, customers and others, and investigations and proceedings by regulatory authorities. Artificial intelligence ("AI") technologies may be used for certain cyberattacks or to increase the frequency or intensity of certain cyberattacks, which may increase our risks presented by cyberattack activity. Additionally, cyberattack activity may be heightened in connection with geopolitical events such as the Russia-Ukraine and the Middle East conflicts. In addition to potential exposure to cyberattacks, security incidents, or other actions that may compromise the security of or interfere with the function of our products, defects or vulnerabilities in the software or systems of our third-party vendors may expose failures in our internal controls and risk management processes, which may adversely impact our business, financial condition, results of operations, or cash flows and may also harm our reputation, brand, and customer relationships.</w:t>
      </w:r>
    </w:p>
    <w:p>
      <w:pPr>
        <w:spacing w:after="0" w:line="196" w:lineRule="exact"/>
        <w:rPr>
          <w:sz w:val="20"/>
          <w:szCs w:val="20"/>
          <w:color w:val="auto"/>
        </w:rPr>
      </w:pPr>
    </w:p>
    <w:p>
      <w:pPr>
        <w:ind w:right="20" w:firstLine="255"/>
        <w:spacing w:after="0" w:line="253" w:lineRule="auto"/>
        <w:rPr>
          <w:sz w:val="20"/>
          <w:szCs w:val="20"/>
          <w:color w:val="auto"/>
        </w:rPr>
      </w:pPr>
      <w:r>
        <w:rPr>
          <w:rFonts w:ascii="Times New Roman" w:cs="Times New Roman" w:eastAsia="Times New Roman" w:hAnsi="Times New Roman"/>
          <w:sz w:val="18"/>
          <w:szCs w:val="18"/>
          <w:color w:val="auto"/>
        </w:rPr>
        <w:t>If our data management systems or those of our third-party providers do not effectively collect, store, process and report relevant data for the operation of our business, whether due to equipment malfunction or constraints, software deficiencies, computer viruses, security breaches or incidents, cyberattacks, catastrophic events or human error, our ability to effectively plan, forecast and execute our business plan and comply with applicable laws and regulations will be impaired, perhaps materially. Any such impairment could materially and adversely affect our financial condition, results of operations, cash flows and the timeliness with which we internally and externally report our operating results. As a result, our information systems require an ongoing commitment of significant resources to maintain, protect, and enhance existing systems and develop new systems to keep pace with continuing changes in information processing technology, evolving legal and regulatory standards, the increasing need to protect patient and customer information, and the information technology needs associated with our changing products and services. There can be no assurance that our process of consolidating the number of systems we operate, upgrading and expanding our information systems capabilities, continuing our efforts to build security into the design of our products, protecting and enhancing our systems and developing new systems to keep pace with continuing changes in information processing technology will be successful or that additional systems issues will not arise in the future, or that we will not suffer from disruptions or other systems issues even if we devote substantial resources and personnel to these efforts.</w:t>
      </w:r>
    </w:p>
    <w:p>
      <w:pPr>
        <w:spacing w:after="0" w:line="190" w:lineRule="exact"/>
        <w:rPr>
          <w:sz w:val="20"/>
          <w:szCs w:val="20"/>
          <w:color w:val="auto"/>
        </w:rPr>
      </w:pPr>
    </w:p>
    <w:p>
      <w:pPr>
        <w:ind w:right="120" w:firstLine="255"/>
        <w:spacing w:after="0" w:line="255" w:lineRule="auto"/>
        <w:rPr>
          <w:sz w:val="20"/>
          <w:szCs w:val="20"/>
          <w:color w:val="auto"/>
        </w:rPr>
      </w:pPr>
      <w:r>
        <w:rPr>
          <w:rFonts w:ascii="Times New Roman" w:cs="Times New Roman" w:eastAsia="Times New Roman" w:hAnsi="Times New Roman"/>
          <w:sz w:val="18"/>
          <w:szCs w:val="18"/>
          <w:color w:val="auto"/>
        </w:rPr>
        <w:t>In addition, privacy and security breaches and incidents arising from errors, malfeasance or misconduct by employees, contractors or others with permitted access to our systems may pose a risk that sensitive data, including individually identifiable data, may be exposed to unauthorized persons or to the public and may compromise our security systems. There can be no assurance that any efforts we make to prevent against such privacy or security breaches or incidents have been or will be able to prevent breakdowns or breaches or incidents in our systems or those of our third-party service providers that could adversely affect our business. Third parties may also attempt to fraudulently induce employees or customers into disclosing usernames, passwords or other sensitive information, which may in turn be used to access our information technology systems. For example, our employees have received in the past and</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9" w:right="359" w:bottom="1440" w:gutter="0" w:footer="0" w:header="0"/>
        </w:sectPr>
      </w:pPr>
    </w:p>
    <w:bookmarkStart w:id="47" w:name="page48"/>
    <w:bookmarkEnd w:id="47"/>
    <w:p>
      <w:pPr>
        <w:ind w:right="20"/>
        <w:spacing w:after="0" w:line="251" w:lineRule="auto"/>
        <w:rPr>
          <w:sz w:val="20"/>
          <w:szCs w:val="20"/>
          <w:color w:val="auto"/>
        </w:rPr>
      </w:pPr>
      <w:r>
        <w:rPr>
          <w:rFonts w:ascii="Times New Roman" w:cs="Times New Roman" w:eastAsia="Times New Roman" w:hAnsi="Times New Roman"/>
          <w:sz w:val="18"/>
          <w:szCs w:val="18"/>
          <w:color w:val="auto"/>
        </w:rPr>
        <w:t>likely will continue to receive “phishing” e-mails attempting to induce them to divulge sensitive information. We may also face increased cybersecurity risks due to our reliance on internet technology and many of our employees working remotely at least part of the time, which may create additional opportunities for cybercriminals to exploit vulnerabilities. In addition, adversaries might attempt to gain unauthorized access to our products or systems to obtain personal data relating to patients or employees, our confidential or proprietary information or confidential information we hold on behalf of third parties, which, if successful, could pose a risk of loss, unavailability, or corruption of, or unauthorized access to or acquisition of, data, risk to patient safety and risk of product recall. The techniques used to obtain unauthorized access to our systems change frequently and may be difficult to detect, and we may not be able to anticipate and prevent these intrusions or mitigate them when they occur. Third-party service providers store and otherwise process certain personal data and other confidential or proprietary information of ourselves and third parties on our behalf, and these service providers face similar risks. In addition, our employees, third-party service providers, strategic partners, or other contractors or consultants may input personal or confidential information, or other business data of ours, into an artificial intelligence system (in particular, a system that is managed, owned, or controlled by a third party), which may disrupt and otherwise compromise our business operations, divert the attention of management and key information technology resources, potentially lead to security breaches or incidents or other unauthorized access to, or other use or processing of, personal information, our confidential information or other business data. Moreover, we manufacture and sell hardware and software products that allow our customers to store confidential information about their patients. Both types of products are often connected to and reside within our customers’ information technology infrastructures. We do not have measures to configure or secure our customers’ equipment or any information stored in our customers’ systems or at their locations, which is the responsibility of our customers. Our customers are also continually updating their cybersecurity standards for the products that they purchase. While we have implemented security measures designed to protect our hardware and software products from unauthorized access and cyberattacks, these measures may not meet the standards set by our customers or be effective in securing these products, particularly since techniques used to obtain unauthorized access, or to sabotage systems, change frequently and may not be recognized until launched against a target. A network security or systems security breach of incident suffered by ourselves or our third-party service providers or other events that cause the loss or unauthorized use or disclosure of, or access by third parties to, sensitive information stored by us or our customers could result in loss, unavailability, or unauthorized acquisition, modification, or other processing of data, and any such events, or the perception that these events have occurred or that our security measures for our products are lacking, could have serious negative consequences for our business, including indemnity obligations, possible fines, penalties and damages, reduced demand for our products and services, an unwillingness of our customers to use our products or services, harm to our reputation and brand, and time consuming and expensive litigation, any of which could have an adverse effect on our business, financial condition, and operating results.</w:t>
      </w:r>
    </w:p>
    <w:p>
      <w:pPr>
        <w:spacing w:after="0" w:line="204" w:lineRule="exact"/>
        <w:rPr>
          <w:sz w:val="20"/>
          <w:szCs w:val="20"/>
          <w:color w:val="auto"/>
        </w:rPr>
      </w:pPr>
    </w:p>
    <w:p>
      <w:pPr>
        <w:ind w:right="240" w:firstLine="255"/>
        <w:spacing w:after="0" w:line="261" w:lineRule="auto"/>
        <w:rPr>
          <w:sz w:val="20"/>
          <w:szCs w:val="20"/>
          <w:color w:val="auto"/>
        </w:rPr>
      </w:pPr>
      <w:r>
        <w:rPr>
          <w:rFonts w:ascii="Times New Roman" w:cs="Times New Roman" w:eastAsia="Times New Roman" w:hAnsi="Times New Roman"/>
          <w:sz w:val="18"/>
          <w:szCs w:val="18"/>
          <w:color w:val="auto"/>
        </w:rPr>
        <w:t>Due to frequently changing attack techniques, along with the increased volume and sophistication of the attacks, including the increasing use of tools and techniques that are designed to circumvent controls, avoid detection, and remove or obfuscate forensic evidence, all of which hinders our ability to identify, investigate, and recover from incidents, we could be adversely impacted by cybersecurity attacks or other security breaches. This impact could result in reputational, competitive, operational, or other business harm as well as financial costs and claims, demands, litigation and regulatory action.</w:t>
      </w:r>
    </w:p>
    <w:p>
      <w:pPr>
        <w:spacing w:after="0" w:line="180" w:lineRule="exact"/>
        <w:rPr>
          <w:sz w:val="20"/>
          <w:szCs w:val="20"/>
          <w:color w:val="auto"/>
        </w:rPr>
      </w:pPr>
    </w:p>
    <w:p>
      <w:pPr>
        <w:ind w:right="120" w:firstLine="255"/>
        <w:spacing w:after="0" w:line="282" w:lineRule="auto"/>
        <w:rPr>
          <w:sz w:val="20"/>
          <w:szCs w:val="20"/>
          <w:color w:val="auto"/>
        </w:rPr>
      </w:pPr>
      <w:r>
        <w:rPr>
          <w:rFonts w:ascii="Times New Roman" w:cs="Times New Roman" w:eastAsia="Times New Roman" w:hAnsi="Times New Roman"/>
          <w:sz w:val="18"/>
          <w:szCs w:val="18"/>
          <w:color w:val="auto"/>
        </w:rPr>
        <w:t>While we do maintain insurance coverage that is intended to address certain aspects of data security risks, such insurance coverage may be insufficient to cover all losses or all types of claims that may arise.</w:t>
      </w:r>
    </w:p>
    <w:p>
      <w:pPr>
        <w:spacing w:after="0" w:line="117"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actual or perceived failure by us to comply with legal or regulatory requirements related to privacy, cybersecurity and data protection in one or multiple jurisdictions could result in proceedings, actions or penalties against us.</w:t>
      </w:r>
    </w:p>
    <w:p>
      <w:pPr>
        <w:spacing w:after="0" w:line="159" w:lineRule="exact"/>
        <w:rPr>
          <w:sz w:val="20"/>
          <w:szCs w:val="20"/>
          <w:color w:val="auto"/>
        </w:rPr>
      </w:pPr>
    </w:p>
    <w:p>
      <w:pPr>
        <w:ind w:firstLine="255"/>
        <w:spacing w:after="0" w:line="253" w:lineRule="auto"/>
        <w:rPr>
          <w:sz w:val="20"/>
          <w:szCs w:val="20"/>
          <w:color w:val="auto"/>
        </w:rPr>
      </w:pPr>
      <w:r>
        <w:rPr>
          <w:rFonts w:ascii="Times New Roman" w:cs="Times New Roman" w:eastAsia="Times New Roman" w:hAnsi="Times New Roman"/>
          <w:sz w:val="18"/>
          <w:szCs w:val="18"/>
          <w:color w:val="auto"/>
        </w:rPr>
        <w:t>There are numerous state, federal and foreign laws, regulations, decisions and directives regarding privacy and the collection, storage, transmission, use, processing, disclosure and protection of personal information and other data, the scope of which is continually evolving and subject to differing interpretations. Our worldwide operations mean that we are subject to privacy, cybersecurity and data protection laws and regulations in many jurisdictions to varying degrees, and that some of the data we process, store and transmit may be transmitted across countries. For example, in the U.S., privacy and security rules implementing the Health Insurance Portability and Accountability Act (“HIPAA”) require us as a business associate, in certain instances, to protect the confidentiality of patient health information, and the Federal Trade Commission has consumer protection authority, including with regard to privacy and cybersecurity. In Europe, the GDPR imposes several stringent requirements for controllers and processors of personal data that impose substantial obligations and, in the event of violations, may impose significant fines of up to the greater of 4% of worldwide annual revenue or €20 million. In the UK, the Data Protection Act of 2018 and the UK GDPR collectively implement material provisions of the GDPR and provide for penalties for noncompliance of up to the greater of £17.5 million or four percent of worldwide revenues.</w:t>
      </w:r>
    </w:p>
    <w:p>
      <w:pPr>
        <w:spacing w:after="0" w:line="194" w:lineRule="exact"/>
        <w:rPr>
          <w:sz w:val="20"/>
          <w:szCs w:val="20"/>
          <w:color w:val="auto"/>
        </w:rPr>
      </w:pPr>
    </w:p>
    <w:p>
      <w:pPr>
        <w:ind w:right="60" w:firstLine="255"/>
        <w:spacing w:after="0" w:line="261" w:lineRule="auto"/>
        <w:rPr>
          <w:sz w:val="20"/>
          <w:szCs w:val="20"/>
          <w:color w:val="auto"/>
        </w:rPr>
      </w:pPr>
      <w:r>
        <w:rPr>
          <w:rFonts w:ascii="Times New Roman" w:cs="Times New Roman" w:eastAsia="Times New Roman" w:hAnsi="Times New Roman"/>
          <w:sz w:val="18"/>
          <w:szCs w:val="18"/>
          <w:color w:val="auto"/>
        </w:rPr>
        <w:t>Data transfer and localization requirements also appear to be increasing and becoming more complex. With regard to transfers to the U.S. of personal data from our employees and European customers and users, both the EU-U.S. Privacy Shield and standard contractual clauses issued by the European Commission (the “EU SCCs”) have been subject to legal challenge. In July 2020, the Court of Justice of the European Union (“CJEU”) released a decision in the Schrems II case (Data Protection Commissioner v. Facebook</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8" w:name="page49"/>
    <w:bookmarkEnd w:id="48"/>
    <w:p>
      <w:pPr>
        <w:spacing w:after="0" w:line="252" w:lineRule="auto"/>
        <w:rPr>
          <w:sz w:val="20"/>
          <w:szCs w:val="20"/>
          <w:color w:val="auto"/>
        </w:rPr>
      </w:pPr>
      <w:r>
        <w:rPr>
          <w:rFonts w:ascii="Times New Roman" w:cs="Times New Roman" w:eastAsia="Times New Roman" w:hAnsi="Times New Roman"/>
          <w:sz w:val="18"/>
          <w:szCs w:val="18"/>
          <w:color w:val="auto"/>
        </w:rPr>
        <w:t>Ireland, Schrems) (the “CJEU Decision”), declaring the EU-U.S. Privacy Shield invalid and imposing additional obligations in connection with the use of the EU SCCs, another mechanism for cross-border personal data transfers from the European Economic Area (“EEA”). Although the EU SCCs remain a valid means to transfer personal data from the EEA, the CJEU imposed additional obligations in connection with their use and, on June 4, 2021, the European Commission issued revised EU SCCs that address certain concerns of the CJEU. The United Kingdom also has issued new standard contractual clauses (the “UK SCCs”) that became effective March 21, 2022, and which are required to be implemented. In March 2022, the EU and U.S. reached an agreement in principle on a new EU-U.S. Data Privacy Framework (“DPF”). In October 2022, the U.S. issued an executive order in furtherance of the DPF, on which basis the European Commission adopted an adequacy decision with respect to the DPF in July 2023, allowing its implementation and availability for companies to use to legitimize transfers of personal data from the E.U. to the U.S. It remains unclear, however, whether this new framework will be appropriate for us to rely upon. The DPF has already faced a legal challenge and it may be subject to additional challenges. Additionally, the European Commission’s adequacy decision regarding the DPF provides that the DPF will be subject to future reviews and may be subject to suspension, amendment, repeal, or limitations to its scope by the European Commission. Additionally, the U.S. Department of Justice recently issued a final rule that takes effect in April 2025, which places limitations, and in some cases prohibitions, on certain transfers of sensitive personal data to data to business partners located in China or with other specified links to China and other designated countries (the “DOJ Sensitive Personal Data Transfer Limitations Rule”). These and other developments relating to cross-border data transfer may require us to implement additional contractual and technical safeguards for any personal data transferred out of various jurisdictions, which may increase compliance costs, lead to increased regulatory scrutiny or liability, may require additional contractual negotiations, and may adversely impact our business, financial condition and operating results.</w:t>
      </w:r>
    </w:p>
    <w:p>
      <w:pPr>
        <w:spacing w:after="0" w:line="195"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8"/>
          <w:szCs w:val="18"/>
          <w:color w:val="auto"/>
        </w:rPr>
        <w:t>Other jurisdictions have adopted laws and regulations addressing privacy, data protection, data security, or other aspects of data processing, such as data localization. For example, the People’s Republic of China (“PRC”) and Russia have passed laws that require individually identifiable data on their citizens to be maintained on local servers and that may restrict transfer or processing of that data if certain data quantity thresholds are triggered. Additionally, the Personal Information Protection Law (“PIPL”) of the PRC went into effect on November 1, 2021. The PIPL shares similarities with the GDPR, including extraterritorial application, data minimization, data localization, and purpose limitation requirements, and obligations to provide certain notices and rights to citizens of the PRC. The PIPL allows for fines of up to 50 million Renminbi or 5% of a covered company’s revenue in the prior year. We may be required to modify our policies, procedures, and data processing measures in order to address requirements under these or other privacy, data protection, or cybersecurity regimes, and may face claims, litigation, investigations, or other proceedings regarding them and may incur related liabilities, expenses, costs, and operational losses.</w:t>
      </w:r>
    </w:p>
    <w:p>
      <w:pPr>
        <w:spacing w:after="0" w:line="188" w:lineRule="exact"/>
        <w:rPr>
          <w:sz w:val="20"/>
          <w:szCs w:val="20"/>
          <w:color w:val="auto"/>
        </w:rPr>
      </w:pPr>
    </w:p>
    <w:p>
      <w:pPr>
        <w:ind w:right="20" w:firstLine="255"/>
        <w:spacing w:after="0" w:line="254" w:lineRule="auto"/>
        <w:rPr>
          <w:sz w:val="20"/>
          <w:szCs w:val="20"/>
          <w:color w:val="auto"/>
        </w:rPr>
      </w:pPr>
      <w:r>
        <w:rPr>
          <w:rFonts w:ascii="Times New Roman" w:cs="Times New Roman" w:eastAsia="Times New Roman" w:hAnsi="Times New Roman"/>
          <w:sz w:val="18"/>
          <w:szCs w:val="18"/>
          <w:color w:val="auto"/>
        </w:rPr>
        <w:t>Further, the U.S. government has undertaken an evaluation of national security concerns and other risks relating to the transfer of personally identifiable information from the United States to China, and on June 9, 2021, U.S. President Biden signed an executive order instituting a framework for determining national security risks of transactions that involve applications connected to governments or militaries of certain foreign adversaries or that collect sensitive personal data from U.S. consumers, with the DOJ Sensitive Personal Data Transfer Limitations Rule issued in April 2025. In 2019, an executive order citing national security risks in the telecommunications sector served to block U.S. companies from buying Chinese-made Huawei and ZTE products. If our operations, including those involving the processing of U.S.-collected data such as medical imagery, through the JV in China, come to be perceived as a U.S. national security risk, those operations may become subject to executive orders, sanctions, or other measures. The DOJ Sensitive Personal Data Transfer Limitations Rule, and any other ban or other restriction on our transfer of data to the JV in China may increase costs as we seek operational and data processing alternatives.</w:t>
      </w:r>
    </w:p>
    <w:p>
      <w:pPr>
        <w:spacing w:after="0" w:line="188" w:lineRule="exact"/>
        <w:rPr>
          <w:sz w:val="20"/>
          <w:szCs w:val="20"/>
          <w:color w:val="auto"/>
        </w:rPr>
      </w:pPr>
    </w:p>
    <w:p>
      <w:pPr>
        <w:ind w:right="140" w:firstLine="255"/>
        <w:spacing w:after="0" w:line="261" w:lineRule="auto"/>
        <w:rPr>
          <w:sz w:val="20"/>
          <w:szCs w:val="20"/>
          <w:color w:val="auto"/>
        </w:rPr>
      </w:pPr>
      <w:r>
        <w:rPr>
          <w:rFonts w:ascii="Times New Roman" w:cs="Times New Roman" w:eastAsia="Times New Roman" w:hAnsi="Times New Roman"/>
          <w:sz w:val="18"/>
          <w:szCs w:val="18"/>
          <w:color w:val="auto"/>
        </w:rPr>
        <w:t>New and proposed privacy, cybersecurity, and data protection laws are also providing new rights to individuals and increasing the penalties associated with non-compliance. For example, the California Consumer Privacy Act (the “CCPA”), which became effective on January 1, 2020, imposes stringent data privacy and data protection requirements regarding the personal information of California residents, and provides for penalties for noncompliance of up to $7,500 per violation, as well as a private right of action from individuals in relation to certain security breaches.</w:t>
      </w:r>
    </w:p>
    <w:p>
      <w:pPr>
        <w:spacing w:after="0" w:line="180" w:lineRule="exact"/>
        <w:rPr>
          <w:sz w:val="20"/>
          <w:szCs w:val="20"/>
          <w:color w:val="auto"/>
        </w:rPr>
      </w:pPr>
    </w:p>
    <w:p>
      <w:pPr>
        <w:ind w:right="40" w:firstLine="255"/>
        <w:spacing w:after="0" w:line="254" w:lineRule="auto"/>
        <w:rPr>
          <w:sz w:val="20"/>
          <w:szCs w:val="20"/>
          <w:color w:val="auto"/>
        </w:rPr>
      </w:pPr>
      <w:r>
        <w:rPr>
          <w:rFonts w:ascii="Times New Roman" w:cs="Times New Roman" w:eastAsia="Times New Roman" w:hAnsi="Times New Roman"/>
          <w:sz w:val="18"/>
          <w:szCs w:val="18"/>
          <w:color w:val="auto"/>
        </w:rPr>
        <w:t>The California Privacy Rights Act (“CPRA”), approved by California voters in November 2020, became effective on January 1, 2023. The CPRA, significantly modified the CCPA, has resulted in further uncertainty and may require us to incur additional costs and expenses in an effort to comply. We will continue to monitor developments related to the CPRA and anticipate additional costs and expenses associated with CPRA compliance. The enactment of the CCPA, as modified by the CPRA, is prompting a wave of similar legislative developments in other states in the U.S., which could potentially create a patchwork of overlapping but different state laws. For example, Virginia, Colorado, Utah, and Connecticut all have enacted state laws that became effective in 2023; Texas, Montana, Oregon, and Florida have adopted laws that became effective in 2024, Delaware, Iowa, Maryland, Minnesota, Nebraska, New Hampshire, New Jersey and Tennessee have adopted laws that have become or will become effective in 2025; and Indiana Kentucky, and Rhode Island have adopted laws that will become effective in 2026. These new state laws share similarities with the CCPA, CPRA, and legislation proposed in other states. Other states have enacted other types of privacy legislation, such as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9" w:name="page50"/>
    <w:bookmarkEnd w:id="49"/>
    <w:p>
      <w:pPr>
        <w:spacing w:after="0" w:line="255" w:lineRule="auto"/>
        <w:rPr>
          <w:sz w:val="20"/>
          <w:szCs w:val="20"/>
          <w:color w:val="auto"/>
        </w:rPr>
      </w:pPr>
      <w:r>
        <w:rPr>
          <w:rFonts w:ascii="Times New Roman" w:cs="Times New Roman" w:eastAsia="Times New Roman" w:hAnsi="Times New Roman"/>
          <w:sz w:val="18"/>
          <w:szCs w:val="18"/>
          <w:color w:val="auto"/>
        </w:rPr>
        <w:t>Washington’s My Health, My Data Act, which includes a private right of action. Additionally, the U.S. federal government is contemplating privacy legislation. We cannot fully predict the impact of the CCPA, CPRA, or other new or proposed legislation on our business or operations, but the restrictions imposed by these laws and regulations may require us to modify our data handling practices and impose additional costs and burdens, including risks of regulatory fines, litigation and associated reputational harm. In addition, U.S. and international laws that have been applied to protect consumer privacy (including laws regarding unfair and deceptive practices in the U.S. and GDPR in the EU) may be subject to evolving interpretations or applications in light of privacy developments. As a result, we may be subject to significant consequences, including penalties and fines, for any failure to comply with such laws, regulations and directives.</w:t>
      </w:r>
    </w:p>
    <w:p>
      <w:pPr>
        <w:spacing w:after="0" w:line="189" w:lineRule="exact"/>
        <w:rPr>
          <w:sz w:val="20"/>
          <w:szCs w:val="20"/>
          <w:color w:val="auto"/>
        </w:rPr>
      </w:pPr>
    </w:p>
    <w:p>
      <w:pPr>
        <w:ind w:right="20" w:firstLine="255"/>
        <w:spacing w:after="0" w:line="252" w:lineRule="auto"/>
        <w:rPr>
          <w:sz w:val="20"/>
          <w:szCs w:val="20"/>
          <w:color w:val="auto"/>
        </w:rPr>
      </w:pPr>
      <w:r>
        <w:rPr>
          <w:rFonts w:ascii="Times New Roman" w:cs="Times New Roman" w:eastAsia="Times New Roman" w:hAnsi="Times New Roman"/>
          <w:sz w:val="18"/>
          <w:szCs w:val="18"/>
          <w:color w:val="auto"/>
        </w:rPr>
        <w:t>Privacy, cybersecurity and data protection legislation around the world is comprehensive and complex and there has been a trend towards more stringent enforcement of requirements regarding protection and confidentiality of personal data. The restrictions imposed by such laws and regulations may limit the use and adoption of our products and services, reduce overall demand for our products and services, require us to modify our data handling practices and impose additional costs and burdens. With increasing enforcement of privacy, cybersecurity and data protection laws and regulations, there is no guarantee that we will not be subject to investigation, enforcement actions or other proceedings by governmental bodies or that our costs relating to privacy, data protection or cybersecurity laws and regulations will not increase significantly. Enforcement actions, investigations and other proceedings can be costly, require significant time and attention of management and other personnel and interrupt regular operations of our business. In addition, there has been a developing trend of civil lawsuits and class actions relating to breaches of consumer data held by large companies. While we have not been named in any such suits, we may be in the future, including if we were to suffer a security breach or incident. Any inability to adequately address concerns relating to privacy, data protection or cybersecurity, even if unfounded, or to comply with applicable laws, regulations, policies, industry standards, contractual obligations or other legal obligations could result in additional cost and liability to us, damage our reputation, inhibit sales and adversely affect our business. Our actual or alleged failure to comply with applicable laws and regulations could result in investigation, enforcement actions or other proceedings against us, including fines and public censure, claims for damages by customers and other affected individuals, damage to our reputation and loss of goodwill (both in relation to existing customers and prospective customers), any of which could harm our business, results of operations and financial condition.</w:t>
      </w:r>
    </w:p>
    <w:p>
      <w:pPr>
        <w:spacing w:after="0" w:line="152" w:lineRule="exact"/>
        <w:rPr>
          <w:sz w:val="20"/>
          <w:szCs w:val="20"/>
          <w:color w:val="auto"/>
        </w:rPr>
      </w:pPr>
    </w:p>
    <w:p>
      <w:pPr>
        <w:ind w:right="5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incorporated and continue to work to further incorporate artificial intelligence into our products, services, and internal operations. Implementation of artificial intelligence and machine learning technologies may result in legal and regulatory risks, reputational harm, or other adverse consequences to our business.</w:t>
      </w:r>
    </w:p>
    <w:p>
      <w:pPr>
        <w:spacing w:after="0" w:line="175" w:lineRule="exact"/>
        <w:rPr>
          <w:sz w:val="20"/>
          <w:szCs w:val="20"/>
          <w:color w:val="auto"/>
        </w:rPr>
      </w:pPr>
    </w:p>
    <w:p>
      <w:pPr>
        <w:ind w:right="20" w:firstLine="255"/>
        <w:spacing w:after="0" w:line="253" w:lineRule="auto"/>
        <w:rPr>
          <w:sz w:val="20"/>
          <w:szCs w:val="20"/>
          <w:color w:val="auto"/>
        </w:rPr>
      </w:pPr>
      <w:r>
        <w:rPr>
          <w:rFonts w:ascii="Times New Roman" w:cs="Times New Roman" w:eastAsia="Times New Roman" w:hAnsi="Times New Roman"/>
          <w:sz w:val="18"/>
          <w:szCs w:val="18"/>
          <w:color w:val="auto"/>
        </w:rPr>
        <w:t>We have integrated AI, including machine learning, in certain of our products, services and internal operations. Further, certain of our third-party vendors utilize AI and machine learning technologies in furnishing services to us. As with many technological innovations, AI presents risks and challenges that could affect its adoption, and therefore our business. Our products utilize, and we plan to further examine, develop and introduce, machine learning algorithms, predictive analytics, and other AI technologies to offer new or upgraded solutions and enhance our capabilities. If these AI or machine learning models are incorrectly designed, the performance of our products, services, and business, as well as our reputation, could suffer or we could incur liability through the violation of laws or contracts to which we are a party. Additionally, new and evolving laws and regulations related to the development and use of AI and machine learning technologies have been proposed, and in certain cases enacted, in various jurisdictions, including the United States, and the EU has adopted an AI Act that adopts an overall regulatory framework for AI. These laws and regulations may impose onerous obligations and may require us to unexpectedly rework or reevaluate improvements to be compliant. Use of AI technologies may expose us to an increased risk of regulatory enforcement and litigation. Moreover, some of the AI features involve the processing of personal data and may be subject to laws, policies, legal obligations, and codes of conduct related to privacy and data protection.</w:t>
      </w:r>
    </w:p>
    <w:p>
      <w:pPr>
        <w:spacing w:after="0" w:line="192" w:lineRule="exact"/>
        <w:rPr>
          <w:sz w:val="20"/>
          <w:szCs w:val="20"/>
          <w:color w:val="auto"/>
        </w:rPr>
      </w:pPr>
    </w:p>
    <w:p>
      <w:pPr>
        <w:ind w:right="20" w:firstLine="255"/>
        <w:spacing w:after="0" w:line="255" w:lineRule="auto"/>
        <w:rPr>
          <w:sz w:val="20"/>
          <w:szCs w:val="20"/>
          <w:color w:val="auto"/>
        </w:rPr>
      </w:pPr>
      <w:r>
        <w:rPr>
          <w:rFonts w:ascii="Times New Roman" w:cs="Times New Roman" w:eastAsia="Times New Roman" w:hAnsi="Times New Roman"/>
          <w:sz w:val="18"/>
          <w:szCs w:val="18"/>
          <w:color w:val="auto"/>
        </w:rPr>
        <w:t>Though we have taken steps to be thoughtful in our development, training, and implementation of AI, it could pose certain risks to our customers, including patients, clinicians, and healthcare institutions, and it is not guaranteed that regulators will agree with our approach to limiting these risks or to our compliance more generally. Risks can include, but are not limited to, the potential for errors or inaccuracies in the algorithms or models used by AI, the potential for bias or inaccuracies in the data used to train the AI, the potential for improper processing of personal information, and the potential for cybersecurity breaches that could compromise patient data or product functionality. Such risks could negatively affect the performance of our products, services, and business, as well as our reputation and the reputations of our customers, and we could incur liability through the violation of laws or contracts to which we are a party or civil claims.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Continued consolidation in the healthcare industry could have an adverse effect on our business, financial condition, or results of operations.</w:t>
      </w:r>
    </w:p>
    <w:p>
      <w:pPr>
        <w:spacing w:after="0" w:line="229" w:lineRule="exact"/>
        <w:rPr>
          <w:sz w:val="20"/>
          <w:szCs w:val="20"/>
          <w:color w:val="auto"/>
        </w:rPr>
      </w:pPr>
    </w:p>
    <w:p>
      <w:pPr>
        <w:ind w:right="100" w:firstLine="255"/>
        <w:spacing w:after="0" w:line="282" w:lineRule="auto"/>
        <w:rPr>
          <w:sz w:val="20"/>
          <w:szCs w:val="20"/>
          <w:color w:val="auto"/>
        </w:rPr>
      </w:pPr>
      <w:r>
        <w:rPr>
          <w:rFonts w:ascii="Times New Roman" w:cs="Times New Roman" w:eastAsia="Times New Roman" w:hAnsi="Times New Roman"/>
          <w:sz w:val="18"/>
          <w:szCs w:val="18"/>
          <w:color w:val="auto"/>
        </w:rPr>
        <w:t>The healthcare industry has been consolidating, and organizations continue to consolidate purchasing decisions for many of our customers, particularly in the United States. Numerous initiatives and reforms by legislators, regulators, and third-party payors to curb</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0" w:name="page51"/>
    <w:bookmarkEnd w:id="50"/>
    <w:p>
      <w:pPr>
        <w:spacing w:after="0" w:line="254" w:lineRule="auto"/>
        <w:rPr>
          <w:sz w:val="20"/>
          <w:szCs w:val="20"/>
          <w:color w:val="auto"/>
        </w:rPr>
      </w:pPr>
      <w:r>
        <w:rPr>
          <w:rFonts w:ascii="Times New Roman" w:cs="Times New Roman" w:eastAsia="Times New Roman" w:hAnsi="Times New Roman"/>
          <w:sz w:val="18"/>
          <w:szCs w:val="18"/>
          <w:color w:val="auto"/>
        </w:rPr>
        <w:t>the rising cost of healthcare have catalyzed a consolidation of aggregate purchasing power within the markets in which we sell our products. As the healthcare industry consolidates, competition to provide products and services is expected to continue to intensify, resulting in pricing pressures and decreased average selling prices. In addition, for smaller hospitals or groups that do not consolidate with larger networks, these entities may face increasing cost and/or competitive pressures, which could impact their ability to purchase additional products and services from us or make contractual payments over time. We expect that market demand, government regulation, third-party payor coverage and reimbursement policies, government contracting requirements, new entrants, technology, and societal pressures will continue to change the worldwide healthcare industry, resulting in further consolidation, which may exert further downward pressure on prices of our products and services and may have a material adverse impact on our business, financial condition, or results of operations.</w:t>
      </w:r>
    </w:p>
    <w:p>
      <w:pPr>
        <w:spacing w:after="0" w:line="151" w:lineRule="exact"/>
        <w:rPr>
          <w:sz w:val="20"/>
          <w:szCs w:val="20"/>
          <w:color w:val="auto"/>
        </w:rPr>
      </w:pPr>
    </w:p>
    <w:p>
      <w:pPr>
        <w:ind w:right="400"/>
        <w:spacing w:after="0" w:line="246" w:lineRule="exact"/>
        <w:rPr>
          <w:sz w:val="20"/>
          <w:szCs w:val="20"/>
          <w:color w:val="auto"/>
        </w:rPr>
      </w:pPr>
      <w:r>
        <w:rPr>
          <w:rFonts w:ascii="Times New Roman" w:cs="Times New Roman" w:eastAsia="Times New Roman" w:hAnsi="Times New Roman"/>
          <w:sz w:val="17"/>
          <w:szCs w:val="17"/>
          <w:b w:val="1"/>
          <w:bCs w:val="1"/>
          <w:i w:val="1"/>
          <w:iCs w:val="1"/>
          <w:color w:val="auto"/>
        </w:rPr>
        <w:t>If third</w:t>
      </w:r>
      <w:r>
        <w:rPr>
          <w:rFonts w:ascii="MS PGothic" w:cs="MS PGothic" w:eastAsia="MS PGothic" w:hAnsi="MS PGothic"/>
          <w:sz w:val="17"/>
          <w:szCs w:val="17"/>
          <w:i w:val="1"/>
          <w:iCs w:val="1"/>
          <w:color w:val="auto"/>
        </w:rPr>
        <w:t>‑</w:t>
      </w:r>
      <w:r>
        <w:rPr>
          <w:rFonts w:ascii="Times New Roman" w:cs="Times New Roman" w:eastAsia="Times New Roman" w:hAnsi="Times New Roman"/>
          <w:sz w:val="17"/>
          <w:szCs w:val="17"/>
          <w:b w:val="1"/>
          <w:bCs w:val="1"/>
          <w:i w:val="1"/>
          <w:iCs w:val="1"/>
          <w:color w:val="auto"/>
        </w:rPr>
        <w:t>party payors do not provide sufficient coverage and reimbursement to healthcare providers for use of the CyberKnife and TomoTherapy platforms or if the number of patients covered by health insurance reduces, demand for our products and our revenue could be adversely affected.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wp:posOffset>
            </wp:positionH>
            <wp:positionV relativeFrom="paragraph">
              <wp:posOffset>-223520</wp:posOffset>
            </wp:positionV>
            <wp:extent cx="64135" cy="3937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38" w:lineRule="exact"/>
        <w:rPr>
          <w:sz w:val="20"/>
          <w:szCs w:val="20"/>
          <w:color w:val="auto"/>
        </w:rPr>
      </w:pPr>
    </w:p>
    <w:p>
      <w:pPr>
        <w:ind w:right="140" w:firstLine="255"/>
        <w:spacing w:after="0" w:line="254" w:lineRule="auto"/>
        <w:rPr>
          <w:sz w:val="20"/>
          <w:szCs w:val="20"/>
          <w:color w:val="auto"/>
        </w:rPr>
      </w:pPr>
      <w:r>
        <w:rPr>
          <w:rFonts w:ascii="Times New Roman" w:cs="Times New Roman" w:eastAsia="Times New Roman" w:hAnsi="Times New Roman"/>
          <w:sz w:val="18"/>
          <w:szCs w:val="18"/>
          <w:color w:val="auto"/>
        </w:rPr>
        <w:t>Our customers rely significantly on reimbursement from public and private third-party payors for CyberKnife and TomoTherapy platform procedures. Our ability to commercialize our products successfully and increase market acceptance of our products will depend in significant part on the extent to which public and private third-party payors provide adequate coverage and reimbursement for procedures that are performed with our products and the extent to which patients that are treated by our products continue to be covered by health insurance. Third-party payors may establish or change the reimbursement for medical products and services that could significantly influence the purchase of medical products and services. If reimbursement policies or other cost containment measures are instituted in a manner that significantly reduces the coverage or payment for the procedures that are performed with our products or if there is a prolonged reduction in the number of patients eligible to be treated by our products that are covered by health insurance, our revenue may decline, our existing customers may not continue using our products or may decrease their use of our products, and we may have difficulty obtaining new customers. Such actions would likely have a material adverse effect on our operating results.</w:t>
      </w:r>
    </w:p>
    <w:p>
      <w:pPr>
        <w:spacing w:after="0" w:line="161" w:lineRule="exact"/>
        <w:rPr>
          <w:sz w:val="20"/>
          <w:szCs w:val="20"/>
          <w:color w:val="auto"/>
        </w:rPr>
      </w:pPr>
    </w:p>
    <w:p>
      <w:pPr>
        <w:ind w:right="40" w:firstLine="255"/>
        <w:spacing w:after="0" w:line="261" w:lineRule="auto"/>
        <w:rPr>
          <w:sz w:val="20"/>
          <w:szCs w:val="20"/>
          <w:color w:val="auto"/>
        </w:rPr>
      </w:pPr>
      <w:r>
        <w:rPr>
          <w:rFonts w:ascii="Times New Roman" w:cs="Times New Roman" w:eastAsia="Times New Roman" w:hAnsi="Times New Roman"/>
          <w:sz w:val="18"/>
          <w:szCs w:val="18"/>
          <w:color w:val="auto"/>
        </w:rPr>
        <w:t>In addition, the Centers for Medicare and Medicaid Services (“CMS”) reviews reimbursement rates annually and may implement significant changes in future years, which could discourage existing and potential customers from purchasing or using our products. Further, outside of the U.S., reimbursement practices vary significantly by country. Market acceptance of our products may depend on the availability and level of coverage and reimbursement in any country within a particular time.</w:t>
      </w:r>
    </w:p>
    <w:p>
      <w:pPr>
        <w:spacing w:after="0" w:line="98" w:lineRule="exact"/>
        <w:rPr>
          <w:sz w:val="20"/>
          <w:szCs w:val="20"/>
          <w:color w:val="auto"/>
        </w:rPr>
      </w:pPr>
    </w:p>
    <w:p>
      <w:pPr>
        <w:ind w:right="80"/>
        <w:spacing w:after="0" w:line="245" w:lineRule="exact"/>
        <w:rPr>
          <w:sz w:val="20"/>
          <w:szCs w:val="20"/>
          <w:color w:val="auto"/>
        </w:rPr>
      </w:pPr>
      <w:r>
        <w:rPr>
          <w:rFonts w:ascii="Times New Roman" w:cs="Times New Roman" w:eastAsia="Times New Roman" w:hAnsi="Times New Roman"/>
          <w:sz w:val="18"/>
          <w:szCs w:val="18"/>
          <w:b w:val="1"/>
          <w:bCs w:val="1"/>
          <w:i w:val="1"/>
          <w:iCs w:val="1"/>
          <w:color w:val="auto"/>
        </w:rPr>
        <w:t>The safety and efficacy of our products for certain uses is not yet supported by long</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term clinical data, and our products may therefore prove to be less safe and effective than initially thought.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3917315</wp:posOffset>
            </wp:positionH>
            <wp:positionV relativeFrom="paragraph">
              <wp:posOffset>-223520</wp:posOffset>
            </wp:positionV>
            <wp:extent cx="64135" cy="3937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38" w:lineRule="exact"/>
        <w:rPr>
          <w:sz w:val="20"/>
          <w:szCs w:val="20"/>
          <w:color w:val="auto"/>
        </w:rPr>
      </w:pPr>
    </w:p>
    <w:p>
      <w:pPr>
        <w:ind w:right="40" w:firstLine="255"/>
        <w:spacing w:after="0" w:line="220" w:lineRule="exact"/>
        <w:rPr>
          <w:sz w:val="20"/>
          <w:szCs w:val="20"/>
          <w:color w:val="auto"/>
        </w:rPr>
      </w:pPr>
      <w:r>
        <w:rPr>
          <w:rFonts w:ascii="Times New Roman" w:cs="Times New Roman" w:eastAsia="Times New Roman" w:hAnsi="Times New Roman"/>
          <w:sz w:val="18"/>
          <w:szCs w:val="18"/>
          <w:color w:val="auto"/>
        </w:rPr>
        <w:t>Although we believe that the CyberKnife and TomoTherapy platforms have advantages over competing products and technologies, we do not have sufficient clinical data demonstrating these advantages for all tumor indications. In addition, we have only limited five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patient survival rate data, which is a common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measure of clinical effectiveness in cancer treatment. We also have limited clinical data directly comparing the effectiveness of the CyberKnife platform to other competing platforms. Future patient studies or clinical experience may indicate that treatment with the CyberKnife platform does not improve patient survival or outcomes relative to other platforms.</w:t>
      </w:r>
    </w:p>
    <w:p>
      <w:pPr>
        <w:spacing w:after="0" w:line="174" w:lineRule="exact"/>
        <w:rPr>
          <w:sz w:val="20"/>
          <w:szCs w:val="20"/>
          <w:color w:val="auto"/>
        </w:rPr>
      </w:pPr>
    </w:p>
    <w:p>
      <w:pPr>
        <w:ind w:right="80" w:firstLine="255"/>
        <w:spacing w:after="0" w:line="261" w:lineRule="auto"/>
        <w:rPr>
          <w:sz w:val="20"/>
          <w:szCs w:val="20"/>
          <w:color w:val="auto"/>
        </w:rPr>
      </w:pPr>
      <w:r>
        <w:rPr>
          <w:rFonts w:ascii="Times New Roman" w:cs="Times New Roman" w:eastAsia="Times New Roman" w:hAnsi="Times New Roman"/>
          <w:sz w:val="18"/>
          <w:szCs w:val="18"/>
          <w:color w:val="auto"/>
        </w:rPr>
        <w:t>Likewise, because the TomoTherapy platform has only been on the market since 2003, we have limited complication or patient survival rate data with respect to treatment using the systems for all clinical indications. If future patient studies or clinical experience do not support our beliefs that the TomoTherapy platform offer a more advantageous treatment for a wide variety of cancer types, use of the systems could fail to increase or could decrease, and our business would therefore be adversely affected.</w:t>
      </w:r>
    </w:p>
    <w:p>
      <w:pPr>
        <w:spacing w:after="0" w:line="98" w:lineRule="exact"/>
        <w:rPr>
          <w:sz w:val="20"/>
          <w:szCs w:val="20"/>
          <w:color w:val="auto"/>
        </w:rPr>
      </w:pPr>
    </w:p>
    <w:p>
      <w:pPr>
        <w:jc w:val="both"/>
        <w:ind w:right="120" w:firstLine="255"/>
        <w:spacing w:after="0" w:line="231" w:lineRule="exact"/>
        <w:rPr>
          <w:sz w:val="20"/>
          <w:szCs w:val="20"/>
          <w:color w:val="auto"/>
        </w:rPr>
      </w:pPr>
      <w:r>
        <w:rPr>
          <w:rFonts w:ascii="Times New Roman" w:cs="Times New Roman" w:eastAsia="Times New Roman" w:hAnsi="Times New Roman"/>
          <w:sz w:val="18"/>
          <w:szCs w:val="18"/>
          <w:color w:val="auto"/>
        </w:rPr>
        <w:t>Such results could reduce the rate of reimbursement by both public and private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for procedures that are performed with our products, slow the adoption of our products by physicians, significantly reduce our ability to achieve expected revenues and could prevent us from being profitable. In addition, if future results and experience indicate that our products cause unexpected or serious complications or other unforeseen negative effects, the FDA could rescind our clearances, our reputation with physicians, patients and others may suffer and we could be subject to significant legal liability.</w:t>
      </w:r>
    </w:p>
    <w:p>
      <w:pPr>
        <w:spacing w:after="0" w:line="15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perform shipping and logistics functions on our behalf. Failures or disruptions at our logistics providers have occurred and could occur in the future, which could adversely impact our business.</w:t>
      </w:r>
    </w:p>
    <w:p>
      <w:pPr>
        <w:spacing w:after="0" w:line="159" w:lineRule="exact"/>
        <w:rPr>
          <w:sz w:val="20"/>
          <w:szCs w:val="20"/>
          <w:color w:val="auto"/>
        </w:rPr>
      </w:pPr>
    </w:p>
    <w:p>
      <w:pPr>
        <w:ind w:right="60" w:firstLine="255"/>
        <w:spacing w:after="0" w:line="258" w:lineRule="auto"/>
        <w:rPr>
          <w:sz w:val="20"/>
          <w:szCs w:val="20"/>
          <w:color w:val="auto"/>
        </w:rPr>
      </w:pPr>
      <w:r>
        <w:rPr>
          <w:rFonts w:ascii="Times New Roman" w:cs="Times New Roman" w:eastAsia="Times New Roman" w:hAnsi="Times New Roman"/>
          <w:sz w:val="18"/>
          <w:szCs w:val="18"/>
          <w:color w:val="auto"/>
        </w:rPr>
        <w:t>Customer service is a critical element of our sales strategy. Third party logistics providers store most of our spare parts inventory in depots around the world and perform a significant portion of our spare parts logistics and shipping activities. Our logistics providers may terminate their relationship with us, suffer an interruption in their business, including as a result of macroeconomic factors, significantly increase fees for services or experience delays, disruptions or quality control problems in their operations, or we may have to change and qualify alternative logistics providers for our spare parts. For example, in recent years, we have experienced delays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51" w:name="page52"/>
    <w:bookmarkEnd w:id="51"/>
    <w:p>
      <w:pPr>
        <w:ind w:right="20"/>
        <w:spacing w:after="0" w:line="258" w:lineRule="auto"/>
        <w:rPr>
          <w:sz w:val="20"/>
          <w:szCs w:val="20"/>
          <w:color w:val="auto"/>
        </w:rPr>
      </w:pPr>
      <w:r>
        <w:rPr>
          <w:rFonts w:ascii="Times New Roman" w:cs="Times New Roman" w:eastAsia="Times New Roman" w:hAnsi="Times New Roman"/>
          <w:sz w:val="18"/>
          <w:szCs w:val="18"/>
          <w:color w:val="auto"/>
        </w:rPr>
        <w:t>in shipment of parts to customers as well as increased freight and logistics expenses due to macroeconomic factors and these impacts could intensify. These delays and increased costs have adversely affected our gross margins and net income (loss) and we currently expect such delays and increased costs to continue through fiscal year 2025. If this continues for longer than we expect or if any of the above occurs our customers may experience further delays and higher costs and our reputation, business, financial condition and results of operations, including our ability to recognize revenue, may be adversely affected.</w:t>
      </w:r>
    </w:p>
    <w:p>
      <w:pPr>
        <w:spacing w:after="0" w:line="139"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Third parties may claim we are infringing their intellectual property or that we are operating outside the scope of or violating a license or other agreement relating to their intellectual property, and we could suffer significant audit, litigation or licensing expenses, incur liabilities associated with indemnification obligations to customers, experience disruptions in the supply of components of our products or related services, or be prevented from selling our product or components of our product.</w:t>
      </w:r>
    </w:p>
    <w:p>
      <w:pPr>
        <w:spacing w:after="0" w:line="180" w:lineRule="exact"/>
        <w:rPr>
          <w:sz w:val="20"/>
          <w:szCs w:val="20"/>
          <w:color w:val="auto"/>
        </w:rPr>
      </w:pPr>
    </w:p>
    <w:p>
      <w:pPr>
        <w:ind w:right="180" w:firstLine="255"/>
        <w:spacing w:after="0" w:line="261" w:lineRule="auto"/>
        <w:rPr>
          <w:sz w:val="20"/>
          <w:szCs w:val="20"/>
          <w:color w:val="auto"/>
        </w:rPr>
      </w:pPr>
      <w:r>
        <w:rPr>
          <w:rFonts w:ascii="Times New Roman" w:cs="Times New Roman" w:eastAsia="Times New Roman" w:hAnsi="Times New Roman"/>
          <w:sz w:val="18"/>
          <w:szCs w:val="18"/>
          <w:color w:val="auto"/>
        </w:rPr>
        <w:t>The medical device industry is characterized by a substantial amount of litigation over patent and other intellectual property rights. In particular, the field of radiation treatment of cancer is well established and crowded with the intellectual property of competitors and others. We also expect that other participants will enter the field. A number of companies in our market, as well as universities and research institutions, have issued patents and have filed patent applications that relate to the use of radiation therapy and stereotactic radiosurgery to treat cancerous and benign tumors.</w:t>
      </w:r>
    </w:p>
    <w:p>
      <w:pPr>
        <w:spacing w:after="0" w:line="180" w:lineRule="exact"/>
        <w:rPr>
          <w:sz w:val="20"/>
          <w:szCs w:val="20"/>
          <w:color w:val="auto"/>
        </w:rPr>
      </w:pPr>
    </w:p>
    <w:p>
      <w:pPr>
        <w:ind w:right="20" w:firstLine="255"/>
        <w:spacing w:after="0" w:line="220" w:lineRule="exact"/>
        <w:rPr>
          <w:sz w:val="20"/>
          <w:szCs w:val="20"/>
          <w:color w:val="auto"/>
        </w:rPr>
      </w:pPr>
      <w:r>
        <w:rPr>
          <w:rFonts w:ascii="Times New Roman" w:cs="Times New Roman" w:eastAsia="Times New Roman" w:hAnsi="Times New Roman"/>
          <w:sz w:val="18"/>
          <w:szCs w:val="18"/>
          <w:color w:val="auto"/>
        </w:rPr>
        <w:t>Determining whether a product infringes a patent involves complex legal and factual issues, and the outcome of patent litigation actions is often uncertain. We have not conducted an extensive search of patents issued to third parties, and no assurance can be given that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patents containing claims covering our products, parts of our products, technology or methods do not exist, have not been filed, or could not be filed or issued. Because of the number of patents issued and patent applications filed in our technical areas or fields, our competitors or other third parties may assert that our products and the methods we employ in the use of our products are covered by U.S. or foreign patents held by them.</w:t>
      </w:r>
    </w:p>
    <w:p>
      <w:pPr>
        <w:spacing w:after="0" w:line="201" w:lineRule="exact"/>
        <w:rPr>
          <w:sz w:val="20"/>
          <w:szCs w:val="20"/>
          <w:color w:val="auto"/>
        </w:rPr>
      </w:pPr>
    </w:p>
    <w:p>
      <w:pPr>
        <w:ind w:right="100" w:firstLine="255"/>
        <w:spacing w:after="0" w:line="218" w:lineRule="exact"/>
        <w:rPr>
          <w:sz w:val="20"/>
          <w:szCs w:val="20"/>
          <w:color w:val="auto"/>
        </w:rPr>
      </w:pPr>
      <w:r>
        <w:rPr>
          <w:rFonts w:ascii="Times New Roman" w:cs="Times New Roman" w:eastAsia="Times New Roman" w:hAnsi="Times New Roman"/>
          <w:sz w:val="18"/>
          <w:szCs w:val="18"/>
          <w:color w:val="auto"/>
        </w:rPr>
        <w:t>In addition, because patent applications can take many years to issue and because publication schedules for pending applications vary by jurisdiction, there may be applications now pending of which we are unaware, and which may result in issued patents that our current or future products infringe. Also, because the claims of published patent applications can change between publication and patent grant, there may be published patent applications that may ultimately issue with claims that we infringe. There could also be existing patents that one or more of our products or parts may infringe and of which we are unaware. As the number of competitors in the market for less invasive cancer treatment alternatives grows, and as the number of patents issued in this area grows, the possibility of patent infringement claims against us increases. Regardless of the merit of infringement claims, they can be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consuming and result in costly litigation and diversion of technical and management personnel. 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funds, if necessary, to continue our operations.</w:t>
      </w:r>
    </w:p>
    <w:p>
      <w:pPr>
        <w:spacing w:after="0" w:line="204" w:lineRule="exact"/>
        <w:rPr>
          <w:sz w:val="20"/>
          <w:szCs w:val="20"/>
          <w:color w:val="auto"/>
        </w:rPr>
      </w:pPr>
    </w:p>
    <w:p>
      <w:pPr>
        <w:ind w:right="40" w:firstLine="255"/>
        <w:spacing w:after="0" w:line="253" w:lineRule="auto"/>
        <w:rPr>
          <w:sz w:val="20"/>
          <w:szCs w:val="20"/>
          <w:color w:val="auto"/>
        </w:rPr>
      </w:pPr>
      <w:r>
        <w:rPr>
          <w:rFonts w:ascii="Times New Roman" w:cs="Times New Roman" w:eastAsia="Times New Roman" w:hAnsi="Times New Roman"/>
          <w:sz w:val="18"/>
          <w:szCs w:val="18"/>
          <w:color w:val="auto"/>
        </w:rPr>
        <w:t>Also, because we purchase major components and software for each of our products from third party suppliers and manufacturers, we face the additional risk that infringement claims may be brought against us based on patents and other intellectual property rights that are embodied or contained in, or practiced by, those components (including software components) that we obtain from third parties, and any such claims against us, such as by our direct and indirect suppliers, may additionally allege that we are operating outside the scope of or violating a license or other agreement relating to their intellectual property. These third party suppliers or manufacturers may terminate their licenses with us for a variety of reasons, including actual or perceived failures or breaches of contractual commitments, or they may choose not to renew their licenses with us. The loss of, or inability to obtain, certain third-party licenses or other rights, including the right to resell, or to obtain such licenses or rights on favorable terms, or the need to engage in litigation regarding these matters, could affect the operability or performance of our products until equivalent technology can be identified, licensed or developed, if at all, and integrated into our products, and it may have a material adverse effect on our business, financial condition, and results of operations.</w:t>
      </w:r>
    </w:p>
    <w:p>
      <w:pPr>
        <w:spacing w:after="0" w:line="194"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8"/>
          <w:szCs w:val="18"/>
          <w:color w:val="auto"/>
        </w:rPr>
        <w:t>In the event that we become subject to a patent infringement or other intellectual property lawsuit and if the relevant patents or other intellectual property were upheld as valid and enforceable and we were found to infringe or violate the terms of a license or other agreement to which we are a party, we could be subject to third-party audit, experience disruptions in the supply of third-party components or related services, or be prevented from selling our products (or components of our products) unless we obtain a license or are able to redesign the product to avoid infringement. Required licenses may not be made available to us on acceptable terms or at all. If we are unable to obtain a license or successfully redesign our system, we might be prevented from selling such system. If there is an allegation or determination that we have infringed the intellectual property rights of a competitor or other person, we may be required to pay damages, pay ongoing royalties or otherwise settle such matter upon terms that are unfavorable to us. In these circumstances, we may be unable to sell our products at competitive prices or at all, and our business and operating results could be harmed.</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have wrongfully used or disclosed alleged trade secrets of their former employers.</w:t>
      </w:r>
    </w:p>
    <w:p>
      <w:pPr>
        <w:spacing w:after="0" w:line="229"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8"/>
          <w:szCs w:val="18"/>
          <w:color w:val="auto"/>
        </w:rPr>
        <w:t>As is common in the medical device industry, we employ individuals who were previously employed at other medical equipment or biotechnology companies, including our competitors or potential competitors. We may be subject to claims that we or those employees have inadvertently or otherwise used or disclosed trade secrets or other proprietary information of their former employers. Litigation may be necessary to defend against these claims. If we fail in defending any such claims, in addition to paying monetary damages, we may lose valuable intellectual property rights or personnel. Even if we are successful in defending against claims of this nature, litigation could result in substantial costs and be a distraction to management.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 is difficult and costly to protect our intellectual property and our proprietary technologies and we may not be able to ensure their protection.</w:t>
      </w:r>
    </w:p>
    <w:p>
      <w:pPr>
        <w:spacing w:after="0" w:line="229" w:lineRule="exact"/>
        <w:rPr>
          <w:sz w:val="20"/>
          <w:szCs w:val="20"/>
          <w:color w:val="auto"/>
        </w:rPr>
      </w:pPr>
    </w:p>
    <w:p>
      <w:pPr>
        <w:ind w:right="40" w:firstLine="255"/>
        <w:spacing w:after="0" w:line="220" w:lineRule="exact"/>
        <w:rPr>
          <w:sz w:val="20"/>
          <w:szCs w:val="20"/>
          <w:color w:val="auto"/>
        </w:rPr>
      </w:pPr>
      <w:r>
        <w:rPr>
          <w:rFonts w:ascii="Times New Roman" w:cs="Times New Roman" w:eastAsia="Times New Roman" w:hAnsi="Times New Roman"/>
          <w:sz w:val="18"/>
          <w:szCs w:val="18"/>
          <w:color w:val="auto"/>
        </w:rPr>
        <w:t>Our success depends significantly on our ability to obtain, maintain and protect our proprietary rights to the technologies used in our products. Patents and other proprietary rights provide uncertain protections, and we may be unable to protect our intellectual property. For example, we may be unsuccessful in defending our patents and other proprietary rights against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challenges. As key patents expire, our ability to prevent competitors from copying our technology may be limited. In addition, patent reform legislation or precedent could increase the uncertainties and costs surrounding the prosecution of our patent applications and the enforcement or defense of our issued patents.</w:t>
      </w:r>
    </w:p>
    <w:p>
      <w:pPr>
        <w:spacing w:after="0" w:line="201" w:lineRule="exact"/>
        <w:rPr>
          <w:sz w:val="20"/>
          <w:szCs w:val="20"/>
          <w:color w:val="auto"/>
        </w:rPr>
      </w:pPr>
    </w:p>
    <w:p>
      <w:pPr>
        <w:ind w:right="40" w:firstLine="255"/>
        <w:spacing w:after="0" w:line="253" w:lineRule="auto"/>
        <w:rPr>
          <w:sz w:val="20"/>
          <w:szCs w:val="20"/>
          <w:color w:val="auto"/>
        </w:rPr>
      </w:pPr>
      <w:r>
        <w:rPr>
          <w:rFonts w:ascii="Times New Roman" w:cs="Times New Roman" w:eastAsia="Times New Roman" w:hAnsi="Times New Roman"/>
          <w:sz w:val="18"/>
          <w:szCs w:val="18"/>
          <w:color w:val="auto"/>
        </w:rPr>
        <w:t>In addition to patents, we rely on a combination of trade secrets, copyright and trademark laws, nondisclosure agreements and other contractual provisions and technical security measures to protect our intellectual property rights. These measures may not be adequate to safeguard the technology underlying our products, including in case of a security breach involving our intellectual property. If these measures do not protect our rights adequately, third parties could use our technology, and our ability to compete in the market would be reduced. Although we have attempted to obtain patent coverage for our technology where available and appropriate, there are aspects of the technology for which patent coverage was never sought or never received. There also may be countries in which we sell or intend to sell the CyberKnife or TomoTherapy platforms but have no patents or pending patent applications. Our ability to prevent others from making or selling duplicate or similar technologies will be impaired in those countries in which we have no patent protection. Although we have several issued patents in the U.S. and in foreign countries protecting aspects of the CyberKnife and TomoTherapy platforms, our pending U.S. and foreign patent applications may not issue, may issue only with limited coverage or may issue and be subsequently successfully challenged by others and held invalid or unenforceable. In addition, many countries limit the enforceability of patents against certain third parties, including government agencies or government contractors. In these countries, patents may provide limited or no benefit. Patent protection must ultimately be sought on a country-by-country basis, which is an expensive and time consuming process with uncertain outcomes. Accordingly, we may choose not to seek patent protection in certain countries, and we will not have the benefit of patent protection in such countries.</w:t>
      </w:r>
    </w:p>
    <w:p>
      <w:pPr>
        <w:spacing w:after="0" w:line="187" w:lineRule="exact"/>
        <w:rPr>
          <w:sz w:val="20"/>
          <w:szCs w:val="20"/>
          <w:color w:val="auto"/>
        </w:rPr>
      </w:pPr>
    </w:p>
    <w:p>
      <w:pPr>
        <w:ind w:right="40" w:firstLine="255"/>
        <w:spacing w:after="0" w:line="253" w:lineRule="auto"/>
        <w:rPr>
          <w:sz w:val="20"/>
          <w:szCs w:val="20"/>
          <w:color w:val="auto"/>
        </w:rPr>
      </w:pPr>
      <w:r>
        <w:rPr>
          <w:rFonts w:ascii="Times New Roman" w:cs="Times New Roman" w:eastAsia="Times New Roman" w:hAnsi="Times New Roman"/>
          <w:sz w:val="18"/>
          <w:szCs w:val="18"/>
          <w:color w:val="auto"/>
        </w:rPr>
        <w:t>Similarly, our issued patents and those of our licensors may not provide us with any competitive advantages. Competitors may be able to design around our patents or develop products which provide outcomes comparable or superior to ours. Our patents may be held invalid or unenforceable as a result of legal challenges by third parties, and others may challenge the inventorship or ownership of our patents and pending patent applications. In addition, the laws of some foreign countries, such as China where the JV operates, may not protect our intellectual property rights to the same extent as do the laws of the United States and, even if they do, uneven enforcement and procedural barriers may exist in such countries. In the event a competitor or other third party infringes upon our patent or other intellectual property rights or otherwise misappropriates such rights, enforcing those rights may be difficult and time consuming. Even if successful, litigation to enforce our intellectual property rights or to defend our patents against challenge could be expensive and time consuming and could divert our management’s attention from our core business. Damage awards resulting from successful litigation in foreign jurisdictions may not be in amounts commensurate with damage awards in the U.S. We may not have sufficient resources to enforce our intellectual property rights or to defend our patents against a challenge. In addition, we may not prevail in any lawsuits that we initiate, and the damages or other remedies awarded, if any, may not be commercially valuable. Litigation also puts our patents at risk of being invalidated or interpreted narrowly and our patent applications at risk of not issuing. Additionally, we may provoke third parties to assert claims against us.</w:t>
      </w:r>
    </w:p>
    <w:p>
      <w:pPr>
        <w:spacing w:after="0" w:line="190" w:lineRule="exact"/>
        <w:rPr>
          <w:sz w:val="20"/>
          <w:szCs w:val="20"/>
          <w:color w:val="auto"/>
        </w:rPr>
      </w:pPr>
    </w:p>
    <w:p>
      <w:pPr>
        <w:jc w:val="both"/>
        <w:ind w:right="20" w:firstLine="255"/>
        <w:spacing w:after="0" w:line="266" w:lineRule="auto"/>
        <w:rPr>
          <w:sz w:val="20"/>
          <w:szCs w:val="20"/>
          <w:color w:val="auto"/>
        </w:rPr>
      </w:pPr>
      <w:r>
        <w:rPr>
          <w:rFonts w:ascii="Times New Roman" w:cs="Times New Roman" w:eastAsia="Times New Roman" w:hAnsi="Times New Roman"/>
          <w:sz w:val="18"/>
          <w:szCs w:val="18"/>
          <w:color w:val="auto"/>
        </w:rPr>
        <w:t>We also license patent and other proprietary rights to aspects of our technology to third parties in fields where we currently do not operate as well as in fields where we currently do operate. Disputes with our licensees may arise regarding the scope and content of these licenses. Further, our ability to expand into additional fields with our technologies may be restricted by our existing licenses or licenses we may grant to third parties in the future.</w:t>
      </w:r>
    </w:p>
    <w:p>
      <w:pPr>
        <w:spacing w:after="0" w:line="176" w:lineRule="exact"/>
        <w:rPr>
          <w:sz w:val="20"/>
          <w:szCs w:val="20"/>
          <w:color w:val="auto"/>
        </w:rPr>
      </w:pPr>
    </w:p>
    <w:p>
      <w:pPr>
        <w:jc w:val="both"/>
        <w:ind w:right="260" w:firstLine="255"/>
        <w:spacing w:after="0" w:line="266" w:lineRule="auto"/>
        <w:rPr>
          <w:sz w:val="20"/>
          <w:szCs w:val="20"/>
          <w:color w:val="auto"/>
        </w:rPr>
      </w:pPr>
      <w:r>
        <w:rPr>
          <w:rFonts w:ascii="Times New Roman" w:cs="Times New Roman" w:eastAsia="Times New Roman" w:hAnsi="Times New Roman"/>
          <w:sz w:val="18"/>
          <w:szCs w:val="18"/>
          <w:color w:val="auto"/>
        </w:rPr>
        <w:t>Additionally, we have written agreements with collaborators regarding the ownership of intellectual property arising from our collaborations. These agreements generally provide that we must negotiate certain commercial rights with collaborators with respect to joint inventions or inventions made by our collaborators that arise from the results of the collaboration. In some instances, there</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5" w:right="359" w:bottom="1440" w:gutter="0" w:footer="0" w:header="0"/>
        </w:sectPr>
      </w:pPr>
    </w:p>
    <w:bookmarkStart w:id="53" w:name="page54"/>
    <w:bookmarkEnd w:id="53"/>
    <w:p>
      <w:pPr>
        <w:ind w:right="80"/>
        <w:spacing w:after="0" w:line="254" w:lineRule="auto"/>
        <w:rPr>
          <w:sz w:val="20"/>
          <w:szCs w:val="20"/>
          <w:color w:val="auto"/>
        </w:rPr>
      </w:pPr>
      <w:r>
        <w:rPr>
          <w:rFonts w:ascii="Times New Roman" w:cs="Times New Roman" w:eastAsia="Times New Roman" w:hAnsi="Times New Roman"/>
          <w:sz w:val="18"/>
          <w:szCs w:val="18"/>
          <w:color w:val="auto"/>
        </w:rPr>
        <w:t>may not be adequate written provisions to address clearly the resolution of intellectual property rights that may arise from a collaboration. If we cannot successfully negotiate sufficient ownership and commercial rights to the inventions that result from our use of a third-party collaborator’s materials where required, or if disputes otherwise arise with respect to the intellectual property developed with the use of a collaborator’s technology, we may be limited in our ability to utilize these intellectual property rights. In addition, we may face claims by third parties that our agreements with employees, contractors or consultants obligating them to assign intellectual property to us are ineffective or in conflict with prior or competing contractual obligations of assignment, which could result in ownership disputes regarding intellectual property we have developed or will develop and interfere with our ability to capture the commercial value of such intellectual property. Litigation may be necessary to resolve an ownership dispute, and if we are not successful, we may be precluded from using certain intellectual property or may lose our exclusive rights in that intellectual property. Either outcome could harm our business.</w:t>
      </w:r>
    </w:p>
    <w:p>
      <w:pPr>
        <w:spacing w:after="0" w:line="192" w:lineRule="exact"/>
        <w:rPr>
          <w:sz w:val="20"/>
          <w:szCs w:val="20"/>
          <w:color w:val="auto"/>
        </w:rPr>
      </w:pPr>
    </w:p>
    <w:p>
      <w:pPr>
        <w:ind w:right="40" w:firstLine="255"/>
        <w:spacing w:after="0" w:line="219" w:lineRule="exact"/>
        <w:rPr>
          <w:sz w:val="20"/>
          <w:szCs w:val="20"/>
          <w:color w:val="auto"/>
        </w:rPr>
      </w:pPr>
      <w:r>
        <w:rPr>
          <w:rFonts w:ascii="Times New Roman" w:cs="Times New Roman" w:eastAsia="Times New Roman" w:hAnsi="Times New Roman"/>
          <w:sz w:val="18"/>
          <w:szCs w:val="18"/>
          <w:color w:val="auto"/>
        </w:rPr>
        <w:t>The policies and procedures we have in place to protect our trade secrets may not be effective in preventing misappropriation of our trade secrets by others. In addition, confidentiality agreements executed by our employees, consultants and advisors may not be enforceable or may not provide meaningful protection for our trade secrets or other proprietary information in the event of unauthorized use or disclosure. Litigating a trade secret claim is expensive and time consuming, and the outcome is unpredictable. In addition, courts outside the United States are sometimes less willing to protect trade secrets. Moreover, our competitors may independently develop equivalent knowledge methods and know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how. If we are unable to protect our intellectual property rights, we may be unable to prevent competitors from using our own inventions and intellectual property to compete against us and our business may be harmed.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results of legal proceedings could materially and adversely affect our financial condition.</w:t>
      </w:r>
    </w:p>
    <w:p>
      <w:pPr>
        <w:spacing w:after="0" w:line="229" w:lineRule="exact"/>
        <w:rPr>
          <w:sz w:val="20"/>
          <w:szCs w:val="20"/>
          <w:color w:val="auto"/>
        </w:rPr>
      </w:pPr>
    </w:p>
    <w:p>
      <w:pPr>
        <w:ind w:firstLine="255"/>
        <w:spacing w:after="0" w:line="219" w:lineRule="exact"/>
        <w:rPr>
          <w:sz w:val="20"/>
          <w:szCs w:val="20"/>
          <w:color w:val="auto"/>
        </w:rPr>
      </w:pPr>
      <w:r>
        <w:rPr>
          <w:rFonts w:ascii="Times New Roman" w:cs="Times New Roman" w:eastAsia="Times New Roman" w:hAnsi="Times New Roman"/>
          <w:sz w:val="18"/>
          <w:szCs w:val="18"/>
          <w:color w:val="auto"/>
        </w:rPr>
        <w:t>We are and may become a party to legal proceedings, claims, investigations, demands and other legal matters in the ordinary course of business or otherwise including intellectual property, product liability, employment, class action, whistleblower and other litigation claims, and governmental and other regulatory investigations and proceedings. These legal proceedings, claims and other legal matters, regardless of merit, may be costly,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consuming and require the attention of key management and other personnel. The outcomes of such matters are uncertain and difficult to predict. If any such matters are adjudicated against us, in whole or in part, we may be subject to substantial monetary damages, disgorgement of profits and injunctions that prevent us from operating our business, any of which could materially and adversely affect our business and financial condition. We cannot guarantee that our insurance coverage will be sufficient to cover any damages awarded against us. Further, legal proceedings, and any adverse resolution thereof, can result in adverse publicity and damage to our reputation, which could adversely impact our business.</w:t>
      </w:r>
    </w:p>
    <w:p>
      <w:pPr>
        <w:spacing w:after="0" w:line="16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the majority of our product revenue is derived from sales of the CyberKnife and TomoTherapy platforms, which have a long and variable sales and installation cycle, our revenues and cash flows may be volatile and difficult to predict.</w:t>
      </w:r>
    </w:p>
    <w:p>
      <w:pPr>
        <w:spacing w:after="0" w:line="159" w:lineRule="exact"/>
        <w:rPr>
          <w:sz w:val="20"/>
          <w:szCs w:val="20"/>
          <w:color w:val="auto"/>
        </w:rPr>
      </w:pPr>
    </w:p>
    <w:p>
      <w:pPr>
        <w:ind w:right="20" w:firstLine="255"/>
        <w:spacing w:after="0" w:line="217" w:lineRule="exact"/>
        <w:rPr>
          <w:sz w:val="20"/>
          <w:szCs w:val="20"/>
          <w:color w:val="auto"/>
        </w:rPr>
      </w:pPr>
      <w:r>
        <w:rPr>
          <w:rFonts w:ascii="Times New Roman" w:cs="Times New Roman" w:eastAsia="Times New Roman" w:hAnsi="Times New Roman"/>
          <w:sz w:val="18"/>
          <w:szCs w:val="18"/>
          <w:color w:val="auto"/>
        </w:rPr>
        <w:t>Our primary products are the CyberKnife and TomoTherapy platforms. We expect to generate substantially all of our revenue for the foreseeable future from sales of and service contracts for the CyberKnife and TomoTherapy platforms. The CyberKnife and TomoTherapy platforms have lengthy sales and purchase order cycles because they are major capital equipment items and require the approval of senior management at purchasing institutions. In addition, sales to some of our customers are subject to competitive bidding or public tender processes. These approval and bidding processes can be lengthy. Selling our systems, from first contact with a potential customer to a complete order, generally spans six months to 30 months and involves personnel with multiple skills. The sales process in the U.S. typically begins with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selling activity followed by sales presentations and other sales related activities. After the customer has expressed an intention to purchase a CyberKnife or TomoTherapy platform, we negotiate and enter into a definitive purchase contract with the customer. The negotiation of terms that are not standard for Accuray typically requires additional time and approvals. Typically, following the execution of the contract, the customer begins the building or renovation of a radiation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shielded facility to house the CyberKnife or TomoTherapy platform, which together with the subsequent installation of the CyberKnife or TomoTherapy platform, can take up to 24 months to complete. In order to construct this facility, the customer must typically obtain radiation device installation permits, which are granted by state and local government bodies, each of which may have different criteria for permit issuance. If a permit was denied for installation at a specific hospital or treatment center, our CyberKnife or TomoTherapy platform could not be installed at that location. In addition, some of our customers are cancer centers or facilities that are new, and in these cases, it may be necessary for the entire facility to be completed before the CyberKnife or TomoTherapy platform can be installed, which can result in additional construction and installation delays. Our sales and installations of CyberKnife and TomoTherapy platforms tend to be heaviest during the third month of each fiscal quarter.</w:t>
      </w:r>
    </w:p>
    <w:p>
      <w:pPr>
        <w:spacing w:after="0" w:line="208" w:lineRule="exact"/>
        <w:rPr>
          <w:sz w:val="20"/>
          <w:szCs w:val="20"/>
          <w:color w:val="auto"/>
        </w:rPr>
      </w:pPr>
    </w:p>
    <w:p>
      <w:pPr>
        <w:ind w:right="80" w:firstLine="255"/>
        <w:spacing w:after="0" w:line="258" w:lineRule="auto"/>
        <w:rPr>
          <w:sz w:val="20"/>
          <w:szCs w:val="20"/>
          <w:color w:val="auto"/>
        </w:rPr>
      </w:pPr>
      <w:r>
        <w:rPr>
          <w:rFonts w:ascii="Times New Roman" w:cs="Times New Roman" w:eastAsia="Times New Roman" w:hAnsi="Times New Roman"/>
          <w:sz w:val="18"/>
          <w:szCs w:val="18"/>
          <w:color w:val="auto"/>
        </w:rPr>
        <w:t>Under our revenue recognition policy, we recognize revenue attributable to a CyberKnife or TomoTherapy platform and related upgrades when control of a platform or upgrade is transferred, which generally happens when a system or upgrade is shipped, while an element of installation is deferred until performed. Events beyond our control may delay shipment or installation and the satisfaction of contingencies required to receive cash inflows and recognition of revenue associated with shipment or installation. Such events may include a delay in the construction at the customer site or customer delay in obtaining receipt of regulatory approvals such as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4" w:name="page55"/>
    <w:bookmarkEnd w:id="54"/>
    <w:p>
      <w:pPr>
        <w:ind w:right="140"/>
        <w:spacing w:after="0" w:line="256" w:lineRule="auto"/>
        <w:rPr>
          <w:sz w:val="20"/>
          <w:szCs w:val="20"/>
          <w:color w:val="auto"/>
        </w:rPr>
      </w:pPr>
      <w:r>
        <w:rPr>
          <w:rFonts w:ascii="Times New Roman" w:cs="Times New Roman" w:eastAsia="Times New Roman" w:hAnsi="Times New Roman"/>
          <w:sz w:val="18"/>
          <w:szCs w:val="18"/>
          <w:color w:val="auto"/>
        </w:rPr>
        <w:t>certificates of need. In addition, disruption in operations of certain customers caused by the COVID-19 pandemic or other macroeconomic factors have resulted in delays in construction, shipment or installation and some have failed to timely pay their obligations when due. For example, reduced budgets and lower capital deployment priority for radiotherapy equipment, along with longer customer installation timelines, in the United States have negatively impacted our net revenue since fiscal year 2024, and we expect this will continue to have an impact through fiscal year 2026. If the events which are beyond our control delay the customer from obtaining funding or financing of the entire transaction, we may not be able to recognize revenue for the sale of the entire system because the collectability of contract consideration is not reasonably assured.</w:t>
      </w:r>
    </w:p>
    <w:p>
      <w:pPr>
        <w:spacing w:after="0" w:line="187" w:lineRule="exact"/>
        <w:rPr>
          <w:sz w:val="20"/>
          <w:szCs w:val="20"/>
          <w:color w:val="auto"/>
        </w:rPr>
      </w:pPr>
    </w:p>
    <w:p>
      <w:pPr>
        <w:ind w:right="40" w:firstLine="255"/>
        <w:spacing w:after="0" w:line="254" w:lineRule="auto"/>
        <w:rPr>
          <w:sz w:val="20"/>
          <w:szCs w:val="20"/>
          <w:color w:val="auto"/>
        </w:rPr>
      </w:pPr>
      <w:r>
        <w:rPr>
          <w:rFonts w:ascii="Times New Roman" w:cs="Times New Roman" w:eastAsia="Times New Roman" w:hAnsi="Times New Roman"/>
          <w:sz w:val="18"/>
          <w:szCs w:val="18"/>
          <w:color w:val="auto"/>
        </w:rPr>
        <w:t>The long sales cycle, together with delays in the shipment of CyberKnife and TomoTherapy platforms or customer cancellations that could affect our ability to recognize revenue, could adversely affect our cash flows and revenue, which would harm our results of operations and may result in significant fluctuations in our reporting of quarterly revenues. Our historical experience indicates that some of our customers will cancel or renegotiate contracts as economic conditions change or when product offerings change during the long sales cycle. We anticipate a portion of our open contracts may never result in revenue recognition primarily due to the long sales cycle and factors outside of our control including changes in customers' needs or financial condition, changes in government or health insurance reimbursement policies or changes to regulatory requirements. As a result of these fluctuations, it is likely that in some future quarters, our operating results will fall below the expectations of securities analysts or investors. If that happens, the market price of our stock would likely decrease. These fluctuations also mean that you will not be able to rely upon our operating results in any particular period as an indication of future performance.</w:t>
      </w:r>
    </w:p>
    <w:p>
      <w:pPr>
        <w:spacing w:after="0" w:line="107" w:lineRule="exact"/>
        <w:rPr>
          <w:sz w:val="20"/>
          <w:szCs w:val="20"/>
          <w:color w:val="auto"/>
        </w:rPr>
      </w:pPr>
    </w:p>
    <w:p>
      <w:pPr>
        <w:ind w:right="20"/>
        <w:spacing w:after="0" w:line="245" w:lineRule="exact"/>
        <w:rPr>
          <w:sz w:val="20"/>
          <w:szCs w:val="20"/>
          <w:color w:val="auto"/>
        </w:rPr>
      </w:pPr>
      <w:r>
        <w:rPr>
          <w:rFonts w:ascii="Times New Roman" w:cs="Times New Roman" w:eastAsia="Times New Roman" w:hAnsi="Times New Roman"/>
          <w:sz w:val="18"/>
          <w:szCs w:val="18"/>
          <w:b w:val="1"/>
          <w:bCs w:val="1"/>
          <w:i w:val="1"/>
          <w:iCs w:val="1"/>
          <w:color w:val="auto"/>
        </w:rPr>
        <w:t>We depend on third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party distributors to market and distribute our products in international markets. If our distributors fail to successfully market and distribute our products, our business will be materially harmed.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-223520</wp:posOffset>
            </wp:positionV>
            <wp:extent cx="64135" cy="3937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79" w:lineRule="exact"/>
        <w:rPr>
          <w:sz w:val="20"/>
          <w:szCs w:val="20"/>
          <w:color w:val="auto"/>
        </w:rPr>
      </w:pPr>
    </w:p>
    <w:p>
      <w:pPr>
        <w:ind w:right="20" w:firstLine="255"/>
        <w:spacing w:after="0" w:line="252" w:lineRule="auto"/>
        <w:rPr>
          <w:sz w:val="20"/>
          <w:szCs w:val="20"/>
          <w:color w:val="auto"/>
        </w:rPr>
      </w:pPr>
      <w:r>
        <w:rPr>
          <w:rFonts w:ascii="Times New Roman" w:cs="Times New Roman" w:eastAsia="Times New Roman" w:hAnsi="Times New Roman"/>
          <w:sz w:val="18"/>
          <w:szCs w:val="18"/>
          <w:color w:val="auto"/>
        </w:rPr>
        <w:t>We have strategic relationships with a number of key distributors for sales and service of our products in certain foreign countries, including the JV in China and other third-party distributors in other regions. We cannot control the efforts and resources our third party distributors will devote to marketing the CyberKnife or TomoTherapy platforms. Our distributors may not be able to successfully market and sell the CyberKnife or TomoTherapy platforms, may not devote sufficient time and resources to support the marketing and selling efforts and may not market the CyberKnife or TomoTherapy platform at prices that will permit the product to develop, achieve or sustain market acceptance. In some jurisdictions, we rely on our distributors to manage the regulatory process and oversee their activities such that they are in compliance with all laws that govern their activities, such as the U.S. Foreign Corrupt Practices Act (“FCPA”), and we are dependent on their ability to do so effectively. If a distributor is terminated by us or goes out of business, it may take us a period of time to locate an alternative distributor, to seek appropriate regulatory approvals and to train its personnel to market the CyberKnife or TomoTherapy platforms, and our ability to sell and service the CyberKnife or TomoTherapy platforms in the region formerly serviced by such terminated distributor could be materially and adversely affected. Any of our distributors could become insolvent or otherwise become unable to pay amounts owed to us when due. If any of these distributor relationships end and are not replaced, our revenues from product sales or the ability to service our products in the territories serviced by these distributors could be adversely affected. Any of these factors could materially and adversely affect our revenue from international markets, increase our costs in those markets or damage our reputation. If we are unable to attract additional international distributors, our international revenue may not grow. If our distributors experience difficulties, do not comply with regulatory or legal requirements that results in fines or penalties, do not actively market the CyberKnife or TomoTherapy platforms or do not otherwise perform under our distribution agreements, our potential for revenue from international markets may be dramatically reduced, and our business could be harmed.</w:t>
      </w:r>
    </w:p>
    <w:p>
      <w:pPr>
        <w:spacing w:after="0" w:line="16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high unit price of the CyberKnife and TomoTherapy platforms, as well as other factors, may contribute to substantial fluctuations in our operating results, which could adversely affect our stock price.</w:t>
      </w:r>
    </w:p>
    <w:p>
      <w:pPr>
        <w:spacing w:after="0" w:line="159" w:lineRule="exact"/>
        <w:rPr>
          <w:sz w:val="20"/>
          <w:szCs w:val="20"/>
          <w:color w:val="auto"/>
        </w:rPr>
      </w:pPr>
    </w:p>
    <w:p>
      <w:pPr>
        <w:ind w:right="100" w:firstLine="255"/>
        <w:spacing w:after="0" w:line="219" w:lineRule="exact"/>
        <w:rPr>
          <w:sz w:val="20"/>
          <w:szCs w:val="20"/>
          <w:color w:val="auto"/>
        </w:rPr>
      </w:pPr>
      <w:r>
        <w:rPr>
          <w:rFonts w:ascii="Times New Roman" w:cs="Times New Roman" w:eastAsia="Times New Roman" w:hAnsi="Times New Roman"/>
          <w:sz w:val="18"/>
          <w:szCs w:val="18"/>
          <w:color w:val="auto"/>
        </w:rPr>
        <w:t>Because of the high unit price of the CyberKnife and TomoTherapy platforms and the relatively small number of units shipped each quarter, each shipment of a CyberKnife or TomoTherapy platform can represent a significant percentage of our revenue for a particular quarter. Therefore, if we do not ship a CyberKnife or TomoTherapy platform when anticipated, we will not be able to recognize the associated revenue and our operating results will vary significantly from our expectations. This is of particular concern when the economic environment is volatile, such as the current economic environment. For example, during periods of severe economic volatility, such as during the COVID-19 pandemic, we have had customers cancel or postpone orders for our CyberKnife and TomoTherapy platforms and delaying any required build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outs. These fluctuations and other potential fluctuations mean that you should not rely upon our operating results in any particular period as an indication of future performance.</w:t>
      </w:r>
    </w:p>
    <w:p>
      <w:pPr>
        <w:spacing w:after="0" w:line="156"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strategy to assist our sales efforts, we may offer extended payment terms, which may potentially result in higher days sales outstanding, reduced cash flows in a particular period and greater payment defaults.</w:t>
      </w:r>
    </w:p>
    <w:p>
      <w:pPr>
        <w:spacing w:after="0" w:line="118" w:lineRule="exact"/>
        <w:rPr>
          <w:sz w:val="20"/>
          <w:szCs w:val="20"/>
          <w:color w:val="auto"/>
        </w:rPr>
      </w:pPr>
    </w:p>
    <w:p>
      <w:pPr>
        <w:ind w:right="640" w:firstLine="255"/>
        <w:spacing w:after="0" w:line="282" w:lineRule="auto"/>
        <w:rPr>
          <w:sz w:val="20"/>
          <w:szCs w:val="20"/>
          <w:color w:val="auto"/>
        </w:rPr>
      </w:pPr>
      <w:r>
        <w:rPr>
          <w:rFonts w:ascii="Times New Roman" w:cs="Times New Roman" w:eastAsia="Times New Roman" w:hAnsi="Times New Roman"/>
          <w:sz w:val="18"/>
          <w:szCs w:val="18"/>
          <w:color w:val="auto"/>
        </w:rPr>
        <w:t>We offer longer or extended payment terms for qualified customers in some circumstances. As of December 31, 2024, customer contracts with extended payment terms of more than one year amounted to approximately 4% of our total accounts receivable balance.</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9" w:right="379" w:bottom="1440" w:gutter="0" w:footer="0" w:header="0"/>
        </w:sectPr>
      </w:pPr>
    </w:p>
    <w:bookmarkStart w:id="55" w:name="page56"/>
    <w:bookmarkEnd w:id="55"/>
    <w:p>
      <w:pPr>
        <w:ind w:right="80"/>
        <w:spacing w:after="0" w:line="266" w:lineRule="auto"/>
        <w:rPr>
          <w:sz w:val="20"/>
          <w:szCs w:val="20"/>
          <w:color w:val="auto"/>
        </w:rPr>
      </w:pPr>
      <w:r>
        <w:rPr>
          <w:rFonts w:ascii="Times New Roman" w:cs="Times New Roman" w:eastAsia="Times New Roman" w:hAnsi="Times New Roman"/>
          <w:sz w:val="18"/>
          <w:szCs w:val="18"/>
          <w:color w:val="auto"/>
        </w:rPr>
        <w:t>While we qualify customers to whom we offer longer or extended payment terms, their financial positions may change adversely over the longer time period given for payment. This may result in an increase in payment defaults, which would negatively affect our revenue. In addition, any increase in days sales outstanding could also negatively affect our cash flow.</w:t>
      </w:r>
    </w:p>
    <w:p>
      <w:pPr>
        <w:spacing w:after="0" w:line="14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entered into certain relationships with collaborators, partnerships, strategic alliances, joint venture partners and other third parties, which are outside of our full control and may harm our existing business if we fail to realize the expected benefits of such relationships.</w:t>
      </w:r>
    </w:p>
    <w:p>
      <w:pPr>
        <w:spacing w:after="0" w:line="118" w:lineRule="exact"/>
        <w:rPr>
          <w:sz w:val="20"/>
          <w:szCs w:val="20"/>
          <w:color w:val="auto"/>
        </w:rPr>
      </w:pPr>
    </w:p>
    <w:p>
      <w:pPr>
        <w:ind w:right="100" w:firstLine="255"/>
        <w:spacing w:after="0" w:line="282" w:lineRule="auto"/>
        <w:rPr>
          <w:sz w:val="20"/>
          <w:szCs w:val="20"/>
          <w:color w:val="auto"/>
        </w:rPr>
      </w:pPr>
      <w:r>
        <w:rPr>
          <w:rFonts w:ascii="Times New Roman" w:cs="Times New Roman" w:eastAsia="Times New Roman" w:hAnsi="Times New Roman"/>
          <w:sz w:val="18"/>
          <w:szCs w:val="18"/>
          <w:color w:val="auto"/>
        </w:rPr>
        <w:t>We are a part of certain collaborations, partnerships, strategic alliances, joint ventures and other third-party relationships and depend in part on them to grow our business and market share. Reliance on these third parties subjects us to a number of risks, including that:</w:t>
      </w:r>
    </w:p>
    <w:p>
      <w:pPr>
        <w:spacing w:after="0" w:line="54" w:lineRule="exact"/>
        <w:rPr>
          <w:sz w:val="20"/>
          <w:szCs w:val="20"/>
          <w:color w:val="auto"/>
        </w:rPr>
      </w:pPr>
    </w:p>
    <w:p>
      <w:pPr>
        <w:ind w:left="1020" w:right="100" w:hanging="503"/>
        <w:spacing w:after="0" w:line="261"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contribute significant amounts of capital or incur losses in the initial stages of a collaboration, partnership, alliance or joint venture, particularly as selling and marketing activities increase ahead of expected long-term revenue. For example, we completed our capital contributions to the JV in the second quarter of fiscal 2020 and one system upgrade in the first quarter of fiscal 2021. Further contributions may be necessary in the future as the JV expands its operations in China in order to achieve our long-term strategy in China;</w:t>
      </w:r>
    </w:p>
    <w:p>
      <w:pPr>
        <w:spacing w:after="0" w:line="71" w:lineRule="exact"/>
        <w:rPr>
          <w:rFonts w:ascii="Times New Roman" w:cs="Times New Roman" w:eastAsia="Times New Roman" w:hAnsi="Times New Roman"/>
          <w:sz w:val="18"/>
          <w:szCs w:val="18"/>
          <w:color w:val="auto"/>
        </w:rPr>
      </w:pPr>
    </w:p>
    <w:p>
      <w:pPr>
        <w:ind w:left="1020" w:right="500" w:hanging="503"/>
        <w:spacing w:after="0" w:line="266"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a collaboration, partnership, strategic alliance, joint venture or other third-party relationship to meet our performance and financial expectations, which could adversely impact our ability to meet internal forecasts and expectations. For example, we have experienced losses in connection with our JV that has negatively impacted our operating results;</w:t>
      </w:r>
    </w:p>
    <w:p>
      <w:pPr>
        <w:spacing w:after="0" w:line="67" w:lineRule="exact"/>
        <w:rPr>
          <w:rFonts w:ascii="Times New Roman" w:cs="Times New Roman" w:eastAsia="Times New Roman" w:hAnsi="Times New Roman"/>
          <w:sz w:val="18"/>
          <w:szCs w:val="18"/>
          <w:color w:val="auto"/>
        </w:rPr>
      </w:pPr>
    </w:p>
    <w:p>
      <w:pPr>
        <w:ind w:left="1020" w:right="140" w:hanging="503"/>
        <w:spacing w:after="0" w:line="258"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process for customers of the collaboration, partnership, alliance or joint venture to comply with local or foreign regulatory requirements that may be required to purchase our products may cause delays in the collaborator, partner, alliance partner or joint venture’s ability to conduct business. For example, any delays in the JV obtaining necessary regulatory clearances for their products, in customers in China obtaining Class A or Class B user licenses or in the subsequent tender process to complete the sale could affect the JV’s expected ability to initiate sales, recognize revenue and achieve revenue and orders expectations in China;</w:t>
      </w:r>
    </w:p>
    <w:p>
      <w:pPr>
        <w:spacing w:after="0" w:line="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in a position to exercise sole decision making authority regarding any collaboration, partnership, alliance or joint venture, which could result in impasses on decisions or decisions made by our partners, and our partners in such collaborations, partnerships, alliances or joint ventures may have economic or business interests that are, or may become, inconsistent with our interests;</w:t>
      </w:r>
    </w:p>
    <w:p>
      <w:pPr>
        <w:spacing w:after="0" w:line="6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partnerships, alliances and joint ventures can be difficult to manage and may involve significant expense and divert the focus and attention of our management and other key personnel away from our existing businesses;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joint ventures, we may not be able to attract qualified employees, acquire customers or develop reliable supply, distribution or other partnerships;</w:t>
      </w:r>
    </w:p>
    <w:p>
      <w:pPr>
        <w:spacing w:after="0" w:line="53"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face potential damage to existing customer relationships or lack of customer acceptance or inability to attract new customers as a result of certain collaborations, partnerships, alliances and joint ventures;</w:t>
      </w:r>
    </w:p>
    <w:p>
      <w:pPr>
        <w:spacing w:after="0" w:line="53"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partners, alliance partners and joint ventures may also operate in foreign jurisdictions with laws and regulations with which we have limited familiarity, which could adversely impact our ability to comply with such laws and regulations and may lead to increased litigation risk; and</w:t>
      </w:r>
    </w:p>
    <w:p>
      <w:pPr>
        <w:spacing w:after="0" w:line="67" w:lineRule="exact"/>
        <w:rPr>
          <w:rFonts w:ascii="Times New Roman" w:cs="Times New Roman" w:eastAsia="Times New Roman" w:hAnsi="Times New Roman"/>
          <w:sz w:val="18"/>
          <w:szCs w:val="18"/>
          <w:color w:val="auto"/>
        </w:rPr>
      </w:pPr>
    </w:p>
    <w:p>
      <w:pPr>
        <w:ind w:left="1020" w:right="120" w:hanging="503"/>
        <w:spacing w:after="0" w:line="266"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laws may offer us inadequate or less intellectual property protection relative to U.S. laws, which may impact our ability, as well as the ability of the collaborator, partner, alliance partner and joint venture, to safeguard our respective intellectual property from infringement and misappropriation.</w:t>
      </w:r>
    </w:p>
    <w:p>
      <w:pPr>
        <w:spacing w:after="0" w:line="135" w:lineRule="exact"/>
        <w:rPr>
          <w:sz w:val="20"/>
          <w:szCs w:val="20"/>
          <w:color w:val="auto"/>
        </w:rPr>
      </w:pPr>
    </w:p>
    <w:p>
      <w:pPr>
        <w:ind w:right="260" w:firstLine="255"/>
        <w:spacing w:after="0" w:line="282" w:lineRule="auto"/>
        <w:rPr>
          <w:sz w:val="20"/>
          <w:szCs w:val="20"/>
          <w:color w:val="auto"/>
        </w:rPr>
      </w:pPr>
      <w:r>
        <w:rPr>
          <w:rFonts w:ascii="Times New Roman" w:cs="Times New Roman" w:eastAsia="Times New Roman" w:hAnsi="Times New Roman"/>
          <w:sz w:val="18"/>
          <w:szCs w:val="18"/>
          <w:color w:val="auto"/>
        </w:rPr>
        <w:t>As a result of these and other factors, we may not realize the expected benefits of any collaboration, partnership, strategic alliance or joint venture or such benefits may not be realized at expected levels or within the expected time period.</w:t>
      </w:r>
    </w:p>
    <w:p>
      <w:pPr>
        <w:spacing w:after="0" w:line="131"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attempt to acquire new businesses, products or technologies, including forming joint ventures, and if we are unable to successfully complete these acquisitions or to integrate acquired businesses, products, technologies or employees, we may fail to realize expected benefits or harm our existing business.</w:t>
      </w:r>
    </w:p>
    <w:p>
      <w:pPr>
        <w:spacing w:after="0" w:line="175" w:lineRule="exact"/>
        <w:rPr>
          <w:sz w:val="20"/>
          <w:szCs w:val="20"/>
          <w:color w:val="auto"/>
        </w:rPr>
      </w:pPr>
    </w:p>
    <w:p>
      <w:pPr>
        <w:ind w:right="120" w:firstLine="255"/>
        <w:spacing w:after="0" w:line="261" w:lineRule="auto"/>
        <w:rPr>
          <w:sz w:val="20"/>
          <w:szCs w:val="20"/>
          <w:color w:val="auto"/>
        </w:rPr>
      </w:pPr>
      <w:r>
        <w:rPr>
          <w:rFonts w:ascii="Times New Roman" w:cs="Times New Roman" w:eastAsia="Times New Roman" w:hAnsi="Times New Roman"/>
          <w:sz w:val="18"/>
          <w:szCs w:val="18"/>
          <w:color w:val="auto"/>
        </w:rPr>
        <w:t>Our success will depend, in part, on our ability to expand our product offerings and grow our business in response to changing technologies, customer demands and competitive pressures. In some circumstances, we may determine to do so through the acquisition of complementary businesses, products or technologies rather than through internal development. The identification of suitable acquisition candidates can be difficult, time consuming, and costly, and we may not be able to successfully complete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9" w:right="359" w:bottom="1440" w:gutter="0" w:footer="0" w:header="0"/>
        </w:sectPr>
      </w:pPr>
    </w:p>
    <w:bookmarkStart w:id="56" w:name="page57"/>
    <w:bookmarkEnd w:id="56"/>
    <w:p>
      <w:pPr>
        <w:spacing w:after="0" w:line="252" w:lineRule="auto"/>
        <w:rPr>
          <w:sz w:val="20"/>
          <w:szCs w:val="20"/>
          <w:color w:val="auto"/>
        </w:rPr>
      </w:pPr>
      <w:r>
        <w:rPr>
          <w:rFonts w:ascii="Times New Roman" w:cs="Times New Roman" w:eastAsia="Times New Roman" w:hAnsi="Times New Roman"/>
          <w:sz w:val="18"/>
          <w:szCs w:val="18"/>
          <w:color w:val="auto"/>
        </w:rPr>
        <w:t>identified acquisitions. Other companies may compete with us for these strategic opportunities. In addition, even if we successfully complete an acquisition, we may not be able to successfully integrate newly acquired organizations, products or technologies into our operations or timely and effectively commence operations because the process of integration could be expensive, time consuming and may strain our resources. Furthermore, the products and technologies that we acquire may not be successful or may require significantly greater resources and investments than we originally anticipated. Implementing or acquiring new lines of business or offering new products and services within existing lines of business can affect the sales and profitability of existing lines of business or products and services, including as a result of sales channel conflicts. With respect to any acquisition, we may be unable to retain employees of acquired companies, or retain the acquired company’s customers, suppliers, distributors or other partners who are our competitors or who have close relationships with our competitors. Future acquisitions could also result in potentially dilutive issuances of equity securities or the incurrence of debt, contingent liabilities, or expenses or other charges, any of which could harm our business and affect our financial results or cause a reduction in the price of our common stock. Further, acquisition targets may also operate in foreign jurisdictions with laws and regulations with which we have limited familiarity, which could adversely impact our ability to comply with such laws and regulations and may lead to increased litigation risk. Such laws may also offer us inadequate or less intellectual property protection relative to U.S. laws, which may impact our ability, as well as the ability of the acquisition target to safeguard our respective intellectual property from infringement and misappropriation. As a result of these and other factors, we may not realize the expected benefits of any acquisition or such benefits may not be realized at expected levels or within the expected time period. The failure to successfully consummate such strategic transactions and effectively integrate and execute following such consummation may have an adverse impact on our growth, profitability, financial position and results of operations.</w:t>
      </w:r>
    </w:p>
    <w:p>
      <w:pPr>
        <w:spacing w:after="0" w:line="150"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material weaknesses in our system of internal controls as of June 30, 2024 and are in the process of remediation. If we fail to remediate such material weakness or otherwise fail to achieve and maintain an effective system of internal control over financial reporting, our ability to produce timely and accurate financial results could be adversely impacted. As a result, current and potential stockholders could lose confidence in our financial reporting, which could have an adverse effect on our business and our stock price.</w:t>
      </w:r>
    </w:p>
    <w:p>
      <w:pPr>
        <w:spacing w:after="0" w:line="153" w:lineRule="exact"/>
        <w:rPr>
          <w:sz w:val="20"/>
          <w:szCs w:val="20"/>
          <w:color w:val="auto"/>
        </w:rPr>
      </w:pPr>
    </w:p>
    <w:p>
      <w:pPr>
        <w:ind w:right="20" w:firstLine="255"/>
        <w:spacing w:after="0" w:line="253" w:lineRule="auto"/>
        <w:rPr>
          <w:sz w:val="20"/>
          <w:szCs w:val="20"/>
          <w:color w:val="auto"/>
        </w:rPr>
      </w:pPr>
      <w:r>
        <w:rPr>
          <w:rFonts w:ascii="Times New Roman" w:cs="Times New Roman" w:eastAsia="Times New Roman" w:hAnsi="Times New Roman"/>
          <w:sz w:val="18"/>
          <w:szCs w:val="18"/>
          <w:color w:val="auto"/>
        </w:rPr>
        <w:t>Effective internal controls are necessary for us to provide reliable financial reports and to protect from fraudulent, illegal, or unauthorized transactions. If we cannot maintain effective controls and provide timely and reliable financial reports, our business and operating results could be harmed. In the course of preparing the audited consolidated financial statements for the Company’s Annual Report on Form 10-K for the year ended June 30, 2024, the Company concluded that as of June 30, 2024, its internal control over financial reporting was not effective as a result of two material weaknesses at the control activity level related to ensuring all manual journal entries consistently enforced segregation of duties in the approval process and ensuring that the existence of inventory at manufacturing warehouse locations was accurate. These material weaknesses were specifically related to the implementation of the Company’s new ERP system in August 2023 and did not result in any material identified misstatements to the consolidated financial statements, and there were no changes to previously issued financial results. Management has also concluded that the Company's disclosure controls and procedures were not effective as of June 30, 2024, September 30, 2024 and December 31, 2024 due to the material weaknesses. For a discussion of management’s considerations of the Company’s disclosure controls and procedures, internal control over financial reporting, and the material weaknesses identified, refer to Controls and Procedures in Part I, Item 4.</w:t>
      </w:r>
    </w:p>
    <w:p>
      <w:pPr>
        <w:spacing w:after="0" w:line="367" w:lineRule="exact"/>
        <w:rPr>
          <w:sz w:val="20"/>
          <w:szCs w:val="20"/>
          <w:color w:val="auto"/>
        </w:rPr>
      </w:pPr>
    </w:p>
    <w:p>
      <w:pPr>
        <w:ind w:firstLine="255"/>
        <w:spacing w:after="0" w:line="252" w:lineRule="auto"/>
        <w:rPr>
          <w:sz w:val="20"/>
          <w:szCs w:val="20"/>
          <w:color w:val="auto"/>
        </w:rPr>
      </w:pPr>
      <w:r>
        <w:rPr>
          <w:rFonts w:ascii="Times New Roman" w:cs="Times New Roman" w:eastAsia="Times New Roman" w:hAnsi="Times New Roman"/>
          <w:sz w:val="18"/>
          <w:szCs w:val="18"/>
          <w:color w:val="auto"/>
        </w:rPr>
        <w:t>Management is actively engaged in the planning for, and implementation of, remediation efforts to address these material weaknesses. Although one material weakness was remediated in the quarter ended December 31, 2024, we may not be successful in promptly remediating the remaining material weaknesses identified by management or be able to identify and remediate additional control deficiencies, including material weaknesses, in the future. Our management may also be unable to conclude in future periods that our disclosure controls and procedures are effective due to the effects of various factors, which may, in part, include unremediated material weaknesses in internal control over financial reporting. Any further disruptions or difficulties that may occur in connection with our ERP system or other systems (whether in connection with the regular operation, periodic enhancements, modifications or upgrades of such systems or the integration of any acquired businesses into such systems, or due to cybersecurity events such as ransomware attacks) could adversely impact the effectiveness of our internal control over financial reporting as well as affect our ability to manufacture products, process orders, deliver products, provide customer support, fulfill contractual obligations, track inventories, or otherwise operate our business, in particular as a result of our limited experience implementing such systems and the complex nature of the system itself. Any failure to establish and maintain effective disclosure controls and procedures and internal control over financial reporting, including due to a failure to remediate the material weaknesses mentioned above or the discovery or occurrence of any additional material weaknesses in our internal control over financial reporting in the future, could adversely affect our ability to prepare financial statements within required time periods and record, process and report financial information accurately, which could result in material misstatements in our financial statements and cause us to fail to meet our reporting and financial obligations, negatively impact the price of our common stock, limit our liquidity and access to capital markets, adversely affect our business, harm our reputation or subject us to litigation or investigations requiring management resources and payment of legal and other expenses.</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57" w:name="page58"/>
    <w:bookmarkEnd w:id="57"/>
    <w:p>
      <w:pPr>
        <w:ind w:right="60" w:firstLine="255"/>
        <w:spacing w:after="0" w:line="254" w:lineRule="auto"/>
        <w:rPr>
          <w:sz w:val="20"/>
          <w:szCs w:val="20"/>
          <w:color w:val="auto"/>
        </w:rPr>
      </w:pPr>
      <w:r>
        <w:rPr>
          <w:rFonts w:ascii="Times New Roman" w:cs="Times New Roman" w:eastAsia="Times New Roman" w:hAnsi="Times New Roman"/>
          <w:sz w:val="18"/>
          <w:szCs w:val="18"/>
          <w:color w:val="auto"/>
        </w:rPr>
        <w:t>In addition, it may be difficult to timely determine the effectiveness of our financial reporting systems and internal controls in the future because of the complexity of our financial model. We recognize revenue from a range of transactions including CyberKnife and TomoTherapy platform sales and services. The CyberKnife and TomoTherapy platforms are complex products that contain both hardware and software elements. The complexity of the CyberKnife and TomoTherapy platforms and of our financial model used to recognize revenue on such systems requires us to process a greater variety of financial transactions than would be required by a company with a less complex financial model. Accordingly, efforts to timely remediate deficiencies or weaknesses in our internal controls would likely be more challenging for us than they would for a company with a less complex financial model. Furthermore, if we were to find an internal control deficiency or material weakness, we may be required to amend or restate historical financial statements, which would likely have a negative impact on our stock price.</w:t>
      </w:r>
    </w:p>
    <w:p>
      <w:pPr>
        <w:spacing w:after="0" w:line="165" w:lineRule="exact"/>
        <w:rPr>
          <w:sz w:val="20"/>
          <w:szCs w:val="20"/>
          <w:color w:val="auto"/>
        </w:rPr>
      </w:pPr>
    </w:p>
    <w:p>
      <w:pPr>
        <w:ind w:right="40" w:firstLine="255"/>
        <w:spacing w:after="0" w:line="261" w:lineRule="auto"/>
        <w:rPr>
          <w:sz w:val="20"/>
          <w:szCs w:val="20"/>
          <w:color w:val="auto"/>
        </w:rPr>
      </w:pPr>
      <w:r>
        <w:rPr>
          <w:rFonts w:ascii="Times New Roman" w:cs="Times New Roman" w:eastAsia="Times New Roman" w:hAnsi="Times New Roman"/>
          <w:sz w:val="18"/>
          <w:szCs w:val="18"/>
          <w:color w:val="auto"/>
        </w:rPr>
        <w:t>Additionally,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35"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raise capital or obtain financing in the future may be limited, and our failure to raise capital when needed could prevent us from executing our growth strategy.</w:t>
      </w:r>
    </w:p>
    <w:p>
      <w:pPr>
        <w:spacing w:after="0" w:line="159" w:lineRule="exact"/>
        <w:rPr>
          <w:sz w:val="20"/>
          <w:szCs w:val="20"/>
          <w:color w:val="auto"/>
        </w:rPr>
      </w:pPr>
    </w:p>
    <w:p>
      <w:pPr>
        <w:jc w:val="both"/>
        <w:ind w:right="220" w:firstLine="255"/>
        <w:spacing w:after="0" w:line="266" w:lineRule="auto"/>
        <w:rPr>
          <w:sz w:val="20"/>
          <w:szCs w:val="20"/>
          <w:color w:val="auto"/>
        </w:rPr>
      </w:pPr>
      <w:r>
        <w:rPr>
          <w:rFonts w:ascii="Times New Roman" w:cs="Times New Roman" w:eastAsia="Times New Roman" w:hAnsi="Times New Roman"/>
          <w:sz w:val="18"/>
          <w:szCs w:val="18"/>
          <w:color w:val="auto"/>
        </w:rPr>
        <w:t>While we believe that our existing cash and cash equivalents will be sufficient to meet our anticipated cash needs for at least the next twelve months, the timing and amount of our working capital and capital expenditure requirements may vary significantly depending on numerous factors, including the other risk factors described above and below.</w:t>
      </w:r>
    </w:p>
    <w:p>
      <w:pPr>
        <w:spacing w:after="0" w:line="176" w:lineRule="exact"/>
        <w:rPr>
          <w:sz w:val="20"/>
          <w:szCs w:val="20"/>
          <w:color w:val="auto"/>
        </w:rPr>
      </w:pPr>
    </w:p>
    <w:p>
      <w:pPr>
        <w:ind w:firstLine="255"/>
        <w:spacing w:after="0" w:line="253" w:lineRule="auto"/>
        <w:rPr>
          <w:sz w:val="20"/>
          <w:szCs w:val="20"/>
          <w:color w:val="auto"/>
        </w:rPr>
      </w:pPr>
      <w:r>
        <w:rPr>
          <w:rFonts w:ascii="Times New Roman" w:cs="Times New Roman" w:eastAsia="Times New Roman" w:hAnsi="Times New Roman"/>
          <w:sz w:val="18"/>
          <w:szCs w:val="18"/>
          <w:color w:val="auto"/>
        </w:rPr>
        <w:t>If our capital resources are insufficient to satisfy our liquidity requirements, we may seek to sell additional equity securities or debt securities or obtain other debt financing, which could be difficult or impossible depending on the state of economic and capital markets environments at the time, as well as the state of our business, operating results and financial condition. For example, any sustained disruption in the capital markets from the global economic environment could negatively impact our ability to raise capital. Our ability to raise additional capital or access capital can be affected by macroeconomic events which affect the economy and the financial and banking sectors in particular. Failures at banks and other financial institutions, or issues in the broader U.S. financial system, including uncertainty related to the debt ceiling, increased interest rates, and lack of availability of credit, which may have an impact on the broader capital markets and, in turn, our ability to access those markets. In addition, the tightening of the credit markets and lending standards could it make more difficult to raise capital through either debt or equity offerings on commercially reasonable terms or at all. Also, our debt levels may impair our ability to obtain additional financing in the future. The sale of additional equity securities or convertible debt securities would result in additional dilution to our stockholders. We cannot assure that additional financing, if required or desired, will be available in amounts or on terms acceptable to us, if at all. If we are unable to obtain adequate financing or financing on terms satisfactory to us when we require it, our ability to continue to support our business growth and to respond to business challenges could be significantly impaired, and our business may be adversely affected. If we need to accept less favorable terms, it could increase our cost of capital, reduce our cash balances or otherwise restrict our ability to grow.</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fully utilize certain tax loss carryforwards.</w:t>
      </w:r>
    </w:p>
    <w:p>
      <w:pPr>
        <w:spacing w:after="0" w:line="202"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8"/>
          <w:szCs w:val="18"/>
          <w:color w:val="auto"/>
        </w:rPr>
        <w:t>As of June 30, 2024, we had approximately $281.9 million and $124.5 million in federal and state net operating loss carryforwards, respectively. The federal and state carryforwards expire in varying amounts beginning in 2029 for federal and 2025 for state purposes. In addition, as of June 30, 2024, we had federal and state research and development tax credit carryforwards of approximately $28.4 million and $22.8 million, respectively. The California research credits have no expiration date, but if not utilized, the federal research credits and other non-California state research credits will begin to expire in 2025.</w:t>
      </w:r>
    </w:p>
    <w:p>
      <w:pPr>
        <w:spacing w:after="0" w:line="143" w:lineRule="exact"/>
        <w:rPr>
          <w:sz w:val="20"/>
          <w:szCs w:val="20"/>
          <w:color w:val="auto"/>
        </w:rPr>
      </w:pPr>
    </w:p>
    <w:p>
      <w:pPr>
        <w:ind w:right="20" w:firstLine="255"/>
        <w:spacing w:after="0" w:line="254" w:lineRule="auto"/>
        <w:rPr>
          <w:sz w:val="20"/>
          <w:szCs w:val="20"/>
          <w:color w:val="auto"/>
        </w:rPr>
      </w:pPr>
      <w:r>
        <w:rPr>
          <w:rFonts w:ascii="Times New Roman" w:cs="Times New Roman" w:eastAsia="Times New Roman" w:hAnsi="Times New Roman"/>
          <w:sz w:val="18"/>
          <w:szCs w:val="18"/>
          <w:color w:val="auto"/>
        </w:rPr>
        <w:t>Federal net operating losses arising in tax years beginning after December 31, 2017 are subject to an 80% of taxable income limitation (as calculated before taking the net operating losses into account). It is uncertain if and to what extent various states will conform to these limitations. In addition, utilization of our net operating loss and credit carryforwards is subject to annual limitation due to the application of the ownership change limitations provided by Section 382 of the Internal Revenue Code and similar state provisions to us. Future changes in our stock ownership, including future offerings, as well as changes that may be outside of our control, could result in an ownership change under Section 382 of the Internal Revenue Code. In addition, the use of our net operating losses and other tax attributes may be subject to other limitations under applicable law. Additionally, one of the provisions under the Tax Cuts and Jobs Act that became effective in tax years beginning after December 31, 2021 required the capitalization and amortization of research and experimental expenditures, and although this change did not have an impact on our current consolidated financial statements, it may have an impact on future periods as our research and experimental expenditures have been a material amount on our financial statements.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9" w:right="359" w:bottom="1440" w:gutter="0" w:footer="0" w:header="0"/>
        </w:sectPr>
      </w:pPr>
    </w:p>
    <w:bookmarkStart w:id="58" w:name="page59"/>
    <w:bookmarkEnd w:id="58"/>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the tax laws of various foreign jurisdictions, as well as within the United States, which are subject to unanticipated changes and interpretation and could harm our future results.</w:t>
      </w:r>
    </w:p>
    <w:p>
      <w:pPr>
        <w:spacing w:after="0" w:line="159" w:lineRule="exact"/>
        <w:rPr>
          <w:sz w:val="20"/>
          <w:szCs w:val="20"/>
          <w:color w:val="auto"/>
        </w:rPr>
      </w:pPr>
    </w:p>
    <w:p>
      <w:pPr>
        <w:ind w:firstLine="255"/>
        <w:spacing w:after="0" w:line="253" w:lineRule="auto"/>
        <w:rPr>
          <w:sz w:val="20"/>
          <w:szCs w:val="20"/>
          <w:color w:val="auto"/>
        </w:rPr>
      </w:pPr>
      <w:r>
        <w:rPr>
          <w:rFonts w:ascii="Times New Roman" w:cs="Times New Roman" w:eastAsia="Times New Roman" w:hAnsi="Times New Roman"/>
          <w:sz w:val="18"/>
          <w:szCs w:val="18"/>
          <w:color w:val="auto"/>
        </w:rPr>
        <w:t>The application of tax laws of various foreign jurisdictions and within the United States is subject to interpretation and depends on our ability to operate our business in a manner consistent with our corporate structure and intercompany arrangements. The taxing authorities of jurisdictions in which we operate may challenge our methodologies for valuing intercompany arrangements including our transfer pricing or determine that the manner in which we operate our business does not achieve the intended tax consequences. The application of tax laws can also be subject to conflicting interpretations by tax authorities in the various jurisdictions we operate. It is not uncommon for taxing authorities in different countries to have conflicting views, with respect to, among other things, the manner in which the arm’s length standard is applied for transfer pricing purposes. Further, tax laws are subject to change, which could adversely impact our tax rate. A number of countries, as well as organizations such as the Organization for Economic Cooperation and Development, support the 15% global minimum tax initiative, and have adopted or intend to adopt laws to implement this initiative. Such countries and organizations are also actively considering changes to existing tax laws or have proposed or enacted new laws that could increase our tax obligations in countries where we do business or cause us to change the way we operate our business, which could materially impact our results of operation.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Regulation of our Products and Business</w:t>
      </w:r>
    </w:p>
    <w:p>
      <w:pPr>
        <w:spacing w:after="0" w:line="198"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Modifications, upgrades, new indications and future products related to the CyberKnife or TomoTherapy Systems or the Precision Treatment Planning and iDMS Data Management System software may require new FDA 510(k) clearances or premarket approvals and similar licensing or approvals in international markets. Such modifications, or any defects in design, manufacture or labeling may require us to recall or cease marketing the affected systems or software until approvals or clearances are obtained.</w:t>
      </w:r>
    </w:p>
    <w:p>
      <w:pPr>
        <w:spacing w:after="0" w:line="180" w:lineRule="exact"/>
        <w:rPr>
          <w:sz w:val="20"/>
          <w:szCs w:val="20"/>
          <w:color w:val="auto"/>
        </w:rPr>
      </w:pPr>
    </w:p>
    <w:p>
      <w:pPr>
        <w:ind w:firstLine="255"/>
        <w:spacing w:after="0" w:line="263" w:lineRule="auto"/>
        <w:rPr>
          <w:sz w:val="20"/>
          <w:szCs w:val="20"/>
          <w:color w:val="auto"/>
        </w:rPr>
      </w:pPr>
      <w:r>
        <w:rPr>
          <w:rFonts w:ascii="Times New Roman" w:cs="Times New Roman" w:eastAsia="Times New Roman" w:hAnsi="Times New Roman"/>
          <w:sz w:val="17"/>
          <w:szCs w:val="17"/>
          <w:color w:val="auto"/>
        </w:rPr>
        <w:t>The CyberKnife and TomoTherapy platforms as well as the Precision Treatment Planning software are medical devices that are subject to extensive regulation in the United States by local, state and the federal government, including the FDA. The iDMS Data Management System may be regulated as a medical device in some markets. The FDA most recently cleared Surface Guided Radiation Therapy (SGRT) on Radixact System under K223159 on June 23, 2023. ClearRT</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7"/>
          <w:szCs w:val="17"/>
          <w:color w:val="auto"/>
        </w:rPr>
        <w:t xml:space="preserve"> for onboard kVCT imaging was previously cleared on the Radixact System under K202412 on December 18, 2020. The FDA regulates virtually all aspects of a medical device design, development, testing manufacturing, labeling, storage, record keeping, adverse event reporting, sale, promotion, distribution and shipping. Before a new medical device, or a new intended use or indication or claim for an existing product, can be marketed in the United States, it must first receive either premarket approval or 510(k) clearance from the FDA, unless an exemption exists. Either process can be expensive, lengthy and unpredictable. The FDA’s 510(k) clearance process generally takes from three to twelve months, but it can last longer. The process of obtaining premarket approval is much more costly and uncertain than the 510(k) clearance process and it generally takes from one to three years, or even longer, from the time the application is filed with the FDA. Additionally, outside of the United States, our products are subject to clearances and approvals by foreign governmental agencies similar to the FDA. In order to market our products internationally, we must obtain licenses or approvals from these governmental agencies, which could include local requirements, safety standards, testing or certifications, and can be time consuming, burdensome and uncertain. Despite the time, effort and cost, there can be no assurance that a particular device or a modification of a device will be approved or cleared by the FDA or any foreign governmental agency in a timely fashion, if at all. Even if we are granted regulatory clearances or approvals, they may include significant limitations on the indicated uses of the product, which may limit the market for those products, and how those products can be promoted.</w:t>
      </w:r>
    </w:p>
    <w:p>
      <w:pPr>
        <w:spacing w:after="0" w:line="181" w:lineRule="exact"/>
        <w:rPr>
          <w:sz w:val="20"/>
          <w:szCs w:val="20"/>
          <w:color w:val="auto"/>
        </w:rPr>
      </w:pPr>
    </w:p>
    <w:p>
      <w:pPr>
        <w:ind w:right="40" w:firstLine="255"/>
        <w:spacing w:after="0" w:line="253" w:lineRule="auto"/>
        <w:rPr>
          <w:sz w:val="20"/>
          <w:szCs w:val="20"/>
          <w:color w:val="auto"/>
        </w:rPr>
      </w:pPr>
      <w:r>
        <w:rPr>
          <w:rFonts w:ascii="Times New Roman" w:cs="Times New Roman" w:eastAsia="Times New Roman" w:hAnsi="Times New Roman"/>
          <w:sz w:val="18"/>
          <w:szCs w:val="18"/>
          <w:color w:val="auto"/>
        </w:rPr>
        <w:t>Medical devices may only be marketed for the indications for which they are approved or cleared. The FDA and other foreign governments also may change their policies, adopt additional regulations, or revise existing regulations, each of which could prevent or delay approval or clearance of our device, or could impact our ability to market our currently approved or cleared device. We are also subject to medical device reporting regulations, which require us to report to the FDA and other international governmental agencies if our products cause or contribute to a death or a serious injury, or malfunction in a way that would likely cause or contribute to a death or a serious injury. We also are subject to the QSR in the U.S. and ISO 13485 certification in many international markets, compliance with which is necessary to receive FDA and other international clearances or approvals to market new products and is necessary for us to be able to continue to market a cleared or approved product in the United States or globally. After a product is placed in the market, we are also subject to regulations by the FDA and Federal Trade Commission related to the advertising and promotion of our products to ensure our claims are consistent with our regulatory clearances, that there is scientific data to substantiate our claims and that our advertising is not false or misleading. Our products are also subject to state regulations and various worldwide laws and regulations.</w:t>
      </w:r>
    </w:p>
    <w:p>
      <w:pPr>
        <w:spacing w:after="0" w:line="194" w:lineRule="exact"/>
        <w:rPr>
          <w:sz w:val="20"/>
          <w:szCs w:val="20"/>
          <w:color w:val="auto"/>
        </w:rPr>
      </w:pPr>
    </w:p>
    <w:p>
      <w:pPr>
        <w:ind w:firstLine="255"/>
        <w:spacing w:after="0" w:line="266" w:lineRule="auto"/>
        <w:rPr>
          <w:sz w:val="20"/>
          <w:szCs w:val="20"/>
          <w:color w:val="auto"/>
        </w:rPr>
      </w:pPr>
      <w:r>
        <w:rPr>
          <w:rFonts w:ascii="Times New Roman" w:cs="Times New Roman" w:eastAsia="Times New Roman" w:hAnsi="Times New Roman"/>
          <w:sz w:val="18"/>
          <w:szCs w:val="18"/>
          <w:color w:val="auto"/>
        </w:rPr>
        <w:t>A component of our strategy is to continue to upgrade the CyberKnife and TomoTherapy platforms as well as the Precision Treatment Planning with iDMS Data Management System software. Upgrades previously released by us required 510(k) clearance and international registration before we were able to offer them for sale. We expect our future upgrades will similarly require 510(k)</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5" w:right="359" w:bottom="1440" w:gutter="0" w:footer="0" w:header="0"/>
        </w:sectPr>
      </w:pPr>
    </w:p>
    <w:bookmarkStart w:id="59" w:name="page60"/>
    <w:bookmarkEnd w:id="59"/>
    <w:p>
      <w:pPr>
        <w:ind w:right="60"/>
        <w:spacing w:after="0" w:line="266" w:lineRule="auto"/>
        <w:rPr>
          <w:sz w:val="20"/>
          <w:szCs w:val="20"/>
          <w:color w:val="auto"/>
        </w:rPr>
      </w:pPr>
      <w:r>
        <w:rPr>
          <w:rFonts w:ascii="Times New Roman" w:cs="Times New Roman" w:eastAsia="Times New Roman" w:hAnsi="Times New Roman"/>
          <w:sz w:val="18"/>
          <w:szCs w:val="18"/>
          <w:color w:val="auto"/>
        </w:rPr>
        <w:t>clearance or approval; however, future upgrades may be subject to substantially more time-consuming data generation requirements and uncertain premarket approval or clearance processes. If we were required to use the premarket approval process for future products or product modifications, it could delay or prevent release of the proposed products or modifications, which could harm our business.</w:t>
      </w:r>
    </w:p>
    <w:p>
      <w:pPr>
        <w:spacing w:after="0" w:line="176" w:lineRule="exact"/>
        <w:rPr>
          <w:sz w:val="20"/>
          <w:szCs w:val="20"/>
          <w:color w:val="auto"/>
        </w:rPr>
      </w:pPr>
    </w:p>
    <w:p>
      <w:pPr>
        <w:ind w:right="120" w:firstLine="255"/>
        <w:spacing w:after="0" w:line="277" w:lineRule="auto"/>
        <w:rPr>
          <w:sz w:val="20"/>
          <w:szCs w:val="20"/>
          <w:color w:val="auto"/>
        </w:rPr>
      </w:pPr>
      <w:r>
        <w:rPr>
          <w:rFonts w:ascii="Times New Roman" w:cs="Times New Roman" w:eastAsia="Times New Roman" w:hAnsi="Times New Roman"/>
          <w:sz w:val="17"/>
          <w:szCs w:val="17"/>
          <w:color w:val="auto"/>
        </w:rPr>
        <w:t>The FDA requires device manufacturers to make their own determination of whether or not a modification requires an approval or clearance; however, the FDA can review a manufacturer’s decision not to submit for additional approvals or clearances. Any modification to an FDA approved or cleared device that would significantly affect its safety or efficacy or that would constitute a major change in its intended use would require a new premarket approval or 510(k) clearance. We cannot assure you that the FDA will agree with our decisions not to seek approvals or clearances for particular device modifications or that we will be successful in obtaining premarket approvals or 510(k) clearances for modifications in a timely fashion, if at all.</w:t>
      </w:r>
    </w:p>
    <w:p>
      <w:pPr>
        <w:spacing w:after="0" w:line="168" w:lineRule="exact"/>
        <w:rPr>
          <w:sz w:val="20"/>
          <w:szCs w:val="20"/>
          <w:color w:val="auto"/>
        </w:rPr>
      </w:pPr>
    </w:p>
    <w:p>
      <w:pPr>
        <w:ind w:right="20" w:firstLine="255"/>
        <w:spacing w:after="0" w:line="254" w:lineRule="auto"/>
        <w:rPr>
          <w:sz w:val="20"/>
          <w:szCs w:val="20"/>
          <w:color w:val="auto"/>
        </w:rPr>
      </w:pPr>
      <w:r>
        <w:rPr>
          <w:rFonts w:ascii="Times New Roman" w:cs="Times New Roman" w:eastAsia="Times New Roman" w:hAnsi="Times New Roman"/>
          <w:sz w:val="18"/>
          <w:szCs w:val="18"/>
          <w:color w:val="auto"/>
        </w:rPr>
        <w:t>We have obtained 510(k) clearance for the CyberKnife platform for the treatment of conditions anywhere in the body when radiation treatment is indicated, and we have obtained 510(k) clearance for the TomoTherapy platform to be used as integrated systems for the planning and delivery of IMRT for the treatment of cancer. We have made modifications to the CyberKnife and TomoTherapy platforms in the past and may make additional modifications in the future that we believe do not or will not require additional approvals or clearances. If the FDA disagrees, based on new finalized guidance and requires us to obtain additional premarket approvals or 510(k) clearances for any modifications to the CyberKnife or TomoTherapy platforms and we fail to obtain such approvals or clearances or fail to secure approvals or clearances in a timely manner, we may be required to cease manufacturing and marketing the modified device or to recall such modified device until we obtain FDA approval or clearance and we may be subject to significant regulatory fines or penalties.</w:t>
      </w:r>
    </w:p>
    <w:p>
      <w:pPr>
        <w:spacing w:after="0" w:line="192" w:lineRule="exact"/>
        <w:rPr>
          <w:sz w:val="20"/>
          <w:szCs w:val="20"/>
          <w:color w:val="auto"/>
        </w:rPr>
      </w:pPr>
    </w:p>
    <w:p>
      <w:pPr>
        <w:ind w:firstLine="255"/>
        <w:spacing w:after="0" w:line="255" w:lineRule="auto"/>
        <w:rPr>
          <w:sz w:val="20"/>
          <w:szCs w:val="20"/>
          <w:color w:val="auto"/>
        </w:rPr>
      </w:pPr>
      <w:r>
        <w:rPr>
          <w:rFonts w:ascii="Times New Roman" w:cs="Times New Roman" w:eastAsia="Times New Roman" w:hAnsi="Times New Roman"/>
          <w:sz w:val="18"/>
          <w:szCs w:val="18"/>
          <w:color w:val="auto"/>
        </w:rPr>
        <w:t>The FDA and similar governmental authorities in other countries in which we market and sell our products have the authority to require the recall of our products in the event of material deficiencies or defects in design, manufacture or labeling. A government mandated recall, or a voluntary recall by us, could occur as a result of component failures, manufacturing errors or design defects, including defects in labeling and user manuals. Any recall could divert management’s attention, cause us to incur significant expenses, generate negative publicity, harm our reputation with customers, negatively affect our future sales and business, require redesign of the CyberKnife or TomoTherapy platform, and harm our operating results. In these circumstances, we may also be subject to significant enforcement action. If any of these events were to occur, our ability to introduce new or enhanced products in a timely manner would be adversely affected, which in turn would harm our future growth.</w:t>
      </w:r>
    </w:p>
    <w:p>
      <w:pPr>
        <w:spacing w:after="0" w:line="185"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federal, state and foreign laws and regulations applicable to our operations, the violation of which could result in substantial penalties and harm our business.</w:t>
      </w:r>
    </w:p>
    <w:p>
      <w:pPr>
        <w:spacing w:after="0" w:line="159" w:lineRule="exact"/>
        <w:rPr>
          <w:sz w:val="20"/>
          <w:szCs w:val="20"/>
          <w:color w:val="auto"/>
        </w:rPr>
      </w:pPr>
    </w:p>
    <w:p>
      <w:pPr>
        <w:ind w:right="40" w:firstLine="255"/>
        <w:spacing w:after="0" w:line="258" w:lineRule="auto"/>
        <w:rPr>
          <w:sz w:val="20"/>
          <w:szCs w:val="20"/>
          <w:color w:val="auto"/>
        </w:rPr>
      </w:pPr>
      <w:r>
        <w:rPr>
          <w:rFonts w:ascii="Times New Roman" w:cs="Times New Roman" w:eastAsia="Times New Roman" w:hAnsi="Times New Roman"/>
          <w:sz w:val="18"/>
          <w:szCs w:val="18"/>
          <w:color w:val="auto"/>
        </w:rPr>
        <w:t>In addition to regulation by the FDA and similar governmental authorities in other countries, our operations are subject to other laws and regulations, such as laws and rules governing interactions with healthcare providers, anti-corruption laws, privacy rules and transparency laws. In order to maintain compliance with these laws and requirements, we must continually keep abreast of any changes or developments to be able to integrate compliance protocols into the development and regulatory documentation of our products. Failure to maintain compliance could result in substantial penalties to us and harm our business.</w:t>
      </w:r>
    </w:p>
    <w:p>
      <w:pPr>
        <w:spacing w:after="0" w:line="143" w:lineRule="exact"/>
        <w:rPr>
          <w:sz w:val="20"/>
          <w:szCs w:val="20"/>
          <w:color w:val="auto"/>
        </w:rPr>
      </w:pPr>
    </w:p>
    <w:p>
      <w:pPr>
        <w:ind w:right="60" w:firstLine="255"/>
        <w:spacing w:after="0" w:line="220" w:lineRule="exact"/>
        <w:rPr>
          <w:sz w:val="20"/>
          <w:szCs w:val="20"/>
          <w:color w:val="auto"/>
        </w:rPr>
      </w:pPr>
      <w:r>
        <w:rPr>
          <w:rFonts w:ascii="Times New Roman" w:cs="Times New Roman" w:eastAsia="Times New Roman" w:hAnsi="Times New Roman"/>
          <w:sz w:val="18"/>
          <w:szCs w:val="18"/>
          <w:i w:val="1"/>
          <w:iCs w:val="1"/>
          <w:color w:val="auto"/>
        </w:rPr>
        <w:t xml:space="preserve">Laws and ethical rules governing interactions with healthcare providers. </w:t>
      </w:r>
      <w:r>
        <w:rPr>
          <w:rFonts w:ascii="Times New Roman" w:cs="Times New Roman" w:eastAsia="Times New Roman" w:hAnsi="Times New Roman"/>
          <w:sz w:val="18"/>
          <w:szCs w:val="18"/>
          <w:color w:val="auto"/>
        </w:rPr>
        <w:t>The Medicare and Medicaid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kickback” laws, and similar state laws,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prohibit soliciting, offering, paying or accepting any payments or other remuneration that is intended to induce any individual or entity to either refer patients to or purchase, lease or order, or arrange for or recommend the purchase, lease or order of, healthcare products or services for which payment may be made under federal and state healthcare programs, such as Medicare and Medicaid. Such laws impact our sales, marketing and other promotional activities by reducing the types of financial arrangements we may have with our customers, potential customers, marketing consultants and other service providers. They particularly impact how we structure our sales offerings, including discount practices, customer support, product loans, education and training programs, physician consulting, research grants and other service arrangements. Many of these laws are broadly drafted and are open to a variety of interpretations, making it difficult to determine with any certainty whether certain arrangements violate such laws, even if statutory safe harbors are available. Generally, courts have taken a broad interpretation of the scope of the “anti-kickback” laws, holding that these laws may be violated if merely one purpose of a payment arrangement is to induce referrals or purchases. Further, a person or entity does not need to have actual knowledge of the statute or specific intent to violate it in order to have committed a violation. Violations of these laws can be punishable with prison time, and can also result in criminal fines, administrative civil money penalties and exclusion from participation in federal healthcare programs. In addition, a claim including items or services resulting from a violation of the federal Anti-Kickback Statute constitutes a false or fraudulent claim for purposes of the federal False Claims Act.</w:t>
      </w:r>
    </w:p>
    <w:p>
      <w:pPr>
        <w:spacing w:after="0" w:line="206" w:lineRule="exact"/>
        <w:rPr>
          <w:sz w:val="20"/>
          <w:szCs w:val="20"/>
          <w:color w:val="auto"/>
        </w:rPr>
      </w:pPr>
    </w:p>
    <w:p>
      <w:pPr>
        <w:ind w:right="180" w:firstLine="255"/>
        <w:spacing w:after="0" w:line="282" w:lineRule="auto"/>
        <w:rPr>
          <w:sz w:val="20"/>
          <w:szCs w:val="20"/>
          <w:color w:val="auto"/>
        </w:rPr>
      </w:pPr>
      <w:r>
        <w:rPr>
          <w:rFonts w:ascii="Times New Roman" w:cs="Times New Roman" w:eastAsia="Times New Roman" w:hAnsi="Times New Roman"/>
          <w:sz w:val="18"/>
          <w:szCs w:val="18"/>
          <w:color w:val="auto"/>
        </w:rPr>
        <w:t>Federal and state “false claims” laws generally prohibit the knowing filing or causing the filing of a false claim or the knowing use of false statements to obtain payment from government payors. Although we do not submit claims directly to payors, manufacturers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60" w:name="page61"/>
    <w:bookmarkEnd w:id="60"/>
    <w:p>
      <w:pPr>
        <w:spacing w:after="0" w:line="253" w:lineRule="auto"/>
        <w:rPr>
          <w:sz w:val="20"/>
          <w:szCs w:val="20"/>
          <w:color w:val="auto"/>
        </w:rPr>
      </w:pPr>
      <w:r>
        <w:rPr>
          <w:rFonts w:ascii="Times New Roman" w:cs="Times New Roman" w:eastAsia="Times New Roman" w:hAnsi="Times New Roman"/>
          <w:sz w:val="18"/>
          <w:szCs w:val="18"/>
          <w:color w:val="auto"/>
        </w:rPr>
        <w:t>can be held liable under these laws if they are deemed to “cause” the submission of false or fraudulent claims by providing inaccurate billing or coding information to customers, or through certain other activities, including promoting products for uses or indications that are not approved by the FDA. In addition to actions initiated by the government itself, the federal False Claims Act authorizes actions to be brought on behalf of the federal government by a private party having knowledge of the alleged fraud called a “relator”. Because the complaint is initially filed under seal, the action may be pending for some time before the defendant is even aware of the action. If the government is ultimately successful in obtaining redress in the matter or if the relator succeeds in obtaining redress without the government’s involvement, then the relator is typically entitled to receive a percentage of the recovery. When an entity is determined to have violated the federal False Claims Act, it may be required to pay up to three times the actual damages sustained by the government, plus civil penalties for each separate false claim, and may be excluded from participation in federal health care programs, and, although the federal False Claims Act is a civil statute, violations may also implicate various federal criminal statutes. Several states have also adopted comparable state false claims act, some of which apply to all payors.</w:t>
      </w:r>
    </w:p>
    <w:p>
      <w:pPr>
        <w:spacing w:after="0" w:line="153" w:lineRule="exact"/>
        <w:rPr>
          <w:sz w:val="20"/>
          <w:szCs w:val="20"/>
          <w:color w:val="auto"/>
        </w:rPr>
      </w:pPr>
    </w:p>
    <w:p>
      <w:pPr>
        <w:ind w:right="80" w:firstLine="255"/>
        <w:spacing w:after="0" w:line="226" w:lineRule="exact"/>
        <w:rPr>
          <w:sz w:val="20"/>
          <w:szCs w:val="20"/>
          <w:color w:val="auto"/>
        </w:rPr>
      </w:pPr>
      <w:r>
        <w:rPr>
          <w:rFonts w:ascii="Times New Roman" w:cs="Times New Roman" w:eastAsia="Times New Roman" w:hAnsi="Times New Roman"/>
          <w:sz w:val="18"/>
          <w:szCs w:val="18"/>
          <w:color w:val="auto"/>
        </w:rPr>
        <w:t>We are also subject to federal and state physician self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referral laws. The federal Ethics in Patient Referrals Act of 1989, commonly known as the Stark Law, prohibits, subject to certain exceptions, physician referrals of Medicare and Medicaid patients to an entity providing certain “designated health services” if the physician or an immediate family member has any financial relationship with the entity. The Stark Law also prohibits the entity receiving the referral from billing any good or service furnished pursuant to an unlawful referral. Various states have corollary laws to the Stark Law, including laws that require physicians to disclose any financial interest they may have with a healthcare provider to their patients when referring patients to that provider. Both the scope and exceptions for such laws vary from state to state.</w:t>
      </w:r>
    </w:p>
    <w:p>
      <w:pPr>
        <w:spacing w:after="0" w:line="161" w:lineRule="exact"/>
        <w:rPr>
          <w:sz w:val="20"/>
          <w:szCs w:val="20"/>
          <w:color w:val="auto"/>
        </w:rPr>
      </w:pPr>
    </w:p>
    <w:p>
      <w:pPr>
        <w:ind w:right="140" w:firstLine="255"/>
        <w:spacing w:after="0" w:line="231" w:lineRule="exact"/>
        <w:rPr>
          <w:sz w:val="20"/>
          <w:szCs w:val="20"/>
          <w:color w:val="auto"/>
        </w:rPr>
      </w:pPr>
      <w:r>
        <w:rPr>
          <w:rFonts w:ascii="Times New Roman" w:cs="Times New Roman" w:eastAsia="Times New Roman" w:hAnsi="Times New Roman"/>
          <w:sz w:val="18"/>
          <w:szCs w:val="18"/>
          <w:color w:val="auto"/>
        </w:rPr>
        <w:t>If our past or present operations are found to be in violation of any of these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kickback,” “false claims,” “self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referral” or other similar laws in foreign jurisdictions, we may be subject to the applicable penalty associated with the violation, which may include significant civil and criminal penalties, damages, fines, imprisonment and exclusion from healthcare programs. The impact of any such violations may lead to curtailment or restructuring of our operations, which could adversely affect our ability to operate our business and our financial results.</w:t>
      </w:r>
    </w:p>
    <w:p>
      <w:pPr>
        <w:spacing w:after="0" w:line="159" w:lineRule="exact"/>
        <w:rPr>
          <w:sz w:val="20"/>
          <w:szCs w:val="20"/>
          <w:color w:val="auto"/>
        </w:rPr>
      </w:pPr>
    </w:p>
    <w:p>
      <w:pPr>
        <w:ind w:right="20" w:firstLine="255"/>
        <w:spacing w:after="0" w:line="224" w:lineRule="exact"/>
        <w:rPr>
          <w:sz w:val="20"/>
          <w:szCs w:val="20"/>
          <w:color w:val="auto"/>
        </w:rPr>
      </w:pPr>
      <w:r>
        <w:rPr>
          <w:rFonts w:ascii="Times New Roman" w:cs="Times New Roman" w:eastAsia="Times New Roman" w:hAnsi="Times New Roman"/>
          <w:sz w:val="18"/>
          <w:szCs w:val="18"/>
          <w:i w:val="1"/>
          <w:iCs w:val="1"/>
          <w:color w:val="auto"/>
        </w:rPr>
        <w:t>Anti</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 xml:space="preserve">corruption laws. </w:t>
      </w:r>
      <w:r>
        <w:rPr>
          <w:rFonts w:ascii="Times New Roman" w:cs="Times New Roman" w:eastAsia="Times New Roman" w:hAnsi="Times New Roman"/>
          <w:sz w:val="18"/>
          <w:szCs w:val="18"/>
          <w:color w:val="auto"/>
        </w:rPr>
        <w:t>We are also subject to laws regarding the conduct of business overseas, such as the FCPA, the U.K. Bribery Act of 2010,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Brazil Clean Companies Act, and other similar laws in foreign countries in which we operate. The FCPA prohibits the provision of illegal or improper inducements to foreign government officials in connection with the obtaining of business overseas. Becoming familiar with and implementing the infrastructure necessary to ensure that we and our distributors comply with such laws, rules and regulations and mitigate and protect against corruption risks could be quite costly, and there can be no assurance that any policies and procedures we do implement will protect us against liability under the FCPA or related laws for actions taken by our employees, executive officers, distributors, agents and other intermediaries with respect to our business. Violations of the FCPA or other similar laws by us or any of our employees, executive officers, distributors, agents or other intermediaries could subject us or the individuals involved to criminal or civil liability, cause a loss of reputation in the market, and materially harm our business.</w:t>
      </w:r>
    </w:p>
    <w:p>
      <w:pPr>
        <w:spacing w:after="0" w:line="196" w:lineRule="exact"/>
        <w:rPr>
          <w:sz w:val="20"/>
          <w:szCs w:val="20"/>
          <w:color w:val="auto"/>
        </w:rPr>
      </w:pPr>
    </w:p>
    <w:p>
      <w:pPr>
        <w:ind w:right="60" w:firstLine="25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Laws protecting patient health information. </w:t>
      </w:r>
      <w:r>
        <w:rPr>
          <w:rFonts w:ascii="Times New Roman" w:cs="Times New Roman" w:eastAsia="Times New Roman" w:hAnsi="Times New Roman"/>
          <w:sz w:val="18"/>
          <w:szCs w:val="18"/>
          <w:color w:val="auto"/>
        </w:rPr>
        <w:t>There are a number of federal and state laws protecting the confidentiality of certain patient health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including patient records, and restricting the use and disclosure of that protected information. In particular, the U.S. Department of Health and Human Services (“HHS”) has promulgated patient privacy rules under the HIPAA. These privacy rules protect medical records and other personal health information of patients by limiting their use and disclosure, giving patients the right to access, amend and seek accounting of their own health information and limiting most uses and disclosures of health information to the minimum amount reasonably necessary to accomplish the intended purpose. The HIPAA privacy standard was amended by the Health Information Technology for Economic and Clinical Health Act, enacted as part of the American Recovery and Reinvestment Act of 2009. Although we are not a “covered entity” under HIPAA, we are considered a “business associate” of certain covered entities and, as such, we are directly subject to HIPAA, including its enforcement scheme and inspection requirements, and are required to implement policies, procedures as well as reasonable and appropriate physical, technical and administrative security measures to protect individually identifiable health information we receive from covered entities. Our failure to protect health information received from customers in compliance with HIPAA or other laws could subject us to civil and criminal liability to the government and civil liability to the covered entity, could result in adverse publicity, and could harm our business and impair our ability to attract new customers.</w:t>
      </w:r>
    </w:p>
    <w:p>
      <w:pPr>
        <w:spacing w:after="0" w:line="190" w:lineRule="exact"/>
        <w:rPr>
          <w:sz w:val="20"/>
          <w:szCs w:val="20"/>
          <w:color w:val="auto"/>
        </w:rPr>
      </w:pPr>
    </w:p>
    <w:p>
      <w:pPr>
        <w:ind w:right="160" w:firstLine="255"/>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Transparency laws. </w:t>
      </w:r>
      <w:r>
        <w:rPr>
          <w:rFonts w:ascii="Times New Roman" w:cs="Times New Roman" w:eastAsia="Times New Roman" w:hAnsi="Times New Roman"/>
          <w:sz w:val="18"/>
          <w:szCs w:val="18"/>
          <w:color w:val="auto"/>
        </w:rPr>
        <w:t>The Sunshine Act, which was enacted by Congress as part of the Patient Protection and Affordable Care Act on December 14,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2011, requires each applicable manufacturer, which includes medical device companies such as Accuray, to track and report to the federal government on an annual basis all payments and other transfers of value from such applicable manufacturer to U.S. licensed physicians and teaching hospitals as well as physician ownership of such applicable manufacturer’s equity, in each case subject to certain statutory exceptions. Furthermore, on October 25, 2018, President Trump signed into law the “Substance Use-Disorder Prevention that Promoted Opioid Recovery and Treatment for Patients and Communities Act” which in part (under a provision entitled “Fighting the Opioid Epidemic with Sunshine”) extends the reporting and transparency requirements for physicians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61" w:name="page62"/>
    <w:bookmarkEnd w:id="61"/>
    <w:p>
      <w:pPr>
        <w:ind w:right="40"/>
        <w:spacing w:after="0" w:line="255" w:lineRule="auto"/>
        <w:rPr>
          <w:sz w:val="20"/>
          <w:szCs w:val="20"/>
          <w:color w:val="auto"/>
        </w:rPr>
      </w:pPr>
      <w:r>
        <w:rPr>
          <w:rFonts w:ascii="Times New Roman" w:cs="Times New Roman" w:eastAsia="Times New Roman" w:hAnsi="Times New Roman"/>
          <w:sz w:val="18"/>
          <w:szCs w:val="18"/>
          <w:color w:val="auto"/>
        </w:rPr>
        <w:t>in the Physician Payments Sunshine Act to physician assistants, nurse practitioners, clinical nurse specialists, certified registered nurse anesthetists, and certified nurse midwives. Such data is available by the government on a publicly searchable website. Failure to comply with the data collection and reporting obligations imposed by the Sunshine Act can result in civil monetary penalties ranging from $1,000 to $10,000 for each payment or other transfer of value that is not reported (up to a maximum of $150,000 per reporting period) and from $10,000 to $100,000 for each knowing failure to report (up to a maximum of $1 million per reporting period). In addition, we are subject to similar state and foreign laws related to the tracking and reporting of payments and other transfers of value to healthcare professionals, the violation of which could, among other things, result in civil monetary penalties and adversely impact our reputation and business.</w:t>
      </w:r>
    </w:p>
    <w:p>
      <w:pPr>
        <w:spacing w:after="0" w:line="187" w:lineRule="exact"/>
        <w:rPr>
          <w:sz w:val="20"/>
          <w:szCs w:val="20"/>
          <w:color w:val="auto"/>
        </w:rPr>
      </w:pPr>
    </w:p>
    <w:p>
      <w:pPr>
        <w:ind w:right="80" w:firstLine="255"/>
        <w:spacing w:after="0" w:line="257" w:lineRule="auto"/>
        <w:rPr>
          <w:sz w:val="20"/>
          <w:szCs w:val="20"/>
          <w:color w:val="auto"/>
        </w:rPr>
      </w:pPr>
      <w:r>
        <w:rPr>
          <w:rFonts w:ascii="Times New Roman" w:cs="Times New Roman" w:eastAsia="Times New Roman" w:hAnsi="Times New Roman"/>
          <w:sz w:val="18"/>
          <w:szCs w:val="18"/>
          <w:i w:val="1"/>
          <w:iCs w:val="1"/>
          <w:color w:val="auto"/>
        </w:rPr>
        <w:t>Conflict minerals</w:t>
      </w:r>
      <w:r>
        <w:rPr>
          <w:rFonts w:ascii="Times New Roman" w:cs="Times New Roman" w:eastAsia="Times New Roman" w:hAnsi="Times New Roman"/>
          <w:sz w:val="18"/>
          <w:szCs w:val="18"/>
          <w:color w:val="auto"/>
        </w:rPr>
        <w:t>. The Dodd Frank Wall Street Reform and Consumer Protection Act and the rules promulgated by the SEC under such act require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companies, including Accuray, to disclose the existence in their products of certain metals, known as “conflict minerals,” which are metals mined from the Democratic Republic of the Congo and adjoining countries. These rules require investigative efforts, which has caused and will continue to cause us to incur associated costs, could adversely affect the sourcing, availability and pricing of minerals used in our products and may cause reputational harm if we determine that certain of our components contain such conflict minerals or if we are unable to alter our processes or sources of supply to avoid using such materials, all of which could adversely impact sales of our products and results of operations.</w:t>
      </w:r>
    </w:p>
    <w:p>
      <w:pPr>
        <w:spacing w:after="0" w:line="140"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distributors do not obtain and maintain the necessary regulatory approvals in a specific country, we will not be able to market and sell our products in that country.</w:t>
      </w:r>
    </w:p>
    <w:p>
      <w:pPr>
        <w:spacing w:after="0" w:line="132" w:lineRule="exact"/>
        <w:rPr>
          <w:sz w:val="20"/>
          <w:szCs w:val="20"/>
          <w:color w:val="auto"/>
        </w:rPr>
      </w:pPr>
    </w:p>
    <w:p>
      <w:pPr>
        <w:ind w:firstLine="255"/>
        <w:spacing w:after="0" w:line="217" w:lineRule="exact"/>
        <w:rPr>
          <w:sz w:val="20"/>
          <w:szCs w:val="20"/>
          <w:color w:val="auto"/>
        </w:rPr>
      </w:pPr>
      <w:r>
        <w:rPr>
          <w:rFonts w:ascii="Times New Roman" w:cs="Times New Roman" w:eastAsia="Times New Roman" w:hAnsi="Times New Roman"/>
          <w:sz w:val="18"/>
          <w:szCs w:val="18"/>
          <w:color w:val="auto"/>
        </w:rPr>
        <w:t>To be able to market and sell our products in a specific country, we or our distributors must comply with applicable laws and regulations of that country. In jurisdictions where we rely on our distributors to manage the regulatory process, we are dependent on their ability to do so effectively. While the laws and regulations of some countries do not impose barriers to marketing and selling our products or only require notification, others require that we or our distributors obtain the approval of a specified regulatory body. These laws and regulations, including the requirements for approvals, and the time required for regulatory review vary from country to country. The governmental agencies regulating medical devices in some countries, for example, require that the user interface on medical device software be in the local language. We currently provide user guides and manuals, both paper copies and electronically, in the local language but only provide an English language version of the user interface. Obtaining regulatory approvals is expensive and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consuming, and we cannot be certain that we or our distributors will receive regulatory approvals in each country in which we market or plan to market our products. If we modify our products, we or our distributors may need to apply for additional regulatory approvals before we are permitted to sell them. We may not continue to meet the quality and safety standards required to maintain the authorizations that we or our distributors have received. It can also be costly for us and our distributors to keep up with regulatory changes issued or mandated from time to time. If we change distributors, it may be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consuming and disruptive to our business to transfer the required regulatory approvals, particularly if such approvals are maintained by 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distributors on our behalf. If we or our distributors are unable to maintain our authorizations, or fail to obtain appropriate authorizations in a particular country, we will no longer be able to sell our products in that country, and our ability to generate revenue will be materially adversely affected.</w:t>
      </w:r>
    </w:p>
    <w:p>
      <w:pPr>
        <w:spacing w:after="0" w:line="169" w:lineRule="exact"/>
        <w:rPr>
          <w:sz w:val="20"/>
          <w:szCs w:val="20"/>
          <w:color w:val="auto"/>
        </w:rPr>
      </w:pPr>
    </w:p>
    <w:p>
      <w:pPr>
        <w:ind w:firstLine="255"/>
        <w:spacing w:after="0" w:line="218" w:lineRule="exact"/>
        <w:rPr>
          <w:sz w:val="20"/>
          <w:szCs w:val="20"/>
          <w:color w:val="auto"/>
        </w:rPr>
      </w:pPr>
      <w:r>
        <w:rPr>
          <w:rFonts w:ascii="Times New Roman" w:cs="Times New Roman" w:eastAsia="Times New Roman" w:hAnsi="Times New Roman"/>
          <w:sz w:val="18"/>
          <w:szCs w:val="18"/>
          <w:color w:val="auto"/>
        </w:rPr>
        <w:t>Within the EU, we are required under the Medical Device Directive to affix the Conformité Européene (“CE”) mark on our products in order to sell the products in member countries of the EU. This conformity to the applicable directives is done through self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declaration and is verified by an independent certification body, called a Notified Body, before the CE mark can be placed on the device. Once the CE mark is affixed to the device, the Notified Body will regularly audit us to ensure that we remain in compliance with the applicable European laws or directives. CE marking demonstrates that our products comply with the laws and regulations required by the European Union countries to allow free movement of trade within those countries. If we cannot support our performance claims and/or demonstrate or maintain compliance with the applicable European laws and directives, we lose our CE mark, which would prevent us from selling our products within the European Union. In addition, the EU’s Medical Device Regulation (“MDR”), which replaced the existing Medical Device Directive, became effective in May 2021. The MDR establishes new requirements and oversight for maintaining the CE mark. The official guidance continues to be published for the implementation of these requirements and the number of Notified Bodies are still limited. There may be variability in review timeframes and requirements as both manufacturers and authorities navigate these new requirements. In addition, the EU and Switzerland failed to establish a Mutual Recognition Agreement (“MRA”) for medical devices to include Switzerland within the MDR and as a result, Switzerland has initiated its own medical device regulation similar to the EU MDR, which will require additional registrations for economic operators and products within Switzerland for our devices.</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62" w:name="page63"/>
    <w:bookmarkEnd w:id="62"/>
    <w:p>
      <w:pPr>
        <w:ind w:right="120" w:firstLine="255"/>
        <w:spacing w:after="0" w:line="228" w:lineRule="exact"/>
        <w:rPr>
          <w:sz w:val="20"/>
          <w:szCs w:val="20"/>
          <w:color w:val="auto"/>
        </w:rPr>
      </w:pPr>
      <w:r>
        <w:rPr>
          <w:rFonts w:ascii="Times New Roman" w:cs="Times New Roman" w:eastAsia="Times New Roman" w:hAnsi="Times New Roman"/>
          <w:sz w:val="18"/>
          <w:szCs w:val="18"/>
          <w:color w:val="auto"/>
        </w:rPr>
        <w:t>Under the Pharmaceutical Affairs Law in Japan, a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 approval necessary to sell, market and import a product, or Shonin, must be obtained from the Ministry of Health, Labor and Welfare (“MHLW”), for our products. Before issuing approvals, MHLW examines the application in detail with regard to the quality, efficacy, and safety of the proposed medical device. The Shonin is granted once MHLW is content with the safety and effectiveness of the medical device. The time required for approval varies. A delay in approval could prevent us from selling our products in Japan, which could impact our ability to generate revenue and harm our business.</w:t>
      </w:r>
    </w:p>
    <w:p>
      <w:pPr>
        <w:spacing w:after="0" w:line="171" w:lineRule="exact"/>
        <w:rPr>
          <w:sz w:val="20"/>
          <w:szCs w:val="20"/>
          <w:color w:val="auto"/>
        </w:rPr>
      </w:pPr>
    </w:p>
    <w:p>
      <w:pPr>
        <w:ind w:right="20" w:firstLine="255"/>
        <w:spacing w:after="0" w:line="253" w:lineRule="auto"/>
        <w:rPr>
          <w:sz w:val="20"/>
          <w:szCs w:val="20"/>
          <w:color w:val="auto"/>
        </w:rPr>
      </w:pPr>
      <w:r>
        <w:rPr>
          <w:rFonts w:ascii="Times New Roman" w:cs="Times New Roman" w:eastAsia="Times New Roman" w:hAnsi="Times New Roman"/>
          <w:sz w:val="18"/>
          <w:szCs w:val="18"/>
          <w:color w:val="auto"/>
        </w:rPr>
        <w:t>In addition to laws and regulations regarding medical devices, we are subject to a variety of environmental laws and regulations around the world regulating our operations, including those relating to the use, generation, handling, storage, transportation, treatment and disposal of hazardous materials, which laws impose compliance costs on our business and can also result in liability to us. Although we follow procedures intended to comply with existing environmental laws and regulations, risk of accidental contamination or injury can never be fully eliminated. In the event of an accident, state or federal or other applicable authorities may curtail our use of these materials and interrupt our business operations. In addition, future changes in these laws and regulations could also increase our costs of doing business. We must continually keep abreast of these standards and requirements and integrate our compliance into the development and regulatory documentation for our products. Failure to meet these standards could limit our ability to market our products in those regions that require compliance to such standards. For example, the European Union has adopted directives that may lead to restrictions on the use of certain hazardous substances or other regulated substances in some of our products sold there, unless such products are eligible for an exemption. While we believe that certain of our products are exempt, there can be no guarantee that such determination would not be challenged or that the regulations would not change in a way that would subject our products to such regulation. These directives, along with other laws and regulations that may be adopted by other countries, could increase our operating costs in order to maintain access to certain markets, which could adversely affect our business.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 legislation could adversely affect demand for our products, our revenue and our financial condition.</w:t>
      </w:r>
    </w:p>
    <w:p>
      <w:pPr>
        <w:spacing w:after="0" w:line="229" w:lineRule="exact"/>
        <w:rPr>
          <w:sz w:val="20"/>
          <w:szCs w:val="20"/>
          <w:color w:val="auto"/>
        </w:rPr>
      </w:pPr>
    </w:p>
    <w:p>
      <w:pPr>
        <w:ind w:right="60" w:firstLine="255"/>
        <w:spacing w:after="0" w:line="254" w:lineRule="auto"/>
        <w:rPr>
          <w:sz w:val="20"/>
          <w:szCs w:val="20"/>
          <w:color w:val="auto"/>
        </w:rPr>
      </w:pPr>
      <w:r>
        <w:rPr>
          <w:rFonts w:ascii="Times New Roman" w:cs="Times New Roman" w:eastAsia="Times New Roman" w:hAnsi="Times New Roman"/>
          <w:sz w:val="18"/>
          <w:szCs w:val="18"/>
          <w:color w:val="auto"/>
        </w:rPr>
        <w:t>In March 2010, the Patient Protection and Affordable Care Act, as amended by Health Care and Education Reconciliation Act (collectively, the “ACA”) were signed into law. Since its enactment, there have been judicial and Congressional challenges to certain aspects of the ACA. In particular, on December 14, 2018, a Texas U.S. District Court Judge ruled that the ACA is unconstitutional in its entirety because the “individual mandate” was repealed by Congress as part of the Tax Cuts and Jobs Act. Additionally, on December 18, 2019, the U.S. Court of Appeals for the 5th Circuit upheld the District Court ruling that the individual mandate was unconstitutional and remanded the case back to the District Court to determine whether the remaining provisions of the ACA are invalid as well. On June 18, 2021, the United States Supreme Court upheld the ACA, holding that the individuals who brought the lawsuit did not have standing to challenge the law. It is unclear how this decision and the decisions of the current administration will impact the ACA and our business. Complying with any new legislation or reversing changes implemented under the ACA could be time-intensive and expensive, resulting in a material adverse effect on our business.</w:t>
      </w:r>
    </w:p>
    <w:p>
      <w:pPr>
        <w:spacing w:after="0" w:line="188" w:lineRule="exact"/>
        <w:rPr>
          <w:sz w:val="20"/>
          <w:szCs w:val="20"/>
          <w:color w:val="auto"/>
        </w:rPr>
      </w:pPr>
    </w:p>
    <w:p>
      <w:pPr>
        <w:ind w:right="140" w:firstLine="255"/>
        <w:spacing w:after="0" w:line="218" w:lineRule="exact"/>
        <w:rPr>
          <w:sz w:val="20"/>
          <w:szCs w:val="20"/>
          <w:color w:val="auto"/>
        </w:rPr>
      </w:pPr>
      <w:r>
        <w:rPr>
          <w:rFonts w:ascii="Times New Roman" w:cs="Times New Roman" w:eastAsia="Times New Roman" w:hAnsi="Times New Roman"/>
          <w:sz w:val="18"/>
          <w:szCs w:val="18"/>
          <w:color w:val="auto"/>
        </w:rPr>
        <w:t>The ACA includes a large number of health related provisions, including expanding Medicaid eligibility, requiring most individuals to have health insurance, establishing new regulations on health plans, establishing health insurance exchanges, requiring manufacturers to report payments or other transfers of value made to physicians and teaching hospitals, modifying certain payment systems to encourage more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effective care and a reduction of inefficiencies and waste and including new tools to address fraud and abuse. The laws also include a decrease in the annual rate of inflation for Medicare payments to hospitals and the establishment of an independent payment advisory board to suggest methods of reducing the rate of growth in Medicare spending. We do not yet know the full impact that the ACA will have on our business. The expansion in the government's role in the U.S. healthcare industry may result in decreased profits to us, lower reimbursement by third-party payors for our products, or reduced volume of medical procedures conducted with our products, all of which could have a material adverse effect on our business, financial condition and results of operations. We cannot predict the ultimate content, timing or effect of any healthcare reform legislation or the impact of potential legislation on us.</w:t>
      </w:r>
    </w:p>
    <w:p>
      <w:pPr>
        <w:spacing w:after="0" w:line="204" w:lineRule="exact"/>
        <w:rPr>
          <w:sz w:val="20"/>
          <w:szCs w:val="20"/>
          <w:color w:val="auto"/>
        </w:rPr>
      </w:pPr>
    </w:p>
    <w:p>
      <w:pPr>
        <w:ind w:firstLine="255"/>
        <w:spacing w:after="0" w:line="255" w:lineRule="auto"/>
        <w:rPr>
          <w:sz w:val="20"/>
          <w:szCs w:val="20"/>
          <w:color w:val="auto"/>
        </w:rPr>
      </w:pPr>
      <w:r>
        <w:rPr>
          <w:rFonts w:ascii="Times New Roman" w:cs="Times New Roman" w:eastAsia="Times New Roman" w:hAnsi="Times New Roman"/>
          <w:sz w:val="18"/>
          <w:szCs w:val="18"/>
          <w:color w:val="auto"/>
        </w:rPr>
        <w:t>Future legislative or policy initiatives directed at reducing costs or limiting coverage or amounts of reimbursement available for our products could be introduced at either the federal or state level, which could have a negative impact on the demand for our products and services, and therefore on our financial position and results of operations. We cannot predict what healthcare reform legislation or regulations, if any, including any potential repeal or amendment of the ACA, will be enacted in the United States or elsewhere, what impact any legislation or regulations related to the healthcare system that may be enacted or adopted in the future might have on our business, or the effect of ongoing uncertainty or public perception about these matters will have on the purchasing decisions of our customers. However, the implementation of new legislation and regulation may materially lower reimbursements for our products, materially reduce medical procedure volumes and significantly and adversely affect our business.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is volatile and may continue to fluctuate significantly, which could lead to losses for stockholders.</w:t>
      </w:r>
    </w:p>
    <w:p>
      <w:pPr>
        <w:spacing w:after="0" w:line="189" w:lineRule="exact"/>
        <w:rPr>
          <w:sz w:val="20"/>
          <w:szCs w:val="20"/>
          <w:color w:val="auto"/>
        </w:rPr>
      </w:pPr>
    </w:p>
    <w:p>
      <w:pPr>
        <w:ind w:right="60" w:firstLine="255"/>
        <w:spacing w:after="0" w:line="274" w:lineRule="auto"/>
        <w:rPr>
          <w:sz w:val="20"/>
          <w:szCs w:val="20"/>
          <w:color w:val="auto"/>
        </w:rPr>
      </w:pPr>
      <w:r>
        <w:rPr>
          <w:rFonts w:ascii="Times New Roman" w:cs="Times New Roman" w:eastAsia="Times New Roman" w:hAnsi="Times New Roman"/>
          <w:sz w:val="17"/>
          <w:szCs w:val="17"/>
          <w:color w:val="auto"/>
        </w:rPr>
        <w:t>The stock market in general has recently experienced relatively large price and volume fluctuations, particularly in response to macroeconomic factors. In addition, the trading prices of the stock of healthcare companies of our size can experience extreme price and volume fluctuations. These fluctuations often have been unrelated or out of proportion to the operating performance of these companies. Our stock price has experienced periods of volatility, including in recent quarters. Broad market fluctuations may also harm our stock price. Continued market fluctuations could result in extreme volatility in the price of our common stock, which could cause a decline in the value of our common stock. Any negative change in the public’s perception of the prospects of companies that employ similar technology or sell into similar markets could also depress our stock price, regardless of our actual results.</w:t>
      </w:r>
    </w:p>
    <w:p>
      <w:pPr>
        <w:spacing w:after="0" w:line="13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 addition to the other risk factors described above and below, factors affecting the trading price of our common stock include:</w:t>
      </w:r>
    </w:p>
    <w:p>
      <w:pPr>
        <w:spacing w:after="0" w:line="117" w:lineRule="exact"/>
        <w:rPr>
          <w:sz w:val="20"/>
          <w:szCs w:val="20"/>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operating results, as well as costs and expenditures;</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to our business, operations or financial condition caused by concerns in connection with the global economic environment, supply chain disruptions or as a result of the change in the U.S. presidential administration;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related to manufacturing, marketing or sale of the CyberKnife or TomoTherapy platform;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or social uncertainties, including as a result of the Russia-Ukraine and the Middle East conflicts;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product pricing policies;</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technological innovations, new services or service enhancements, strategic alliances or significant agreements by us or by our competitors;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analysts’ estimates, investors’ perceptions, recommendations by securities analysts or our failure to achieve analysts’ and our own estimates;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recruitment or departure of key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competitors and investor perception of the markets and industries in which we compete;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of strategic transactions or capital raising activities; and</w:t>
      </w:r>
    </w:p>
    <w:p>
      <w:pPr>
        <w:spacing w:after="0" w:line="11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our industry, the industries of our customers and the economy as a whole, including the impact of increased inflation, a recession or instability in the banking and financial services sector.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issuances of shares of our common stock could dilute the ownership interests of our stockholders.</w:t>
      </w:r>
    </w:p>
    <w:p>
      <w:pPr>
        <w:spacing w:after="0" w:line="229" w:lineRule="exact"/>
        <w:rPr>
          <w:sz w:val="20"/>
          <w:szCs w:val="20"/>
          <w:color w:val="auto"/>
        </w:rPr>
      </w:pPr>
    </w:p>
    <w:p>
      <w:pPr>
        <w:ind w:right="100" w:firstLine="255"/>
        <w:spacing w:after="0" w:line="261" w:lineRule="auto"/>
        <w:rPr>
          <w:sz w:val="20"/>
          <w:szCs w:val="20"/>
          <w:color w:val="auto"/>
        </w:rPr>
      </w:pPr>
      <w:r>
        <w:rPr>
          <w:rFonts w:ascii="Times New Roman" w:cs="Times New Roman" w:eastAsia="Times New Roman" w:hAnsi="Times New Roman"/>
          <w:sz w:val="18"/>
          <w:szCs w:val="18"/>
          <w:color w:val="auto"/>
        </w:rPr>
        <w:t>Any issuance of equity securities could dilute the interests of our stockholders and could substantially decrease the trading price of our common stock. We may issue equity securities in the future for a number of reasons, including to finance our operations and business strategy (including in connection with acquisitions, strategic collaborations or other transactions), to adjust our ratio of debt to equity, to satisfy our obligations upon the exercise of outstanding options or for other reasons.</w:t>
      </w:r>
    </w:p>
    <w:p>
      <w:pPr>
        <w:spacing w:after="0" w:line="180"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8"/>
          <w:szCs w:val="18"/>
          <w:color w:val="auto"/>
        </w:rPr>
        <w:t>In May 2021, we issued $100.0 million aggregate principal amount of the Notes. We exchanged approximately $82.1 million aggregate principal amount of then-outstanding 3.75% Convertible Senior Notes due 2022 for approximately $97.1 million aggregate principal amount of the Notes and issued approximately $2.9 million aggregate principal amount of the Notes to certain other qualified new investors for cash. To the extent we issue common stock upon conversion of any outstanding convertible notes, that conversion would dilute the ownership interests of our stockholders.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conditional conversion features of the Notes, if triggered, may adversely affect our financial condition and operating results.</w:t>
      </w:r>
    </w:p>
    <w:p>
      <w:pPr>
        <w:spacing w:after="0" w:line="229" w:lineRule="exact"/>
        <w:rPr>
          <w:sz w:val="20"/>
          <w:szCs w:val="20"/>
          <w:color w:val="auto"/>
        </w:rPr>
      </w:pPr>
    </w:p>
    <w:p>
      <w:pPr>
        <w:ind w:right="20" w:firstLine="255"/>
        <w:spacing w:after="0" w:line="223" w:lineRule="exact"/>
        <w:rPr>
          <w:sz w:val="20"/>
          <w:szCs w:val="20"/>
          <w:color w:val="auto"/>
        </w:rPr>
      </w:pPr>
      <w:r>
        <w:rPr>
          <w:rFonts w:ascii="Times New Roman" w:cs="Times New Roman" w:eastAsia="Times New Roman" w:hAnsi="Times New Roman"/>
          <w:sz w:val="18"/>
          <w:szCs w:val="18"/>
          <w:color w:val="auto"/>
        </w:rPr>
        <w:t>In the event the conditional conversion features of the Notes are triggered, holders of the Notes, as applicable, will be entitled to convert such notes at any time during specified periods at their option. If one or more holders elect to convert such notes, unless we elect to satisfy our conversion obligation by delivering solely shares of our common stock (other than paying solely cash in lieu of any fractional share), including if we have irrevocably elected full physical settlement upon conversion, we would be required to make cash payments to satisfy all or a portion of our conversion obligation based on the applicable conversion rate, which could adversely affect our liquidity. In addition, even if holders do not elect to convert such notes, if we have irrevocably elected net share settlement upon conversion we could be required under applicable accounting rules to reclassify all or a portion of the outstanding principal of such notes as a current rather than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liability, which could result in a material reduction of our net working capital.</w:t>
      </w:r>
    </w:p>
    <w:p>
      <w:pPr>
        <w:spacing w:after="0" w:line="1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5" w:right="379" w:bottom="1440" w:gutter="0" w:footer="0" w:header="0"/>
        </w:sectPr>
      </w:pPr>
    </w:p>
    <w:bookmarkStart w:id="64" w:name="page65"/>
    <w:bookmarkEnd w:id="64"/>
    <w:p>
      <w:pPr>
        <w:ind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the indenture for the Notes, the credit agreement for our Credit Facilities, our certificate of incorporation and our bylaws could discourage or prevent a takeover, even if an acquisition would be beneficial in the opinion of our stockholders.</w:t>
      </w:r>
    </w:p>
    <w:p>
      <w:pPr>
        <w:spacing w:after="0" w:line="91" w:lineRule="exact"/>
        <w:rPr>
          <w:sz w:val="20"/>
          <w:szCs w:val="20"/>
          <w:color w:val="auto"/>
        </w:rPr>
      </w:pPr>
    </w:p>
    <w:p>
      <w:pPr>
        <w:ind w:right="700" w:firstLine="255"/>
        <w:spacing w:after="0" w:line="245" w:lineRule="exact"/>
        <w:rPr>
          <w:sz w:val="20"/>
          <w:szCs w:val="20"/>
          <w:color w:val="auto"/>
        </w:rPr>
      </w:pPr>
      <w:r>
        <w:rPr>
          <w:rFonts w:ascii="Times New Roman" w:cs="Times New Roman" w:eastAsia="Times New Roman" w:hAnsi="Times New Roman"/>
          <w:sz w:val="18"/>
          <w:szCs w:val="18"/>
          <w:color w:val="auto"/>
        </w:rPr>
        <w:t>Provisions of our certificate of incorporation and bylaws could make it more difficult for a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to acquire us, even if doing so would be beneficial in the opinion of our stockholders. These provisions include:</w:t>
      </w:r>
    </w:p>
    <w:p>
      <w:pPr>
        <w:spacing w:after="0" w:line="91" w:lineRule="exact"/>
        <w:rPr>
          <w:sz w:val="20"/>
          <w:szCs w:val="20"/>
          <w:color w:val="auto"/>
        </w:rPr>
      </w:pPr>
    </w:p>
    <w:p>
      <w:pPr>
        <w:ind w:left="102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the issuance of “blank check” preferred stock that could be issued by our board of directors to increase the number of outstanding shares and thwart a takeover attempt;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 classified board of directors, which could discourage a takeover attempt;</w:t>
      </w:r>
    </w:p>
    <w:p>
      <w:pPr>
        <w:spacing w:after="0" w:line="117"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cumulative voting in the election of directors, which would limit the ability of less than a majority of stockholders to elect director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ability of stockholders to call special meetings of stockholders;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stockholder action by written consent and requiring that all stockholder actions be taken at a meeting of our stockholders; and</w:t>
      </w:r>
    </w:p>
    <w:p>
      <w:pPr>
        <w:spacing w:after="0" w:line="117"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advance notice requirements for nominations for election to the board of directors or for proposing matters that can be acted upon by stockholders at stockholder meetings.</w:t>
      </w:r>
    </w:p>
    <w:p>
      <w:pPr>
        <w:spacing w:after="0" w:line="121" w:lineRule="exact"/>
        <w:rPr>
          <w:sz w:val="20"/>
          <w:szCs w:val="20"/>
          <w:color w:val="auto"/>
        </w:rPr>
      </w:pPr>
    </w:p>
    <w:p>
      <w:pPr>
        <w:ind w:right="20" w:firstLine="255"/>
        <w:spacing w:after="0" w:line="246" w:lineRule="auto"/>
        <w:rPr>
          <w:sz w:val="20"/>
          <w:szCs w:val="20"/>
          <w:color w:val="auto"/>
        </w:rPr>
      </w:pPr>
      <w:r>
        <w:rPr>
          <w:rFonts w:ascii="Times New Roman" w:cs="Times New Roman" w:eastAsia="Times New Roman" w:hAnsi="Times New Roman"/>
          <w:sz w:val="18"/>
          <w:szCs w:val="18"/>
          <w:color w:val="auto"/>
        </w:rPr>
        <w:t>In addition, Section 203 of the Delaware General Corporation Law may discourage, delay or prevent a change of control of our company. Generally, Section 203 prohibits stockholders who, alone or together with their affiliates and associates, own more than 15% of the subject company from engaging in certain business combinations for a period of three years following the date that the stockholder became an interested stockholder of such subject company without approval of the board or 66</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4"/>
          <w:szCs w:val="24"/>
          <w:color w:val="auto"/>
          <w:vertAlign w:val="subscript"/>
        </w:rPr>
        <w:t>3</w:t>
      </w:r>
      <w:r>
        <w:rPr>
          <w:rFonts w:ascii="Times New Roman" w:cs="Times New Roman" w:eastAsia="Times New Roman" w:hAnsi="Times New Roman"/>
          <w:sz w:val="18"/>
          <w:szCs w:val="18"/>
          <w:color w:val="auto"/>
        </w:rPr>
        <w:t>% of the independent stockholders. The existence of these provisions could adversely affect the voting power of holders of common stock and limit the price that investors might be willing to pay in the future for shares of our common stock.</w:t>
      </w:r>
    </w:p>
    <w:p>
      <w:pPr>
        <w:spacing w:after="0" w:line="151" w:lineRule="exact"/>
        <w:rPr>
          <w:sz w:val="20"/>
          <w:szCs w:val="20"/>
          <w:color w:val="auto"/>
        </w:rPr>
      </w:pPr>
    </w:p>
    <w:p>
      <w:pPr>
        <w:jc w:val="both"/>
        <w:ind w:right="340" w:firstLine="255"/>
        <w:spacing w:after="0" w:line="232" w:lineRule="exact"/>
        <w:rPr>
          <w:sz w:val="20"/>
          <w:szCs w:val="20"/>
          <w:color w:val="auto"/>
        </w:rPr>
      </w:pPr>
      <w:r>
        <w:rPr>
          <w:rFonts w:ascii="Times New Roman" w:cs="Times New Roman" w:eastAsia="Times New Roman" w:hAnsi="Times New Roman"/>
          <w:sz w:val="18"/>
          <w:szCs w:val="18"/>
          <w:color w:val="auto"/>
        </w:rPr>
        <w:t>A change of control will also trigger an event of default under the Credit Facilities. If an event of default occurs, the agent for the lenders under the Credit Facilities may, at its discretion, suspend or terminate any of the lenders’ loan obligations thereunder and/or declare all or any portion of the loan then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outstanding under the Credit Facilities, including all accrued but unpaid interest thereon, to be accelerated and immediately due and payable.</w:t>
      </w:r>
    </w:p>
    <w:p>
      <w:pPr>
        <w:spacing w:after="0" w:line="144" w:lineRule="exact"/>
        <w:rPr>
          <w:sz w:val="20"/>
          <w:szCs w:val="20"/>
          <w:color w:val="auto"/>
        </w:rPr>
      </w:pPr>
    </w:p>
    <w:p>
      <w:pPr>
        <w:ind w:right="20" w:firstLine="255"/>
        <w:spacing w:after="0" w:line="219" w:lineRule="exact"/>
        <w:rPr>
          <w:sz w:val="20"/>
          <w:szCs w:val="20"/>
          <w:color w:val="auto"/>
        </w:rPr>
      </w:pPr>
      <w:r>
        <w:rPr>
          <w:rFonts w:ascii="Times New Roman" w:cs="Times New Roman" w:eastAsia="Times New Roman" w:hAnsi="Times New Roman"/>
          <w:sz w:val="18"/>
          <w:szCs w:val="18"/>
          <w:color w:val="auto"/>
        </w:rPr>
        <w:t>Furthermore, if a “fundamental change” (as such term is defined in the applicable indenture of the Notes) occurs, holders of the Notes will have the right, at their option, to require us to repurchase all or a portion of their convertible notes. A “fundamental change” generally occurs when there is a change in control of Accuray (acquisition of 50% or more of our voting stock, liquidation or sale of Accuray not for stock in another publicly traded company) or trading of our stock is terminated. In the event of a “make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whole fundamental change” (as such term is defined in the applicable indenture of the Notes), we may also be required to increase the conversion rate applicable to the Notes surrendered for conversion in connection with such make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whole fundamental change. A “make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whole fundamental change” is generally a sale of Accuray not for stock in another publicly traded company. In addition, the applicable indentures for the Notes prohibits us from engaging in certain mergers or acquisitions unless, among other things, the surviving entity assumes our obligations under the Notes.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liquidity could be adversely impacted by adverse conditions in the financial markets.</w:t>
      </w:r>
    </w:p>
    <w:p>
      <w:pPr>
        <w:spacing w:after="0" w:line="202" w:lineRule="exact"/>
        <w:rPr>
          <w:sz w:val="20"/>
          <w:szCs w:val="20"/>
          <w:color w:val="auto"/>
        </w:rPr>
      </w:pPr>
    </w:p>
    <w:p>
      <w:pPr>
        <w:jc w:val="both"/>
        <w:ind w:right="160" w:firstLine="255"/>
        <w:spacing w:after="0" w:line="261" w:lineRule="auto"/>
        <w:rPr>
          <w:sz w:val="20"/>
          <w:szCs w:val="20"/>
          <w:color w:val="auto"/>
        </w:rPr>
      </w:pPr>
      <w:r>
        <w:rPr>
          <w:rFonts w:ascii="Times New Roman" w:cs="Times New Roman" w:eastAsia="Times New Roman" w:hAnsi="Times New Roman"/>
          <w:sz w:val="18"/>
          <w:szCs w:val="18"/>
          <w:color w:val="auto"/>
        </w:rPr>
        <w:t>At December 31, 2024, we had $62.6 million in cash and cash equivalents. The available cash and cash equivalents are held in accounts managed by third-party financial institutions and consist of cash in our operating accounts and cash invested in money market funds. To date, we have experienced no material realized losses on or lack of access to our invested cash, or cash equivalents; however, we can provide no assurances that access to our invested cash and cash equivalents will not be impacted by adverse conditions in the financial markets.</w:t>
      </w:r>
    </w:p>
    <w:p>
      <w:pPr>
        <w:spacing w:after="0" w:line="139" w:lineRule="exact"/>
        <w:rPr>
          <w:sz w:val="20"/>
          <w:szCs w:val="20"/>
          <w:color w:val="auto"/>
        </w:rPr>
      </w:pPr>
    </w:p>
    <w:p>
      <w:pPr>
        <w:ind w:right="260" w:firstLine="255"/>
        <w:spacing w:after="0" w:line="261" w:lineRule="auto"/>
        <w:rPr>
          <w:sz w:val="20"/>
          <w:szCs w:val="20"/>
          <w:color w:val="auto"/>
        </w:rPr>
      </w:pPr>
      <w:r>
        <w:rPr>
          <w:rFonts w:ascii="Times New Roman" w:cs="Times New Roman" w:eastAsia="Times New Roman" w:hAnsi="Times New Roman"/>
          <w:sz w:val="18"/>
          <w:szCs w:val="18"/>
          <w:color w:val="auto"/>
        </w:rPr>
        <w:t>Actual events involving reduced or limited liquidity, defaults, non-performance or other adverse developments that affect domestic and international financial institutions or other companies in the financial services industry or the financial services industry generally, or concerns or rumors about any events of these kinds may in the future lead to market-wide liquidity problems. In addition, the tightening of the credit markets would it make more difficult to raise capital through either debt or equity offerings on commercially reasonable terms or at all.</w:t>
      </w:r>
    </w:p>
    <w:p>
      <w:pPr>
        <w:spacing w:after="0" w:line="139" w:lineRule="exact"/>
        <w:rPr>
          <w:sz w:val="20"/>
          <w:szCs w:val="20"/>
          <w:color w:val="auto"/>
        </w:rPr>
      </w:pPr>
    </w:p>
    <w:p>
      <w:pPr>
        <w:ind w:right="440" w:firstLine="255"/>
        <w:spacing w:after="0" w:line="266" w:lineRule="auto"/>
        <w:rPr>
          <w:sz w:val="20"/>
          <w:szCs w:val="20"/>
          <w:color w:val="auto"/>
        </w:rPr>
      </w:pPr>
      <w:r>
        <w:rPr>
          <w:rFonts w:ascii="Times New Roman" w:cs="Times New Roman" w:eastAsia="Times New Roman" w:hAnsi="Times New Roman"/>
          <w:sz w:val="18"/>
          <w:szCs w:val="18"/>
          <w:color w:val="auto"/>
        </w:rPr>
        <w:t>At any point in time, we also have funds in our operating accounts that are with third-party financial institutions that exceed the Federal Deposit Insurance Corporation (“FDIC”) insurance limits. While we monitor daily the cash balances in our operating accounts and adjust the cash balances as appropriate, these cash balances could be impacted if the underlying financial institutions fail or</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5" w:right="359" w:bottom="1440" w:gutter="0" w:footer="0" w:header="0"/>
        </w:sectPr>
      </w:pPr>
    </w:p>
    <w:bookmarkStart w:id="65" w:name="page66"/>
    <w:bookmarkEnd w:id="65"/>
    <w:p>
      <w:pPr>
        <w:ind w:right="620"/>
        <w:spacing w:after="0" w:line="282" w:lineRule="auto"/>
        <w:rPr>
          <w:sz w:val="20"/>
          <w:szCs w:val="20"/>
          <w:color w:val="auto"/>
        </w:rPr>
      </w:pPr>
      <w:r>
        <w:rPr>
          <w:rFonts w:ascii="Times New Roman" w:cs="Times New Roman" w:eastAsia="Times New Roman" w:hAnsi="Times New Roman"/>
          <w:sz w:val="18"/>
          <w:szCs w:val="18"/>
          <w:color w:val="auto"/>
        </w:rPr>
        <w:t>become subject to other adverse conditions in the financial markets. To date, we have experienced no loss or lack of access to cash in our operating accounts.</w:t>
      </w:r>
    </w:p>
    <w:p>
      <w:pPr>
        <w:spacing w:after="0" w:line="131"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are vulnerable to interruption or loss because of climate change, natural disasters, global or regional health pandemics or epidemics, terrorist acts and other events beyond our control, which has impacted and could in the future adversely affect our business.</w:t>
      </w:r>
    </w:p>
    <w:p>
      <w:pPr>
        <w:spacing w:after="0" w:line="159" w:lineRule="exact"/>
        <w:rPr>
          <w:sz w:val="20"/>
          <w:szCs w:val="20"/>
          <w:color w:val="auto"/>
        </w:rPr>
      </w:pPr>
    </w:p>
    <w:p>
      <w:pPr>
        <w:ind w:right="180" w:firstLine="255"/>
        <w:spacing w:after="0" w:line="256" w:lineRule="auto"/>
        <w:rPr>
          <w:sz w:val="20"/>
          <w:szCs w:val="20"/>
          <w:color w:val="auto"/>
        </w:rPr>
      </w:pPr>
      <w:r>
        <w:rPr>
          <w:rFonts w:ascii="Times New Roman" w:cs="Times New Roman" w:eastAsia="Times New Roman" w:hAnsi="Times New Roman"/>
          <w:sz w:val="18"/>
          <w:szCs w:val="18"/>
          <w:color w:val="auto"/>
        </w:rPr>
        <w:t>Unexpected events beyond our control, including as a result of responses to epidemics or pandemics; fires or explosions; natural disasters, such as hurricanes, floods, tornadoes and earthquakes; war or terrorist activities (including the conflicts in Russia-Ukraine and the Middle East); unplanned outages; supply disruptions; and failures of equipment or systems, including telecommunications systems, or the failure to take adequate steps to mitigate the likelihood or potential impact of such events, could significantly disrupt our operations, delay or prevent product manufacturing and shipment for the time required to repair, rebuild or replace our manufacturing facilities, which could be lengthy, result in large expenses to repair or replace the facilities, and adversely affect our business, financial condition and results of operation.</w:t>
      </w:r>
    </w:p>
    <w:p>
      <w:pPr>
        <w:spacing w:after="0" w:line="187" w:lineRule="exact"/>
        <w:rPr>
          <w:sz w:val="20"/>
          <w:szCs w:val="20"/>
          <w:color w:val="auto"/>
        </w:rPr>
      </w:pPr>
    </w:p>
    <w:p>
      <w:pPr>
        <w:ind w:firstLine="255"/>
        <w:spacing w:after="0" w:line="252" w:lineRule="auto"/>
        <w:rPr>
          <w:sz w:val="20"/>
          <w:szCs w:val="20"/>
          <w:color w:val="auto"/>
        </w:rPr>
      </w:pPr>
      <w:r>
        <w:rPr>
          <w:rFonts w:ascii="Times New Roman" w:cs="Times New Roman" w:eastAsia="Times New Roman" w:hAnsi="Times New Roman"/>
          <w:sz w:val="18"/>
          <w:szCs w:val="18"/>
          <w:color w:val="auto"/>
        </w:rPr>
        <w:t>Moreover, global climate change could result in certain types of natural disasters occurring more frequently or with more intense effects. The impacts of climate change may include physical risks (such as frequency and severity of extreme weather conditions), social and human effects (such as population dislocations or harm to health and well-being), compliance costs, transition risks, shifts in market trends, and other adverse effects. Such impacts may disrupt parties in our supply chain, our customers, and our operations. We have facilities in countries around the world, including two manufacturing facilities in Madison, Wisconsin and Chengdu, China, each of which is equipped to manufacture unique components of our products. We do not maintain backup manufacturing facilities for any of our manufacturing facilities or for our IT facilities, so we depend on each of our current facilities for the continued operation of our business. In addition, we conduct a significant portion of other activities, including administration and data processing, at facilities located in California, which has experienced major earthquakes and fires in the past, as well as other natural disasters. Chengdu, China, where one of our manufacturing facilities is located, has also experienced major earthquakes in the past. We do not carry earthquake insurance. Further, concerns about terrorism, the effects of a terrorist attack, political turmoil or an epidemic outbreak could have a negative effect on our operations and the operations of our suppliers and customers and the ability to travel, which could harm our business, financial condition and results of operations. For example, the COVID-19 pandemic and its effects on the global economic environment adversely impacted the pace at which our backlog converted to revenue due to delays in deliveries and installations. Additionally, China has suffered health epidemics including COVID-19, which could adversely affect our operations in China, including our manufacturing operations in Chengdu, as well as the operations of the JV and those of our customers. For example, as a result of COVID-19 related restrictions in China, sales in China decreased and we experienced delays in the JV obtaining certain necessarily regulatory approvals.</w:t>
      </w:r>
    </w:p>
    <w:p>
      <w:pPr>
        <w:spacing w:after="0" w:line="196" w:lineRule="exact"/>
        <w:rPr>
          <w:sz w:val="20"/>
          <w:szCs w:val="20"/>
          <w:color w:val="auto"/>
        </w:rPr>
      </w:pPr>
    </w:p>
    <w:p>
      <w:pPr>
        <w:ind w:firstLine="255"/>
        <w:spacing w:after="0" w:line="252" w:lineRule="auto"/>
        <w:rPr>
          <w:sz w:val="20"/>
          <w:szCs w:val="20"/>
          <w:color w:val="auto"/>
        </w:rPr>
      </w:pPr>
      <w:r>
        <w:rPr>
          <w:rFonts w:ascii="Times New Roman" w:cs="Times New Roman" w:eastAsia="Times New Roman" w:hAnsi="Times New Roman"/>
          <w:sz w:val="18"/>
          <w:szCs w:val="18"/>
          <w:color w:val="auto"/>
        </w:rPr>
        <w:t>In addition, risks associated with climate change are subject to increasing societal, regulatory and political focus in the U.S. and globally. While the effects of climate change in the near-and long-term are difficult to predict, shifts in weather patterns caused by climate change are expected to increase the frequency, severity, or duration of certain adverse weather conditions and natural disasters, such as hurricanes, tornadoes, earthquakes, wildfires, droughts, extreme temperatures, or flooding, which could cause more significant business and supply chain interruptions, damage to our products and facilities as well as the infrastructure of hospitals, medical care facilities, and other customers, reduced workforce availability, increased costs of raw materials and components, increased liabilities, and decreased revenues than what we have experienced in the past from such events. In addition, increased public concern over climate change has and could result in new legal or regulatory requirements designed to mitigate the effects of climate change, including regulating greenhouse gas emissions, alternative energy policies, and sustainability initiatives. Although the SEC issued an order implementing a stay of its final climate-related disclosure rules, there have also been substantial legislative and regulatory developments on climate-related issues, including proposed, issued and implemented legislation and rulemakings that would require companies to assess and/or disclose climate metrics, risks, opportunities, policies and practices by both the Securities and Exchange Commission and California. These initiatives could result in the adoption of more stringent environmental laws and regulations or stricter enforcement of existing laws and regulations, which could result in increased compliance burden and costs to meet such regulatory obligations and could also impact how we source raw materials from suppliers, our manufacturing operations, and how we distribute our products. There also may be increasing scrutiny and changing expectations from the market and other stakeholders with respect to Environmental, Social, and Governance practices. Any such developments could have a significant effect on our operating and financial decisions, including those involving capital expenditures to comply with new regulatory requirements or stakeholder expectations, which could harm our business, financial condition and results of operations.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interpretation or application of generally accepted accounting principles may adversely affect our operating results.</w:t>
      </w:r>
    </w:p>
    <w:p>
      <w:pPr>
        <w:spacing w:after="0" w:line="189" w:lineRule="exact"/>
        <w:rPr>
          <w:sz w:val="20"/>
          <w:szCs w:val="20"/>
          <w:color w:val="auto"/>
        </w:rPr>
      </w:pPr>
    </w:p>
    <w:p>
      <w:pPr>
        <w:jc w:val="both"/>
        <w:ind w:right="260" w:firstLine="255"/>
        <w:spacing w:after="0" w:line="266" w:lineRule="auto"/>
        <w:rPr>
          <w:sz w:val="20"/>
          <w:szCs w:val="20"/>
          <w:color w:val="auto"/>
        </w:rPr>
      </w:pPr>
      <w:r>
        <w:rPr>
          <w:rFonts w:ascii="Times New Roman" w:cs="Times New Roman" w:eastAsia="Times New Roman" w:hAnsi="Times New Roman"/>
          <w:sz w:val="18"/>
          <w:szCs w:val="18"/>
          <w:color w:val="auto"/>
        </w:rPr>
        <w:t>We prepare our financial statements to conform to U.S. GAAP. These principles are subject to interpretation by the Financial Accounting Standards Board, American Institute of Certified Public Accountants, the Public Company Accounting Oversight Board, the Securities and Exchange Commission and various other regulatory or accounting bodies. A change in interpretations of, or our</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66" w:name="page67"/>
    <w:bookmarkEnd w:id="66"/>
    <w:p>
      <w:pPr>
        <w:ind w:right="40"/>
        <w:spacing w:after="0" w:line="258" w:lineRule="auto"/>
        <w:rPr>
          <w:sz w:val="20"/>
          <w:szCs w:val="20"/>
          <w:color w:val="auto"/>
        </w:rPr>
      </w:pPr>
      <w:r>
        <w:rPr>
          <w:rFonts w:ascii="Times New Roman" w:cs="Times New Roman" w:eastAsia="Times New Roman" w:hAnsi="Times New Roman"/>
          <w:sz w:val="18"/>
          <w:szCs w:val="18"/>
          <w:color w:val="auto"/>
        </w:rPr>
        <w:t>application of, these principles can have a significant effect on our reported results and may even affect our reporting of transactions completed before a change is announced. Additionally, as we are required to adopt new accounting standards, our methods of accounting for certain items may change, which could cause our results of operations to fluctuate from period to period. Under the previous accounting guidance, we recognized system revenue upon acceptance when and if we have installation responsibilities. If circumstances change over time or interpretation of the revenue recognition rules change, we could be required to adjust the timing of recognizing revenue and our financial results could suffer.</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not paid dividends in the past and do not expect to pay dividends in the foreseeable future.</w:t>
      </w:r>
    </w:p>
    <w:p>
      <w:pPr>
        <w:spacing w:after="0" w:line="189"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future earnings for the operation and expansion of our business and, therefore, do not anticipate declaring or paying cash dividends in the foreseeable future. The payment of dividends will be at the discretion of our board of directors and will depend on our results of operations, capital requirements, financial condition, prospects, contractual arrangements, and other factors our board of directors may deem relevant. If we do not pay dividends, a return on a stockholders’ investment will only occur if our stock price appreciates.</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Trading Plans of Directors and Executive Officers</w:t>
      </w:r>
    </w:p>
    <w:p>
      <w:pPr>
        <w:spacing w:after="0" w:line="229" w:lineRule="exact"/>
        <w:rPr>
          <w:sz w:val="20"/>
          <w:szCs w:val="20"/>
          <w:color w:val="auto"/>
        </w:rPr>
      </w:pPr>
    </w:p>
    <w:p>
      <w:pPr>
        <w:ind w:right="640" w:firstLine="255"/>
        <w:spacing w:after="0" w:line="282" w:lineRule="auto"/>
        <w:rPr>
          <w:sz w:val="20"/>
          <w:szCs w:val="20"/>
          <w:color w:val="auto"/>
        </w:rPr>
      </w:pPr>
      <w:r>
        <w:rPr>
          <w:rFonts w:ascii="Times New Roman" w:cs="Times New Roman" w:eastAsia="Times New Roman" w:hAnsi="Times New Roman"/>
          <w:sz w:val="18"/>
          <w:szCs w:val="18"/>
          <w:color w:val="auto"/>
        </w:rPr>
        <w:t>During the second quarter of year fiscal 2025, no director or officer, as defined in Rule 16a-1(f), adopted or terminated a “Rule 10b5-1 trading arrangement” or a “non-Rule 10b5-1 trading arrangement,” each as defined in Regulation S-K Item 408.</w:t>
      </w:r>
    </w:p>
    <w:p>
      <w:pPr>
        <w:spacing w:after="0" w:line="1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69" w:right="41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38"/>
        </w:trPr>
        <w:tc>
          <w:tcPr>
            <w:tcW w:w="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5720" w:type="dxa"/>
            <w:vAlign w:val="bottom"/>
            <w:gridSpan w:val="20"/>
          </w:tcPr>
          <w:p>
            <w:pPr>
              <w:ind w:left="2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353"/>
        </w:trPr>
        <w:tc>
          <w:tcPr>
            <w:tcW w:w="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3"/>
        </w:trPr>
        <w:tc>
          <w:tcPr>
            <w:tcW w:w="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No.</w:t>
            </w:r>
          </w:p>
        </w:tc>
        <w:tc>
          <w:tcPr>
            <w:tcW w:w="2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380" w:type="dxa"/>
            <w:vAlign w:val="bottom"/>
            <w:tcBorders>
              <w:bottom w:val="single" w:sz="8" w:color="auto"/>
            </w:tcBorders>
            <w:gridSpan w:val="17"/>
          </w:tcPr>
          <w:p>
            <w:pPr>
              <w:ind w:left="2080"/>
              <w:spacing w:after="0"/>
              <w:rPr>
                <w:sz w:val="20"/>
                <w:szCs w:val="20"/>
                <w:color w:val="auto"/>
              </w:rPr>
            </w:pPr>
            <w:r>
              <w:rPr>
                <w:rFonts w:ascii="Times New Roman" w:cs="Times New Roman" w:eastAsia="Times New Roman" w:hAnsi="Times New Roman"/>
                <w:sz w:val="14"/>
                <w:szCs w:val="14"/>
                <w:b w:val="1"/>
                <w:bCs w:val="1"/>
                <w:color w:val="auto"/>
              </w:rPr>
              <w:t>Exhibit Description</w:t>
            </w:r>
          </w:p>
        </w:tc>
      </w:tr>
      <w:tr>
        <w:trPr>
          <w:trHeight w:val="291"/>
        </w:trPr>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4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Separation Agreement and General Release by and between Registrant</w:t>
            </w:r>
          </w:p>
        </w:tc>
        <w:tc>
          <w:tcPr>
            <w:tcW w:w="240" w:type="dxa"/>
            <w:vAlign w:val="bottom"/>
            <w:gridSpan w:val="4"/>
          </w:tcPr>
          <w:p>
            <w:pPr>
              <w:spacing w:after="0"/>
              <w:rPr>
                <w:sz w:val="24"/>
                <w:szCs w:val="24"/>
                <w:color w:val="auto"/>
              </w:rPr>
            </w:pPr>
          </w:p>
        </w:tc>
      </w:tr>
      <w:tr>
        <w:trPr>
          <w:trHeight w:val="196"/>
        </w:trPr>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4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and Michael Hoge, dated January 6, 2025.</w:t>
            </w:r>
          </w:p>
        </w:tc>
        <w:tc>
          <w:tcPr>
            <w:tcW w:w="20" w:type="dxa"/>
            <w:vAlign w:val="bottom"/>
            <w:tcBorders>
              <w:bottom w:val="single" w:sz="8" w:color="0000EE"/>
            </w:tcBorders>
          </w:tcPr>
          <w:p>
            <w:pPr>
              <w:spacing w:after="0"/>
              <w:rPr>
                <w:sz w:val="17"/>
                <w:szCs w:val="17"/>
                <w:color w:val="auto"/>
              </w:rPr>
            </w:pPr>
          </w:p>
        </w:tc>
        <w:tc>
          <w:tcPr>
            <w:tcW w:w="2320" w:type="dxa"/>
            <w:vAlign w:val="bottom"/>
            <w:gridSpan w:val="10"/>
          </w:tcPr>
          <w:p>
            <w:pPr>
              <w:spacing w:after="0"/>
              <w:rPr>
                <w:sz w:val="17"/>
                <w:szCs w:val="17"/>
                <w:color w:val="auto"/>
              </w:rPr>
            </w:pPr>
          </w:p>
        </w:tc>
      </w:tr>
      <w:tr>
        <w:trPr>
          <w:trHeight w:val="318"/>
        </w:trPr>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Executive Employment Agreement by and between Registrant and</w:t>
            </w:r>
          </w:p>
        </w:tc>
        <w:tc>
          <w:tcPr>
            <w:tcW w:w="540" w:type="dxa"/>
            <w:vAlign w:val="bottom"/>
            <w:gridSpan w:val="8"/>
          </w:tcPr>
          <w:p>
            <w:pPr>
              <w:spacing w:after="0"/>
              <w:rPr>
                <w:sz w:val="24"/>
                <w:szCs w:val="24"/>
                <w:color w:val="auto"/>
              </w:rPr>
            </w:pPr>
          </w:p>
        </w:tc>
      </w:tr>
      <w:tr>
        <w:trPr>
          <w:trHeight w:val="196"/>
        </w:trPr>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Suzanne Winter, dated February 3, 2025</w:t>
            </w:r>
          </w:p>
        </w:tc>
      </w:tr>
      <w:tr>
        <w:trPr>
          <w:trHeight w:val="20"/>
        </w:trPr>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tcBorders>
              <w:right w:val="single" w:sz="8" w:color="0000EE"/>
            </w:tcBorders>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Executive Employment Agreement by and between Registrant and Ali</w:t>
            </w:r>
          </w:p>
        </w:tc>
        <w:tc>
          <w:tcPr>
            <w:tcW w:w="260" w:type="dxa"/>
            <w:vAlign w:val="bottom"/>
            <w:gridSpan w:val="5"/>
          </w:tcPr>
          <w:p>
            <w:pPr>
              <w:spacing w:after="0"/>
              <w:rPr>
                <w:sz w:val="24"/>
                <w:szCs w:val="24"/>
                <w:color w:val="auto"/>
              </w:rPr>
            </w:pPr>
          </w:p>
        </w:tc>
      </w:tr>
      <w:tr>
        <w:trPr>
          <w:trHeight w:val="196"/>
        </w:trPr>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0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Pervaiz, dated February 3, 2025</w:t>
            </w:r>
          </w:p>
        </w:tc>
        <w:tc>
          <w:tcPr>
            <w:tcW w:w="20" w:type="dxa"/>
            <w:vAlign w:val="bottom"/>
            <w:tcBorders>
              <w:bottom w:val="single" w:sz="8" w:color="0000EE"/>
            </w:tcBorders>
          </w:tcPr>
          <w:p>
            <w:pPr>
              <w:spacing w:after="0"/>
              <w:rPr>
                <w:sz w:val="17"/>
                <w:szCs w:val="17"/>
                <w:color w:val="auto"/>
              </w:rPr>
            </w:pPr>
          </w:p>
        </w:tc>
        <w:tc>
          <w:tcPr>
            <w:tcW w:w="3060" w:type="dxa"/>
            <w:vAlign w:val="bottom"/>
            <w:gridSpan w:val="13"/>
          </w:tcPr>
          <w:p>
            <w:pPr>
              <w:spacing w:after="0"/>
              <w:rPr>
                <w:sz w:val="17"/>
                <w:szCs w:val="17"/>
                <w:color w:val="auto"/>
              </w:rPr>
            </w:pPr>
          </w:p>
        </w:tc>
      </w:tr>
      <w:tr>
        <w:trPr>
          <w:trHeight w:val="318"/>
        </w:trPr>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Executive Employment Agreement by and between Registrant and</w:t>
            </w:r>
          </w:p>
        </w:tc>
        <w:tc>
          <w:tcPr>
            <w:tcW w:w="540" w:type="dxa"/>
            <w:vAlign w:val="bottom"/>
            <w:gridSpan w:val="8"/>
          </w:tcPr>
          <w:p>
            <w:pPr>
              <w:spacing w:after="0"/>
              <w:rPr>
                <w:sz w:val="24"/>
                <w:szCs w:val="24"/>
                <w:color w:val="auto"/>
              </w:rPr>
            </w:pPr>
          </w:p>
        </w:tc>
      </w:tr>
      <w:tr>
        <w:trPr>
          <w:trHeight w:val="196"/>
        </w:trPr>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0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Sandeep Chalke, dated February3, 2025</w:t>
            </w:r>
          </w:p>
        </w:tc>
        <w:tc>
          <w:tcPr>
            <w:tcW w:w="2480" w:type="dxa"/>
            <w:vAlign w:val="bottom"/>
            <w:gridSpan w:val="12"/>
          </w:tcPr>
          <w:p>
            <w:pPr>
              <w:spacing w:after="0"/>
              <w:rPr>
                <w:sz w:val="17"/>
                <w:szCs w:val="17"/>
                <w:color w:val="auto"/>
              </w:rPr>
            </w:pPr>
          </w:p>
        </w:tc>
      </w:tr>
      <w:tr>
        <w:trPr>
          <w:trHeight w:val="317"/>
        </w:trPr>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Executive Employment Agreement by and between Registrant and Jesse</w:t>
            </w:r>
          </w:p>
        </w:tc>
        <w:tc>
          <w:tcPr>
            <w:tcW w:w="120" w:type="dxa"/>
            <w:vAlign w:val="bottom"/>
            <w:gridSpan w:val="3"/>
          </w:tcPr>
          <w:p>
            <w:pPr>
              <w:spacing w:after="0"/>
              <w:rPr>
                <w:sz w:val="24"/>
                <w:szCs w:val="24"/>
                <w:color w:val="auto"/>
              </w:rPr>
            </w:pPr>
          </w:p>
        </w:tc>
      </w:tr>
      <w:tr>
        <w:trPr>
          <w:trHeight w:val="196"/>
        </w:trPr>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8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Chew, dated February 3, 2025</w:t>
            </w:r>
          </w:p>
        </w:tc>
        <w:tc>
          <w:tcPr>
            <w:tcW w:w="20" w:type="dxa"/>
            <w:vAlign w:val="bottom"/>
            <w:tcBorders>
              <w:bottom w:val="single" w:sz="8" w:color="0000EE"/>
            </w:tcBorders>
          </w:tcPr>
          <w:p>
            <w:pPr>
              <w:spacing w:after="0"/>
              <w:rPr>
                <w:sz w:val="17"/>
                <w:szCs w:val="17"/>
                <w:color w:val="auto"/>
              </w:rPr>
            </w:pPr>
          </w:p>
        </w:tc>
        <w:tc>
          <w:tcPr>
            <w:tcW w:w="3180" w:type="dxa"/>
            <w:vAlign w:val="bottom"/>
            <w:gridSpan w:val="15"/>
          </w:tcPr>
          <w:p>
            <w:pPr>
              <w:spacing w:after="0"/>
              <w:rPr>
                <w:sz w:val="17"/>
                <w:szCs w:val="17"/>
                <w:color w:val="auto"/>
              </w:rPr>
            </w:pPr>
          </w:p>
        </w:tc>
      </w:tr>
      <w:tr>
        <w:trPr>
          <w:trHeight w:val="425"/>
        </w:trPr>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Rule 13a-14(a) of the</w:t>
            </w:r>
          </w:p>
        </w:tc>
        <w:tc>
          <w:tcPr>
            <w:tcW w:w="20" w:type="dxa"/>
            <w:vAlign w:val="bottom"/>
          </w:tcPr>
          <w:p>
            <w:pPr>
              <w:spacing w:after="0"/>
              <w:rPr>
                <w:sz w:val="24"/>
                <w:szCs w:val="24"/>
                <w:color w:val="auto"/>
              </w:rPr>
            </w:pPr>
          </w:p>
        </w:tc>
      </w:tr>
      <w:tr>
        <w:trPr>
          <w:trHeight w:val="196"/>
        </w:trPr>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Securities Exchange Act of 1934, as amended.</w:t>
            </w:r>
          </w:p>
        </w:tc>
      </w:tr>
      <w:tr>
        <w:trPr>
          <w:trHeight w:val="20"/>
        </w:trPr>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0" w:type="dxa"/>
            <w:vAlign w:val="bottom"/>
            <w:gridSpan w:val="2"/>
            <w:shd w:val="clear" w:color="auto" w:fill="0000FF"/>
          </w:tcPr>
          <w:p>
            <w:pPr>
              <w:spacing w:after="0" w:line="20" w:lineRule="exact"/>
              <w:rPr>
                <w:sz w:val="1"/>
                <w:szCs w:val="1"/>
                <w:color w:val="auto"/>
              </w:rPr>
            </w:pPr>
          </w:p>
        </w:tc>
        <w:tc>
          <w:tcPr>
            <w:tcW w:w="1160" w:type="dxa"/>
            <w:vAlign w:val="bottom"/>
            <w:tcBorders>
              <w:right w:val="single" w:sz="8" w:color="0000EE"/>
            </w:tcBorders>
            <w:gridSpan w:val="6"/>
            <w:shd w:val="clear" w:color="auto" w:fill="0000FF"/>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18"/>
        </w:trPr>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2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Rule 13a-14(a) of the</w:t>
            </w:r>
          </w:p>
        </w:tc>
        <w:tc>
          <w:tcPr>
            <w:tcW w:w="60" w:type="dxa"/>
            <w:vAlign w:val="bottom"/>
            <w:gridSpan w:val="2"/>
          </w:tcPr>
          <w:p>
            <w:pPr>
              <w:spacing w:after="0"/>
              <w:rPr>
                <w:sz w:val="24"/>
                <w:szCs w:val="24"/>
                <w:color w:val="auto"/>
              </w:rPr>
            </w:pPr>
          </w:p>
        </w:tc>
      </w:tr>
      <w:tr>
        <w:trPr>
          <w:trHeight w:val="196"/>
        </w:trPr>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Securities Exchange Act of 1934, as amended.</w:t>
            </w:r>
          </w:p>
        </w:tc>
      </w:tr>
      <w:tr>
        <w:trPr>
          <w:trHeight w:val="20"/>
        </w:trPr>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0" w:type="dxa"/>
            <w:vAlign w:val="bottom"/>
            <w:gridSpan w:val="2"/>
            <w:shd w:val="clear" w:color="auto" w:fill="0000FF"/>
          </w:tcPr>
          <w:p>
            <w:pPr>
              <w:spacing w:after="0" w:line="20" w:lineRule="exact"/>
              <w:rPr>
                <w:sz w:val="1"/>
                <w:szCs w:val="1"/>
                <w:color w:val="auto"/>
              </w:rPr>
            </w:pPr>
          </w:p>
        </w:tc>
        <w:tc>
          <w:tcPr>
            <w:tcW w:w="1160" w:type="dxa"/>
            <w:vAlign w:val="bottom"/>
            <w:tcBorders>
              <w:right w:val="single" w:sz="8" w:color="0000EE"/>
            </w:tcBorders>
            <w:gridSpan w:val="6"/>
            <w:shd w:val="clear" w:color="auto" w:fill="0000FF"/>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r>
      <w:tr>
        <w:trPr>
          <w:trHeight w:val="318"/>
        </w:trPr>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and Chief Financial Officer</w:t>
            </w:r>
          </w:p>
        </w:tc>
        <w:tc>
          <w:tcPr>
            <w:tcW w:w="440" w:type="dxa"/>
            <w:vAlign w:val="bottom"/>
            <w:gridSpan w:val="7"/>
          </w:tcPr>
          <w:p>
            <w:pPr>
              <w:spacing w:after="0"/>
              <w:rPr>
                <w:sz w:val="24"/>
                <w:szCs w:val="24"/>
                <w:color w:val="auto"/>
              </w:rPr>
            </w:pPr>
          </w:p>
        </w:tc>
      </w:tr>
      <w:tr>
        <w:trPr>
          <w:trHeight w:val="196"/>
        </w:trPr>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00" w:type="dxa"/>
            <w:vAlign w:val="bottom"/>
            <w:tcBorders>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Pursuant to Rule 13a-14(b) of the Securities Exchange Act of 1934, as</w:t>
            </w:r>
          </w:p>
        </w:tc>
        <w:tc>
          <w:tcPr>
            <w:tcW w:w="280" w:type="dxa"/>
            <w:vAlign w:val="bottom"/>
            <w:gridSpan w:val="6"/>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8"/>
              </w:rPr>
              <w:t>amended, and 18 U.S.C. 1350.</w:t>
            </w:r>
          </w:p>
        </w:tc>
        <w:tc>
          <w:tcPr>
            <w:tcW w:w="3180" w:type="dxa"/>
            <w:vAlign w:val="bottom"/>
            <w:gridSpan w:val="15"/>
          </w:tcPr>
          <w:p>
            <w:pPr>
              <w:spacing w:after="0"/>
              <w:rPr>
                <w:sz w:val="17"/>
                <w:szCs w:val="17"/>
                <w:color w:val="auto"/>
              </w:rPr>
            </w:pPr>
          </w:p>
        </w:tc>
      </w:tr>
      <w:tr>
        <w:trPr>
          <w:trHeight w:val="340"/>
        </w:trPr>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w:t>
            </w:r>
          </w:p>
        </w:tc>
      </w:tr>
      <w:tr>
        <w:trPr>
          <w:trHeight w:val="216"/>
        </w:trPr>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 the Interactive Data File because its XBRL tags are embedded within</w:t>
            </w:r>
          </w:p>
        </w:tc>
      </w:tr>
      <w:tr>
        <w:trPr>
          <w:trHeight w:val="234"/>
        </w:trPr>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3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the Inline XBRL document.</w:t>
            </w:r>
          </w:p>
        </w:tc>
      </w:tr>
      <w:tr>
        <w:trPr>
          <w:trHeight w:val="338"/>
        </w:trPr>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101.SCH</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w:t>
            </w:r>
          </w:p>
        </w:tc>
      </w:tr>
      <w:tr>
        <w:trPr>
          <w:trHeight w:val="142"/>
        </w:trPr>
        <w:tc>
          <w:tcPr>
            <w:tcW w:w="8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Form</w:t>
            </w:r>
          </w:p>
        </w:tc>
        <w:tc>
          <w:tcPr>
            <w:tcW w:w="100" w:type="dxa"/>
            <w:vAlign w:val="bottom"/>
          </w:tcPr>
          <w:p>
            <w:pPr>
              <w:spacing w:after="0"/>
              <w:rPr>
                <w:sz w:val="12"/>
                <w:szCs w:val="12"/>
                <w:color w:val="auto"/>
              </w:rPr>
            </w:pPr>
          </w:p>
        </w:tc>
        <w:tc>
          <w:tcPr>
            <w:tcW w:w="9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File No.</w:t>
            </w:r>
          </w:p>
        </w:tc>
        <w:tc>
          <w:tcPr>
            <w:tcW w:w="100" w:type="dxa"/>
            <w:vAlign w:val="bottom"/>
          </w:tcPr>
          <w:p>
            <w:pPr>
              <w:spacing w:after="0"/>
              <w:rPr>
                <w:sz w:val="12"/>
                <w:szCs w:val="12"/>
                <w:color w:val="auto"/>
              </w:rPr>
            </w:pPr>
          </w:p>
        </w:tc>
        <w:tc>
          <w:tcPr>
            <w:tcW w:w="7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2"/>
                <w:szCs w:val="12"/>
                <w:color w:val="auto"/>
              </w:rPr>
            </w:pPr>
          </w:p>
        </w:tc>
        <w:tc>
          <w:tcPr>
            <w:tcW w:w="8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Filing Date</w:t>
            </w:r>
          </w:p>
        </w:tc>
        <w:tc>
          <w:tcPr>
            <w:tcW w:w="120" w:type="dxa"/>
            <w:vAlign w:val="bottom"/>
          </w:tcPr>
          <w:p>
            <w:pPr>
              <w:spacing w:after="0"/>
              <w:rPr>
                <w:sz w:val="12"/>
                <w:szCs w:val="12"/>
                <w:color w:val="auto"/>
              </w:rPr>
            </w:pPr>
          </w:p>
        </w:tc>
        <w:tc>
          <w:tcPr>
            <w:tcW w:w="9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Herewith</w:t>
            </w:r>
          </w:p>
        </w:tc>
      </w:tr>
      <w:tr>
        <w:trPr>
          <w:trHeight w:val="439"/>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553"/>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554"/>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553"/>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553"/>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553"/>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553"/>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553"/>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770"/>
        </w:trPr>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770"/>
        </w:trPr>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r>
    </w:tbl>
    <w:p>
      <w:pPr>
        <w:spacing w:after="0" w:line="103" w:lineRule="exact"/>
        <w:rPr>
          <w:sz w:val="20"/>
          <w:szCs w:val="20"/>
          <w:color w:val="auto"/>
        </w:rPr>
      </w:pPr>
    </w:p>
    <w:p>
      <w:pPr>
        <w:sectPr>
          <w:pgSz w:w="11900" w:h="16838" w:orient="portrait"/>
          <w:cols w:equalWidth="0" w:num="2">
            <w:col w:w="6420" w:space="120"/>
            <w:col w:w="4700"/>
          </w:cols>
          <w:pgMar w:left="320" w:top="1089" w:right="339" w:bottom="1440" w:gutter="0" w:footer="0" w:header="0"/>
        </w:sectPr>
      </w:pPr>
    </w:p>
    <w:p>
      <w:pPr>
        <w:ind w:left="1040" w:right="5560" w:hanging="1019"/>
        <w:spacing w:after="0" w:line="282" w:lineRule="auto"/>
        <w:tabs>
          <w:tab w:leader="none" w:pos="10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134" w:lineRule="exact"/>
        <w:rPr>
          <w:rFonts w:ascii="Times New Roman" w:cs="Times New Roman" w:eastAsia="Times New Roman" w:hAnsi="Times New Roman"/>
          <w:sz w:val="18"/>
          <w:szCs w:val="18"/>
          <w:color w:val="auto"/>
        </w:rPr>
      </w:pPr>
    </w:p>
    <w:p>
      <w:pPr>
        <w:ind w:right="1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certification attached as Exhibit 32.1 that accompanies this Quarterly Report on Form 10-Q is not deemed filed with the Securities and Exchange Commission and is not to be incorporated by reference into any filing of Accuray Incorporated under the Securities Act or the Securities Exchange Act of 1934, as amended, whether made before or after the date of this Quarterly Report on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-593725</wp:posOffset>
            </wp:positionV>
            <wp:extent cx="158559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585595"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68" w:name="page69"/>
    <w:bookmarkEnd w:id="68"/>
    <w:p>
      <w:pPr>
        <w:jc w:val="center"/>
        <w:ind w:right="-39"/>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firstLine="25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6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ACCURAY INCORPORATED</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5, 2025</w:t>
      </w:r>
    </w:p>
    <w:p>
      <w:pPr>
        <w:spacing w:after="0" w:line="27" w:lineRule="exact"/>
        <w:rPr>
          <w:sz w:val="20"/>
          <w:szCs w:val="20"/>
          <w:color w:val="auto"/>
        </w:rPr>
      </w:pPr>
    </w:p>
    <w:p>
      <w:pPr>
        <w:ind w:left="5740"/>
        <w:spacing w:after="0"/>
        <w:tabs>
          <w:tab w:leader="none" w:pos="6180" w:val="left"/>
        </w:tabs>
        <w:rPr>
          <w:sz w:val="20"/>
          <w:szCs w:val="20"/>
          <w:color w:val="auto"/>
        </w:rPr>
      </w:pPr>
      <w:r>
        <w:rPr>
          <w:rFonts w:ascii="Times New Roman" w:cs="Times New Roman" w:eastAsia="Times New Roman" w:hAnsi="Times New Roman"/>
          <w:sz w:val="18"/>
          <w:szCs w:val="18"/>
          <w:color w:val="auto"/>
        </w:rPr>
        <w:t>By:</w:t>
        <w:tab/>
        <w:t>/s/ SUZANNE WINTER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5715</wp:posOffset>
            </wp:positionV>
            <wp:extent cx="320611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ind w:left="6200"/>
        <w:spacing w:after="0"/>
        <w:rPr>
          <w:sz w:val="20"/>
          <w:szCs w:val="20"/>
          <w:color w:val="auto"/>
        </w:rPr>
      </w:pPr>
      <w:r>
        <w:rPr>
          <w:rFonts w:ascii="Times New Roman" w:cs="Times New Roman" w:eastAsia="Times New Roman" w:hAnsi="Times New Roman"/>
          <w:sz w:val="18"/>
          <w:szCs w:val="18"/>
          <w:color w:val="auto"/>
        </w:rPr>
        <w:t>Suzanne Winter</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740"/>
        <w:spacing w:after="0"/>
        <w:tabs>
          <w:tab w:leader="none" w:pos="6180" w:val="left"/>
        </w:tabs>
        <w:rPr>
          <w:sz w:val="20"/>
          <w:szCs w:val="20"/>
          <w:color w:val="auto"/>
        </w:rPr>
      </w:pPr>
      <w:r>
        <w:rPr>
          <w:rFonts w:ascii="Times New Roman" w:cs="Times New Roman" w:eastAsia="Times New Roman" w:hAnsi="Times New Roman"/>
          <w:sz w:val="18"/>
          <w:szCs w:val="18"/>
          <w:color w:val="auto"/>
        </w:rPr>
        <w:t>By:</w:t>
        <w:tab/>
        <w:t>/s/ ALI PERVAIZ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Ali Pervaiz</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Senior Vice President &amp; Chief Financial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69" w:name="page70"/>
    <w:bookmarkEnd w:id="69"/>
    <w:p>
      <w:pPr>
        <w:ind w:left="41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808480" cy="21463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clrChange>
                        <a:clrFrom>
                          <a:srgbClr val="FFFFFF"/>
                        </a:clrFrom>
                        <a:clrTo>
                          <a:srgbClr val="FFFFFF">
                            <a:alpha val="0"/>
                          </a:srgbClr>
                        </a:clrTo>
                      </a:clrChange>
                      <a:extLst>
                        <a:ext uri="{28A0092B-C50C-407E-A947-70E740481C1C}"/>
                      </a:extLst>
                    </a:blip>
                    <a:srcRect/>
                    <a:stretch>
                      <a:fillRect/>
                    </a:stretch>
                  </pic:blipFill>
                  <pic:spPr bwMode="auto">
                    <a:xfrm>
                      <a:off x="0" y="0"/>
                      <a:ext cx="1808480" cy="214630"/>
                    </a:xfrm>
                    <a:prstGeom prst="rect">
                      <a:avLst/>
                    </a:prstGeom>
                    <a:noFill/>
                  </pic:spPr>
                </pic:pic>
              </a:graphicData>
            </a:graphic>
          </wp:anchor>
        </w:drawing>
        <w:t>Exhibit 10.1</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1</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NUMPAGES 29</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SEPARATION AGREEMENT AND GENERAL RELEASE</w:t>
      </w:r>
    </w:p>
    <w:p>
      <w:pPr>
        <w:spacing w:after="0" w:line="200" w:lineRule="exact"/>
        <w:rPr>
          <w:sz w:val="20"/>
          <w:szCs w:val="20"/>
          <w:color w:val="auto"/>
        </w:rPr>
      </w:pPr>
    </w:p>
    <w:p>
      <w:pPr>
        <w:spacing w:after="0" w:line="236" w:lineRule="exact"/>
        <w:rPr>
          <w:sz w:val="20"/>
          <w:szCs w:val="20"/>
          <w:color w:val="auto"/>
        </w:rPr>
      </w:pPr>
    </w:p>
    <w:p>
      <w:pPr>
        <w:jc w:val="both"/>
        <w:ind w:firstLine="396"/>
        <w:spacing w:after="0" w:line="295" w:lineRule="auto"/>
        <w:rPr>
          <w:sz w:val="20"/>
          <w:szCs w:val="20"/>
          <w:color w:val="auto"/>
        </w:rPr>
      </w:pPr>
      <w:r>
        <w:rPr>
          <w:rFonts w:ascii="Times New Roman" w:cs="Times New Roman" w:eastAsia="Times New Roman" w:hAnsi="Times New Roman"/>
          <w:sz w:val="19"/>
          <w:szCs w:val="19"/>
          <w:color w:val="auto"/>
        </w:rPr>
        <w:t>This Separation Agreement and General Release (this “</w:t>
      </w:r>
      <w:r>
        <w:rPr>
          <w:rFonts w:ascii="Times New Roman" w:cs="Times New Roman" w:eastAsia="Times New Roman" w:hAnsi="Times New Roman"/>
          <w:sz w:val="19"/>
          <w:szCs w:val="19"/>
          <w:u w:val="single" w:color="auto"/>
          <w:color w:val="auto"/>
        </w:rPr>
        <w:t>Agreement</w:t>
      </w:r>
      <w:r>
        <w:rPr>
          <w:rFonts w:ascii="Times New Roman" w:cs="Times New Roman" w:eastAsia="Times New Roman" w:hAnsi="Times New Roman"/>
          <w:sz w:val="19"/>
          <w:szCs w:val="19"/>
          <w:color w:val="auto"/>
        </w:rPr>
        <w:t>”) is hereby entered into by and between Michael Hoge, an individual (“</w:t>
      </w:r>
      <w:r>
        <w:rPr>
          <w:rFonts w:ascii="Times New Roman" w:cs="Times New Roman" w:eastAsia="Times New Roman" w:hAnsi="Times New Roman"/>
          <w:sz w:val="19"/>
          <w:szCs w:val="19"/>
          <w:u w:val="single" w:color="auto"/>
          <w:color w:val="auto"/>
        </w:rPr>
        <w:t>Executive</w:t>
      </w:r>
      <w:r>
        <w:rPr>
          <w:rFonts w:ascii="Times New Roman" w:cs="Times New Roman" w:eastAsia="Times New Roman" w:hAnsi="Times New Roman"/>
          <w:sz w:val="19"/>
          <w:szCs w:val="19"/>
          <w:color w:val="auto"/>
        </w:rPr>
        <w:t>”), and Accuray Incorporated, a Delaware corporation, on behalf of itself and all of its subsidiaries (collectively, the “</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Recitals</w:t>
      </w:r>
    </w:p>
    <w:p>
      <w:pPr>
        <w:spacing w:after="0" w:line="220" w:lineRule="exact"/>
        <w:rPr>
          <w:sz w:val="20"/>
          <w:szCs w:val="20"/>
          <w:color w:val="auto"/>
        </w:rPr>
      </w:pPr>
    </w:p>
    <w:p>
      <w:pPr>
        <w:ind w:right="20" w:firstLine="404"/>
        <w:spacing w:after="0" w:line="269" w:lineRule="auto"/>
        <w:tabs>
          <w:tab w:leader="none" w:pos="791"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has been employed by the Company pursuant to an employment agreement by and between the Company and Executive effective as of January 1, 2023 (the “</w:t>
      </w:r>
      <w:r>
        <w:rPr>
          <w:rFonts w:ascii="Times New Roman" w:cs="Times New Roman" w:eastAsia="Times New Roman" w:hAnsi="Times New Roman"/>
          <w:sz w:val="20"/>
          <w:szCs w:val="20"/>
          <w:u w:val="single" w:color="auto"/>
          <w:color w:val="auto"/>
        </w:rPr>
        <w:t>Employment Agreement</w:t>
      </w:r>
      <w:r>
        <w:rPr>
          <w:rFonts w:ascii="Times New Roman" w:cs="Times New Roman" w:eastAsia="Times New Roman" w:hAnsi="Times New Roman"/>
          <w:sz w:val="20"/>
          <w:szCs w:val="20"/>
          <w:color w:val="auto"/>
        </w:rPr>
        <w:t>”), and currently is serving as SVP, Global Operations.</w:t>
      </w:r>
    </w:p>
    <w:p>
      <w:pPr>
        <w:spacing w:after="0" w:line="172" w:lineRule="exact"/>
        <w:rPr>
          <w:rFonts w:ascii="Times New Roman" w:cs="Times New Roman" w:eastAsia="Times New Roman" w:hAnsi="Times New Roman"/>
          <w:sz w:val="20"/>
          <w:szCs w:val="20"/>
          <w:color w:val="auto"/>
        </w:rPr>
      </w:pPr>
    </w:p>
    <w:p>
      <w:pPr>
        <w:jc w:val="both"/>
        <w:ind w:right="20" w:firstLine="404"/>
        <w:spacing w:after="0" w:line="254" w:lineRule="auto"/>
        <w:tabs>
          <w:tab w:leader="none" w:pos="791"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Executive’s employment with the Company and any of its parents, direct or indirect subsidiaries, affiliates, divisions, or related entities (collectively referred to herein as the “</w:t>
      </w:r>
      <w:r>
        <w:rPr>
          <w:rFonts w:ascii="Times New Roman" w:cs="Times New Roman" w:eastAsia="Times New Roman" w:hAnsi="Times New Roman"/>
          <w:sz w:val="20"/>
          <w:szCs w:val="20"/>
          <w:u w:val="single" w:color="auto"/>
          <w:color w:val="auto"/>
        </w:rPr>
        <w:t>Company and its Related Entities</w:t>
      </w:r>
      <w:r>
        <w:rPr>
          <w:rFonts w:ascii="Times New Roman" w:cs="Times New Roman" w:eastAsia="Times New Roman" w:hAnsi="Times New Roman"/>
          <w:sz w:val="20"/>
          <w:szCs w:val="20"/>
          <w:color w:val="auto"/>
        </w:rPr>
        <w:t>”) will be ended on the terms and conditions set forth in this Agreement.</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Agreement</w:t>
      </w:r>
    </w:p>
    <w:p>
      <w:pPr>
        <w:spacing w:after="0" w:line="220" w:lineRule="exact"/>
        <w:rPr>
          <w:sz w:val="20"/>
          <w:szCs w:val="20"/>
          <w:color w:val="auto"/>
        </w:rPr>
      </w:pPr>
    </w:p>
    <w:p>
      <w:pPr>
        <w:ind w:right="20" w:firstLine="639"/>
        <w:spacing w:after="0" w:line="269" w:lineRule="auto"/>
        <w:rPr>
          <w:sz w:val="20"/>
          <w:szCs w:val="20"/>
          <w:color w:val="auto"/>
        </w:rPr>
      </w:pPr>
      <w:r>
        <w:rPr>
          <w:rFonts w:ascii="Times New Roman" w:cs="Times New Roman" w:eastAsia="Times New Roman" w:hAnsi="Times New Roman"/>
          <w:sz w:val="20"/>
          <w:szCs w:val="20"/>
          <w:color w:val="auto"/>
        </w:rPr>
        <w:t>In consideration of the mutual promises contained herein and for other good and valuable consideration, the receipt and adequacy of which are hereby acknowledged, the parties hereby agree as follows:</w:t>
      </w:r>
    </w:p>
    <w:p>
      <w:pPr>
        <w:spacing w:after="0" w:line="155" w:lineRule="exact"/>
        <w:rPr>
          <w:sz w:val="20"/>
          <w:szCs w:val="20"/>
          <w:color w:val="auto"/>
        </w:rPr>
      </w:pPr>
    </w:p>
    <w:p>
      <w:pPr>
        <w:ind w:right="20" w:firstLine="757"/>
        <w:spacing w:after="0" w:line="273" w:lineRule="auto"/>
        <w:tabs>
          <w:tab w:leader="none" w:pos="1018" w:val="left"/>
        </w:tabs>
        <w:numPr>
          <w:ilvl w:val="0"/>
          <w:numId w:val="43"/>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u w:val="single" w:color="auto"/>
          <w:color w:val="auto"/>
        </w:rPr>
        <w:t>Effective Date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Except as otherwise provided herein, this Agreement shall be effective on the eighth day after it has been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executed by both of the parties (the “</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w:t>
      </w:r>
    </w:p>
    <w:p>
      <w:pPr>
        <w:spacing w:after="0" w:line="151" w:lineRule="exact"/>
        <w:rPr>
          <w:rFonts w:ascii="Times New Roman" w:cs="Times New Roman" w:eastAsia="Times New Roman" w:hAnsi="Times New Roman"/>
          <w:sz w:val="20"/>
          <w:szCs w:val="20"/>
          <w:b w:val="1"/>
          <w:bCs w:val="1"/>
          <w:u w:val="single" w:color="auto"/>
          <w:color w:val="auto"/>
        </w:rPr>
      </w:pPr>
    </w:p>
    <w:p>
      <w:pPr>
        <w:jc w:val="both"/>
        <w:ind w:firstLine="757"/>
        <w:spacing w:after="0" w:line="250" w:lineRule="auto"/>
        <w:tabs>
          <w:tab w:leader="none" w:pos="1018" w:val="left"/>
        </w:tabs>
        <w:numPr>
          <w:ilvl w:val="0"/>
          <w:numId w:val="43"/>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u w:val="single" w:color="auto"/>
          <w:color w:val="auto"/>
        </w:rPr>
        <w:t>End of Employment and Service as a Director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Executive’s employment with the Company and its Related Entities has ended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will end effective as January 6, 2025 (the “</w:t>
      </w:r>
      <w:r>
        <w:rPr>
          <w:rFonts w:ascii="Times New Roman" w:cs="Times New Roman" w:eastAsia="Times New Roman" w:hAnsi="Times New Roman"/>
          <w:sz w:val="20"/>
          <w:szCs w:val="20"/>
          <w:u w:val="single" w:color="auto"/>
          <w:color w:val="auto"/>
        </w:rPr>
        <w:t>Termination Date</w:t>
      </w:r>
      <w:r>
        <w:rPr>
          <w:rFonts w:ascii="Times New Roman" w:cs="Times New Roman" w:eastAsia="Times New Roman" w:hAnsi="Times New Roman"/>
          <w:sz w:val="20"/>
          <w:szCs w:val="20"/>
          <w:color w:val="auto"/>
        </w:rPr>
        <w:t>”). If Executive is an officer or a member of the Board of Directors of the Company, its Related Entities, or its joint venture in China (the “</w:t>
      </w:r>
      <w:r>
        <w:rPr>
          <w:rFonts w:ascii="Times New Roman" w:cs="Times New Roman" w:eastAsia="Times New Roman" w:hAnsi="Times New Roman"/>
          <w:sz w:val="20"/>
          <w:szCs w:val="20"/>
          <w:u w:val="single" w:color="auto"/>
          <w:color w:val="auto"/>
        </w:rPr>
        <w:t>Board</w:t>
      </w:r>
      <w:r>
        <w:rPr>
          <w:rFonts w:ascii="Times New Roman" w:cs="Times New Roman" w:eastAsia="Times New Roman" w:hAnsi="Times New Roman"/>
          <w:sz w:val="20"/>
          <w:szCs w:val="20"/>
          <w:color w:val="auto"/>
        </w:rPr>
        <w:t>”), Executive hereby voluntarily resigns from any such officer positions and the Board, effective as of the Termination Date.</w:t>
      </w:r>
    </w:p>
    <w:p>
      <w:pPr>
        <w:spacing w:after="0" w:line="175" w:lineRule="exact"/>
        <w:rPr>
          <w:rFonts w:ascii="Times New Roman" w:cs="Times New Roman" w:eastAsia="Times New Roman" w:hAnsi="Times New Roman"/>
          <w:sz w:val="20"/>
          <w:szCs w:val="20"/>
          <w:b w:val="1"/>
          <w:bCs w:val="1"/>
          <w:u w:val="single" w:color="auto"/>
          <w:color w:val="auto"/>
        </w:rPr>
      </w:pPr>
    </w:p>
    <w:p>
      <w:pPr>
        <w:jc w:val="both"/>
        <w:ind w:firstLine="757"/>
        <w:spacing w:after="0" w:line="246" w:lineRule="auto"/>
        <w:tabs>
          <w:tab w:leader="none" w:pos="1018" w:val="left"/>
        </w:tabs>
        <w:numPr>
          <w:ilvl w:val="0"/>
          <w:numId w:val="43"/>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u w:val="single" w:color="auto"/>
          <w:color w:val="auto"/>
        </w:rPr>
        <w:t>Continuation of Benefits After the Termination Date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Except as expressly provided in this Agreement or in the plan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documents governing the Company’s employee benefit plans, after the Termination Date, Executive will no longer be eligible for, receive, accrue, or participate in any other benefits or benefit plans provided by the Company and its Related Entities, including, without limitation, medical, dental and life insurance benefits, and the Company’s 401(k) retirement plan; provided, however, that nothing in this Agreement shall waive Executive’s right to any vested benefits, including vested amounts in the Company’s 401(k) retirement plan, which amounts shall be handled as provided in the plan.</w:t>
      </w:r>
    </w:p>
    <w:p>
      <w:pPr>
        <w:spacing w:after="0" w:line="178" w:lineRule="exact"/>
        <w:rPr>
          <w:rFonts w:ascii="Times New Roman" w:cs="Times New Roman" w:eastAsia="Times New Roman" w:hAnsi="Times New Roman"/>
          <w:sz w:val="20"/>
          <w:szCs w:val="20"/>
          <w:b w:val="1"/>
          <w:bCs w:val="1"/>
          <w:u w:val="single" w:color="auto"/>
          <w:color w:val="auto"/>
        </w:rPr>
      </w:pPr>
    </w:p>
    <w:p>
      <w:pPr>
        <w:jc w:val="both"/>
        <w:ind w:firstLine="757"/>
        <w:spacing w:after="0" w:line="246" w:lineRule="auto"/>
        <w:tabs>
          <w:tab w:leader="none" w:pos="1018" w:val="left"/>
        </w:tabs>
        <w:numPr>
          <w:ilvl w:val="0"/>
          <w:numId w:val="43"/>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u w:val="single" w:color="auto"/>
          <w:color w:val="auto"/>
        </w:rPr>
        <w:t>Payments Upon Termination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Executive will be entitled to receive payment of the following: (i) all earned but unpaid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compensation (including any accrued but unpaid vacation, as applicable) through the effective date of termination, payable on or before the termination date; and (ii) reimbursement, made in accordance with </w:t>
      </w:r>
      <w:r>
        <w:rPr>
          <w:rFonts w:ascii="Times New Roman" w:cs="Times New Roman" w:eastAsia="Times New Roman" w:hAnsi="Times New Roman"/>
          <w:sz w:val="20"/>
          <w:szCs w:val="20"/>
          <w:u w:val="single" w:color="auto"/>
          <w:color w:val="auto"/>
        </w:rPr>
        <w:t>Section 4(e)</w:t>
      </w:r>
      <w:r>
        <w:rPr>
          <w:rFonts w:ascii="Times New Roman" w:cs="Times New Roman" w:eastAsia="Times New Roman" w:hAnsi="Times New Roman"/>
          <w:sz w:val="20"/>
          <w:szCs w:val="20"/>
          <w:color w:val="auto"/>
        </w:rPr>
        <w:t xml:space="preserve"> of the Employment Agreement, of any monies advanced or incurred by Executive in connection with his/her employment for reasonable and necessary Company-related expenses incurred on or before the Termination Date. The provisions of this Agreement shall not waive or terminate any rights to compensation or vested benefits under the Company’s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171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72"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6"/>
          <w:szCs w:val="16"/>
          <w:b w:val="1"/>
          <w:bCs w:val="1"/>
          <w:color w:val="auto"/>
        </w:rPr>
        <w:t>E</w:t>
      </w:r>
      <w:r>
        <w:rPr>
          <w:rFonts w:ascii="Times New Roman" w:cs="Times New Roman" w:eastAsia="Times New Roman" w:hAnsi="Times New Roman"/>
          <w:sz w:val="10"/>
          <w:szCs w:val="10"/>
          <w:b w:val="1"/>
          <w:bCs w:val="1"/>
          <w:color w:val="auto"/>
        </w:rPr>
        <w:t>xecutive</w:t>
      </w:r>
      <w:r>
        <w:rPr>
          <w:rFonts w:ascii="Times New Roman" w:cs="Times New Roman" w:eastAsia="Times New Roman" w:hAnsi="Times New Roman"/>
          <w:sz w:val="16"/>
          <w:szCs w:val="16"/>
          <w:b w:val="1"/>
          <w:bCs w:val="1"/>
          <w:color w:val="auto"/>
        </w:rPr>
        <w:t xml:space="preserve"> E</w:t>
      </w:r>
      <w:r>
        <w:rPr>
          <w:rFonts w:ascii="Times New Roman" w:cs="Times New Roman" w:eastAsia="Times New Roman" w:hAnsi="Times New Roman"/>
          <w:sz w:val="10"/>
          <w:szCs w:val="10"/>
          <w:b w:val="1"/>
          <w:bCs w:val="1"/>
          <w:color w:val="auto"/>
        </w:rPr>
        <w:t>mployment</w:t>
      </w:r>
      <w:r>
        <w:rPr>
          <w:rFonts w:ascii="Times New Roman" w:cs="Times New Roman" w:eastAsia="Times New Roman" w:hAnsi="Times New Roman"/>
          <w:sz w:val="16"/>
          <w:szCs w:val="16"/>
          <w:b w:val="1"/>
          <w:bCs w:val="1"/>
          <w:color w:val="auto"/>
        </w:rPr>
        <w:t xml:space="preserve"> A</w:t>
      </w:r>
      <w:r>
        <w:rPr>
          <w:rFonts w:ascii="Times New Roman" w:cs="Times New Roman" w:eastAsia="Times New Roman" w:hAnsi="Times New Roman"/>
          <w:sz w:val="10"/>
          <w:szCs w:val="10"/>
          <w:b w:val="1"/>
          <w:bCs w:val="1"/>
          <w:color w:val="auto"/>
        </w:rPr>
        <w:t>gmt</w:t>
      </w:r>
      <w:r>
        <w:rPr>
          <w:rFonts w:ascii="Times New Roman" w:cs="Times New Roman" w:eastAsia="Times New Roman" w:hAnsi="Times New Roman"/>
          <w:sz w:val="16"/>
          <w:szCs w:val="16"/>
          <w:b w:val="1"/>
          <w:bCs w:val="1"/>
          <w:color w:val="auto"/>
        </w:rPr>
        <w:t xml:space="preserve"> S</w:t>
      </w:r>
      <w:r>
        <w:rPr>
          <w:rFonts w:ascii="Times New Roman" w:cs="Times New Roman" w:eastAsia="Times New Roman" w:hAnsi="Times New Roman"/>
          <w:sz w:val="10"/>
          <w:szCs w:val="10"/>
          <w:b w:val="1"/>
          <w:bCs w:val="1"/>
          <w:color w:val="auto"/>
        </w:rPr>
        <w:t>td</w:t>
      </w:r>
      <w:r>
        <w:rPr>
          <w:rFonts w:ascii="Times New Roman" w:cs="Times New Roman" w:eastAsia="Times New Roman" w:hAnsi="Times New Roman"/>
          <w:sz w:val="16"/>
          <w:szCs w:val="16"/>
          <w:b w:val="1"/>
          <w:bCs w:val="1"/>
          <w:color w:val="auto"/>
        </w:rPr>
        <w:t xml:space="preserve"> 11.1.22</w:t>
      </w:r>
      <w:r>
        <w:rPr>
          <w:sz w:val="20"/>
          <w:szCs w:val="20"/>
          <w:color w:val="auto"/>
        </w:rPr>
        <w:tab/>
      </w:r>
      <w:r>
        <w:rPr>
          <w:rFonts w:ascii="Times New Roman" w:cs="Times New Roman" w:eastAsia="Times New Roman" w:hAnsi="Times New Roman"/>
          <w:sz w:val="16"/>
          <w:szCs w:val="16"/>
          <w:b w:val="1"/>
          <w:bCs w:val="1"/>
          <w:color w:val="auto"/>
        </w:rPr>
        <w:t>A</w:t>
      </w:r>
      <w:r>
        <w:rPr>
          <w:rFonts w:ascii="Times New Roman" w:cs="Times New Roman" w:eastAsia="Times New Roman" w:hAnsi="Times New Roman"/>
          <w:sz w:val="10"/>
          <w:szCs w:val="10"/>
          <w:b w:val="1"/>
          <w:bCs w:val="1"/>
          <w:color w:val="auto"/>
        </w:rPr>
        <w:t>ccuray</w:t>
      </w:r>
      <w:r>
        <w:rPr>
          <w:rFonts w:ascii="Times New Roman" w:cs="Times New Roman" w:eastAsia="Times New Roman" w:hAnsi="Times New Roman"/>
          <w:sz w:val="16"/>
          <w:szCs w:val="16"/>
          <w:b w:val="1"/>
          <w:bCs w:val="1"/>
          <w:color w:val="auto"/>
        </w:rPr>
        <w:t xml:space="preserve"> C</w:t>
      </w:r>
      <w:r>
        <w:rPr>
          <w:rFonts w:ascii="Times New Roman" w:cs="Times New Roman" w:eastAsia="Times New Roman" w:hAnsi="Times New Roman"/>
          <w:sz w:val="10"/>
          <w:szCs w:val="10"/>
          <w:b w:val="1"/>
          <w:bCs w:val="1"/>
          <w:color w:val="auto"/>
        </w:rPr>
        <w:t>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643255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70" w:name="page71"/>
    <w:bookmarkEnd w:id="70"/>
    <w:p>
      <w:pPr>
        <w:spacing w:after="0" w:line="269" w:lineRule="auto"/>
        <w:rPr>
          <w:sz w:val="20"/>
          <w:szCs w:val="20"/>
          <w:color w:val="auto"/>
        </w:rPr>
      </w:pPr>
      <w:r>
        <w:rPr>
          <w:rFonts w:ascii="Times New Roman" w:cs="Times New Roman" w:eastAsia="Times New Roman" w:hAnsi="Times New Roman"/>
          <w:sz w:val="20"/>
          <w:szCs w:val="20"/>
          <w:color w:val="auto"/>
        </w:rPr>
        <w:t>plans or as required by law, or to indemnification Executive may have under the Company’s Certificate of Incorporation, Bylaws or separate indemnification agreement, as applicable.</w:t>
      </w:r>
    </w:p>
    <w:p>
      <w:pPr>
        <w:spacing w:after="0" w:line="155" w:lineRule="exact"/>
        <w:rPr>
          <w:sz w:val="20"/>
          <w:szCs w:val="20"/>
          <w:color w:val="auto"/>
        </w:rPr>
      </w:pPr>
    </w:p>
    <w:p>
      <w:pPr>
        <w:jc w:val="both"/>
        <w:ind w:firstLine="757"/>
        <w:spacing w:after="0" w:line="246" w:lineRule="auto"/>
        <w:tabs>
          <w:tab w:leader="none" w:pos="1018" w:val="left"/>
        </w:tabs>
        <w:numPr>
          <w:ilvl w:val="0"/>
          <w:numId w:val="44"/>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u w:val="single" w:color="auto"/>
          <w:color w:val="auto"/>
        </w:rPr>
        <w:t>Severance Benefits or Enhanced Severance Benefits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return for Executive’s promises in this Agreement, the Company will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provide Executive with the Severance Benefits or Enhanced Severance Benefits as defined in </w:t>
      </w:r>
      <w:r>
        <w:rPr>
          <w:rFonts w:ascii="Times New Roman" w:cs="Times New Roman" w:eastAsia="Times New Roman" w:hAnsi="Times New Roman"/>
          <w:sz w:val="20"/>
          <w:szCs w:val="20"/>
          <w:u w:val="single" w:color="auto"/>
          <w:color w:val="auto"/>
        </w:rPr>
        <w:t>Sections 5(a)</w:t>
      </w:r>
      <w:r>
        <w:rPr>
          <w:rFonts w:ascii="Times New Roman" w:cs="Times New Roman" w:eastAsia="Times New Roman" w:hAnsi="Times New Roman"/>
          <w:sz w:val="20"/>
          <w:szCs w:val="20"/>
          <w:color w:val="auto"/>
        </w:rPr>
        <w:t xml:space="preserve"> and 5</w:t>
      </w:r>
      <w:r>
        <w:rPr>
          <w:rFonts w:ascii="Times New Roman" w:cs="Times New Roman" w:eastAsia="Times New Roman" w:hAnsi="Times New Roman"/>
          <w:sz w:val="20"/>
          <w:szCs w:val="20"/>
          <w:u w:val="single" w:color="auto"/>
          <w:color w:val="auto"/>
        </w:rPr>
        <w:t>(e)</w:t>
      </w:r>
      <w:r>
        <w:rPr>
          <w:rFonts w:ascii="Times New Roman" w:cs="Times New Roman" w:eastAsia="Times New Roman" w:hAnsi="Times New Roman"/>
          <w:sz w:val="20"/>
          <w:szCs w:val="20"/>
          <w:color w:val="auto"/>
        </w:rPr>
        <w:t xml:space="preserve"> of the Employment Agreement and as applicable based on the nature of the termination, subject to the terms and conditions set forth in the Employment Agreement, including, but not limited to, </w:t>
      </w:r>
      <w:r>
        <w:rPr>
          <w:rFonts w:ascii="Times New Roman" w:cs="Times New Roman" w:eastAsia="Times New Roman" w:hAnsi="Times New Roman"/>
          <w:sz w:val="20"/>
          <w:szCs w:val="20"/>
          <w:u w:val="single" w:color="auto"/>
          <w:color w:val="auto"/>
        </w:rPr>
        <w:t>Section 16</w:t>
      </w:r>
      <w:r>
        <w:rPr>
          <w:rFonts w:ascii="Times New Roman" w:cs="Times New Roman" w:eastAsia="Times New Roman" w:hAnsi="Times New Roman"/>
          <w:sz w:val="20"/>
          <w:szCs w:val="20"/>
          <w:color w:val="auto"/>
        </w:rPr>
        <w:t xml:space="preserve"> thereof. The Severance Benefits or Enhanced Severance Benefits will be paid as specified in </w:t>
      </w:r>
      <w:r>
        <w:rPr>
          <w:rFonts w:ascii="Times New Roman" w:cs="Times New Roman" w:eastAsia="Times New Roman" w:hAnsi="Times New Roman"/>
          <w:sz w:val="20"/>
          <w:szCs w:val="20"/>
          <w:u w:val="single" w:color="auto"/>
          <w:color w:val="auto"/>
        </w:rPr>
        <w:t>Section 5(a)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5(e)</w:t>
      </w:r>
      <w:r>
        <w:rPr>
          <w:rFonts w:ascii="Times New Roman" w:cs="Times New Roman" w:eastAsia="Times New Roman" w:hAnsi="Times New Roman"/>
          <w:sz w:val="20"/>
          <w:szCs w:val="20"/>
          <w:color w:val="auto"/>
        </w:rPr>
        <w:t xml:space="preserve"> of the Employment Agreement, as applicable and shall be subject to required withholdings and authorized deductions and to </w:t>
      </w:r>
      <w:r>
        <w:rPr>
          <w:rFonts w:ascii="Times New Roman" w:cs="Times New Roman" w:eastAsia="Times New Roman" w:hAnsi="Times New Roman"/>
          <w:sz w:val="20"/>
          <w:szCs w:val="20"/>
          <w:u w:val="single" w:color="auto"/>
          <w:color w:val="auto"/>
        </w:rPr>
        <w:t>Section 21</w:t>
      </w:r>
      <w:r>
        <w:rPr>
          <w:rFonts w:ascii="Times New Roman" w:cs="Times New Roman" w:eastAsia="Times New Roman" w:hAnsi="Times New Roman"/>
          <w:sz w:val="20"/>
          <w:szCs w:val="20"/>
          <w:color w:val="auto"/>
        </w:rPr>
        <w:t xml:space="preserve"> below.</w:t>
      </w:r>
    </w:p>
    <w:p>
      <w:pPr>
        <w:spacing w:after="0" w:line="178" w:lineRule="exact"/>
        <w:rPr>
          <w:rFonts w:ascii="Times New Roman" w:cs="Times New Roman" w:eastAsia="Times New Roman" w:hAnsi="Times New Roman"/>
          <w:sz w:val="20"/>
          <w:szCs w:val="20"/>
          <w:b w:val="1"/>
          <w:bCs w:val="1"/>
          <w:u w:val="single" w:color="auto"/>
          <w:color w:val="auto"/>
        </w:rPr>
      </w:pPr>
    </w:p>
    <w:p>
      <w:pPr>
        <w:ind w:left="1020" w:hanging="263"/>
        <w:spacing w:after="0"/>
        <w:tabs>
          <w:tab w:leader="none" w:pos="1020" w:val="left"/>
        </w:tabs>
        <w:numPr>
          <w:ilvl w:val="0"/>
          <w:numId w:val="44"/>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u w:val="single" w:color="auto"/>
          <w:color w:val="auto"/>
        </w:rPr>
        <w:t>Effect of Revocation or Subsequent Employment</w:t>
      </w:r>
      <w:r>
        <w:rPr>
          <w:rFonts w:ascii="Times New Roman" w:cs="Times New Roman" w:eastAsia="Times New Roman" w:hAnsi="Times New Roman"/>
          <w:sz w:val="20"/>
          <w:szCs w:val="20"/>
          <w:b w:val="1"/>
          <w:bCs w:val="1"/>
          <w:color w:val="auto"/>
        </w:rPr>
        <w:t>.</w:t>
      </w:r>
    </w:p>
    <w:p>
      <w:pPr>
        <w:spacing w:after="0" w:line="219" w:lineRule="exact"/>
        <w:rPr>
          <w:rFonts w:ascii="Times New Roman" w:cs="Times New Roman" w:eastAsia="Times New Roman" w:hAnsi="Times New Roman"/>
          <w:sz w:val="20"/>
          <w:szCs w:val="20"/>
          <w:b w:val="1"/>
          <w:bCs w:val="1"/>
          <w:u w:val="single" w:color="auto"/>
          <w:color w:val="auto"/>
        </w:rPr>
      </w:pPr>
    </w:p>
    <w:p>
      <w:pPr>
        <w:jc w:val="both"/>
        <w:ind w:firstLine="1505"/>
        <w:spacing w:after="0" w:line="249" w:lineRule="auto"/>
        <w:tabs>
          <w:tab w:leader="none" w:pos="2036"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Executive properly revokes this Agreement in accordance with </w:t>
      </w:r>
      <w:r>
        <w:rPr>
          <w:rFonts w:ascii="Times New Roman" w:cs="Times New Roman" w:eastAsia="Times New Roman" w:hAnsi="Times New Roman"/>
          <w:sz w:val="20"/>
          <w:szCs w:val="20"/>
          <w:u w:val="single" w:color="auto"/>
          <w:color w:val="auto"/>
        </w:rPr>
        <w:t>Section 13</w:t>
      </w:r>
      <w:r>
        <w:rPr>
          <w:rFonts w:ascii="Times New Roman" w:cs="Times New Roman" w:eastAsia="Times New Roman" w:hAnsi="Times New Roman"/>
          <w:sz w:val="20"/>
          <w:szCs w:val="20"/>
          <w:color w:val="auto"/>
        </w:rPr>
        <w:t xml:space="preserve"> below, Executive shall not be entitled to receive the payments and benefits under </w:t>
      </w:r>
      <w:r>
        <w:rPr>
          <w:rFonts w:ascii="Times New Roman" w:cs="Times New Roman" w:eastAsia="Times New Roman" w:hAnsi="Times New Roman"/>
          <w:sz w:val="20"/>
          <w:szCs w:val="20"/>
          <w:u w:val="single" w:color="auto"/>
          <w:color w:val="auto"/>
        </w:rPr>
        <w:t>Section 5</w:t>
      </w:r>
      <w:r>
        <w:rPr>
          <w:rFonts w:ascii="Times New Roman" w:cs="Times New Roman" w:eastAsia="Times New Roman" w:hAnsi="Times New Roman"/>
          <w:sz w:val="20"/>
          <w:szCs w:val="20"/>
          <w:color w:val="auto"/>
        </w:rPr>
        <w:t>, above, except that Executive’s rights under COBRA will continue (but not, for purposes of clarity, the right to be reimbursed for COBRA premiums or receive any COBRA Substitute Payments (as defined in the Employment Agreement)).</w:t>
      </w:r>
    </w:p>
    <w:p>
      <w:pPr>
        <w:spacing w:after="0" w:line="179" w:lineRule="exact"/>
        <w:rPr>
          <w:rFonts w:ascii="Times New Roman" w:cs="Times New Roman" w:eastAsia="Times New Roman" w:hAnsi="Times New Roman"/>
          <w:sz w:val="20"/>
          <w:szCs w:val="20"/>
          <w:color w:val="auto"/>
        </w:rPr>
      </w:pPr>
    </w:p>
    <w:p>
      <w:pPr>
        <w:jc w:val="both"/>
        <w:ind w:firstLine="1505"/>
        <w:spacing w:after="0" w:line="246" w:lineRule="auto"/>
        <w:tabs>
          <w:tab w:leader="none" w:pos="2036"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Company’s obligation to reimburse premiums for insurance coverage under COBRA or otherwise will be extinguished as of the date Executive’s coverage begins under the group health plan of any new employer or would have begun had Executive elected to participate in any such group health plan. If Executive violates the restrictions in </w:t>
      </w:r>
      <w:r>
        <w:rPr>
          <w:rFonts w:ascii="Times New Roman" w:cs="Times New Roman" w:eastAsia="Times New Roman" w:hAnsi="Times New Roman"/>
          <w:sz w:val="20"/>
          <w:szCs w:val="20"/>
          <w:u w:val="single" w:color="auto"/>
          <w:color w:val="auto"/>
        </w:rPr>
        <w:t>Section 17</w:t>
      </w:r>
      <w:r>
        <w:rPr>
          <w:rFonts w:ascii="Times New Roman" w:cs="Times New Roman" w:eastAsia="Times New Roman" w:hAnsi="Times New Roman"/>
          <w:sz w:val="20"/>
          <w:szCs w:val="20"/>
          <w:color w:val="auto"/>
        </w:rPr>
        <w:t xml:space="preserve">, below, the Company’s obligation to pay premiums for insurance under COBRA or otherwise will be immediately extinguished, and the other remedies specified in </w:t>
      </w:r>
      <w:r>
        <w:rPr>
          <w:rFonts w:ascii="Times New Roman" w:cs="Times New Roman" w:eastAsia="Times New Roman" w:hAnsi="Times New Roman"/>
          <w:sz w:val="20"/>
          <w:szCs w:val="20"/>
          <w:u w:val="single" w:color="auto"/>
          <w:color w:val="auto"/>
        </w:rPr>
        <w:t>Section 18</w:t>
      </w:r>
      <w:r>
        <w:rPr>
          <w:rFonts w:ascii="Times New Roman" w:cs="Times New Roman" w:eastAsia="Times New Roman" w:hAnsi="Times New Roman"/>
          <w:sz w:val="20"/>
          <w:szCs w:val="20"/>
          <w:color w:val="auto"/>
        </w:rPr>
        <w:t>, below, shall apply.</w:t>
      </w:r>
    </w:p>
    <w:p>
      <w:pPr>
        <w:spacing w:after="0" w:line="180" w:lineRule="exact"/>
        <w:rPr>
          <w:rFonts w:ascii="Times New Roman" w:cs="Times New Roman" w:eastAsia="Times New Roman" w:hAnsi="Times New Roman"/>
          <w:sz w:val="20"/>
          <w:szCs w:val="20"/>
          <w:color w:val="auto"/>
        </w:rPr>
      </w:pPr>
    </w:p>
    <w:p>
      <w:pPr>
        <w:jc w:val="both"/>
        <w:ind w:firstLine="757"/>
        <w:spacing w:after="0" w:line="245" w:lineRule="auto"/>
        <w:tabs>
          <w:tab w:leader="none" w:pos="1018" w:val="left"/>
        </w:tabs>
        <w:numPr>
          <w:ilvl w:val="0"/>
          <w:numId w:val="44"/>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u w:val="single" w:color="auto"/>
          <w:color w:val="auto"/>
        </w:rPr>
        <w:t>Acknowledgement of Total Compensation and Indebtedness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Executive acknowledges and agrees that the cash payments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under </w:t>
      </w:r>
      <w:r>
        <w:rPr>
          <w:rFonts w:ascii="Times New Roman" w:cs="Times New Roman" w:eastAsia="Times New Roman" w:hAnsi="Times New Roman"/>
          <w:sz w:val="20"/>
          <w:szCs w:val="20"/>
          <w:u w:val="single" w:color="auto"/>
          <w:color w:val="auto"/>
        </w:rPr>
        <w:t>Sections 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5</w:t>
      </w:r>
      <w:r>
        <w:rPr>
          <w:rFonts w:ascii="Times New Roman" w:cs="Times New Roman" w:eastAsia="Times New Roman" w:hAnsi="Times New Roman"/>
          <w:sz w:val="20"/>
          <w:szCs w:val="20"/>
          <w:color w:val="auto"/>
        </w:rPr>
        <w:t xml:space="preserve"> of this Agreement extinguish any and all obligations for monies, or other compensation or benefits that Executive claims or could claim to have earned or claims or could claim is owed to him/her as a result of his/her employment by the Company and its Related Entities through the Termination Date, under the Employment Agreement or otherwise. Notwithstanding the foregoing, the parties acknowledge and agree that the provisions of this </w:t>
      </w:r>
      <w:r>
        <w:rPr>
          <w:rFonts w:ascii="Times New Roman" w:cs="Times New Roman" w:eastAsia="Times New Roman" w:hAnsi="Times New Roman"/>
          <w:sz w:val="20"/>
          <w:szCs w:val="20"/>
          <w:u w:val="single" w:color="auto"/>
          <w:color w:val="auto"/>
        </w:rPr>
        <w:t>Section 7</w:t>
      </w:r>
      <w:r>
        <w:rPr>
          <w:rFonts w:ascii="Times New Roman" w:cs="Times New Roman" w:eastAsia="Times New Roman" w:hAnsi="Times New Roman"/>
          <w:sz w:val="20"/>
          <w:szCs w:val="20"/>
          <w:color w:val="auto"/>
        </w:rPr>
        <w:t xml:space="preserve"> shall not terminate any rights Executive has under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 xml:space="preserve"> of this Agreement or to other payments Executive may have, and to any indemnification Executive may have under the Company’s Bylaws or separate indemnification agreement, as applicable.</w:t>
      </w:r>
    </w:p>
    <w:p>
      <w:pPr>
        <w:spacing w:after="0" w:line="179" w:lineRule="exact"/>
        <w:rPr>
          <w:rFonts w:ascii="Times New Roman" w:cs="Times New Roman" w:eastAsia="Times New Roman" w:hAnsi="Times New Roman"/>
          <w:sz w:val="20"/>
          <w:szCs w:val="20"/>
          <w:b w:val="1"/>
          <w:bCs w:val="1"/>
          <w:u w:val="single" w:color="auto"/>
          <w:color w:val="auto"/>
        </w:rPr>
      </w:pPr>
    </w:p>
    <w:p>
      <w:pPr>
        <w:jc w:val="both"/>
        <w:ind w:firstLine="757"/>
        <w:spacing w:after="0" w:line="247" w:lineRule="auto"/>
        <w:tabs>
          <w:tab w:leader="none" w:pos="1018" w:val="left"/>
        </w:tabs>
        <w:numPr>
          <w:ilvl w:val="0"/>
          <w:numId w:val="44"/>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u w:val="single" w:color="auto"/>
          <w:color w:val="auto"/>
        </w:rPr>
        <w:t>Status of Related Agreements and Future Employment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parties agree that the Employment Agreement shall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terminated as of the Termination Date. Notwithstanding the termination of the Employment Agreement, the parties hereto acknowledge that certain rights and obligations set forth in the Employment Agreement extend beyond the Termination Date. In the event that any provision of this Agreement conflicts with </w:t>
      </w:r>
      <w:r>
        <w:rPr>
          <w:rFonts w:ascii="Times New Roman" w:cs="Times New Roman" w:eastAsia="Times New Roman" w:hAnsi="Times New Roman"/>
          <w:sz w:val="20"/>
          <w:szCs w:val="20"/>
          <w:u w:val="single" w:color="auto"/>
          <w:color w:val="auto"/>
        </w:rPr>
        <w:t>Section 6</w:t>
      </w:r>
      <w:r>
        <w:rPr>
          <w:rFonts w:ascii="Times New Roman" w:cs="Times New Roman" w:eastAsia="Times New Roman" w:hAnsi="Times New Roman"/>
          <w:sz w:val="20"/>
          <w:szCs w:val="20"/>
          <w:color w:val="auto"/>
        </w:rPr>
        <w:t xml:space="preserve"> of the Employment Agreement, the terms and provisions of the section(s) providing the greatest protection to the Company and its Related Entities shall control.</w:t>
      </w:r>
    </w:p>
    <w:p>
      <w:pPr>
        <w:spacing w:after="0" w:line="180" w:lineRule="exact"/>
        <w:rPr>
          <w:rFonts w:ascii="Times New Roman" w:cs="Times New Roman" w:eastAsia="Times New Roman" w:hAnsi="Times New Roman"/>
          <w:sz w:val="20"/>
          <w:szCs w:val="20"/>
          <w:b w:val="1"/>
          <w:bCs w:val="1"/>
          <w:u w:val="single" w:color="auto"/>
          <w:color w:val="auto"/>
        </w:rPr>
      </w:pPr>
    </w:p>
    <w:p>
      <w:pPr>
        <w:ind w:left="1020" w:hanging="263"/>
        <w:spacing w:after="0"/>
        <w:tabs>
          <w:tab w:leader="none" w:pos="1020" w:val="left"/>
        </w:tabs>
        <w:numPr>
          <w:ilvl w:val="0"/>
          <w:numId w:val="44"/>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u w:val="single" w:color="auto"/>
          <w:color w:val="auto"/>
        </w:rPr>
        <w:t>Release by Executive</w:t>
      </w:r>
      <w:r>
        <w:rPr>
          <w:rFonts w:ascii="Times New Roman" w:cs="Times New Roman" w:eastAsia="Times New Roman" w:hAnsi="Times New Roman"/>
          <w:sz w:val="20"/>
          <w:szCs w:val="20"/>
          <w:b w:val="1"/>
          <w:bCs w:val="1"/>
          <w:color w:val="auto"/>
        </w:rPr>
        <w:t>.</w:t>
      </w:r>
    </w:p>
    <w:p>
      <w:pPr>
        <w:spacing w:after="0" w:line="219" w:lineRule="exact"/>
        <w:rPr>
          <w:rFonts w:ascii="Times New Roman" w:cs="Times New Roman" w:eastAsia="Times New Roman" w:hAnsi="Times New Roman"/>
          <w:sz w:val="20"/>
          <w:szCs w:val="20"/>
          <w:b w:val="1"/>
          <w:bCs w:val="1"/>
          <w:u w:val="single" w:color="auto"/>
          <w:color w:val="auto"/>
        </w:rPr>
      </w:pPr>
    </w:p>
    <w:p>
      <w:pPr>
        <w:jc w:val="both"/>
        <w:ind w:firstLine="1505"/>
        <w:spacing w:after="0" w:line="249" w:lineRule="auto"/>
        <w:tabs>
          <w:tab w:leader="none" w:pos="2036"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for any obligations or covenants of the Company pursuant to this Agreement and as otherwise expressly provided in this Agreement, Executive, for himself/herself and his/her heirs, executors, administrators, assigns, successors and agents (collectively, the “</w:t>
      </w:r>
      <w:r>
        <w:rPr>
          <w:rFonts w:ascii="Times New Roman" w:cs="Times New Roman" w:eastAsia="Times New Roman" w:hAnsi="Times New Roman"/>
          <w:sz w:val="20"/>
          <w:szCs w:val="20"/>
          <w:u w:val="single" w:color="auto"/>
          <w:color w:val="auto"/>
        </w:rPr>
        <w:t>Executive’s Affiliates</w:t>
      </w:r>
      <w:r>
        <w:rPr>
          <w:rFonts w:ascii="Times New Roman" w:cs="Times New Roman" w:eastAsia="Times New Roman" w:hAnsi="Times New Roman"/>
          <w:sz w:val="20"/>
          <w:szCs w:val="20"/>
          <w:color w:val="auto"/>
        </w:rPr>
        <w:t>”) hereby fully and without limitation releases and forever discharges the Company and its Related Entities, and each of their respective agents, representatives, stockholders, owners, officers,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69"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6"/>
          <w:szCs w:val="16"/>
          <w:b w:val="1"/>
          <w:bCs w:val="1"/>
          <w:color w:val="auto"/>
        </w:rPr>
        <w:t>E</w:t>
      </w:r>
      <w:r>
        <w:rPr>
          <w:rFonts w:ascii="Times New Roman" w:cs="Times New Roman" w:eastAsia="Times New Roman" w:hAnsi="Times New Roman"/>
          <w:sz w:val="10"/>
          <w:szCs w:val="10"/>
          <w:b w:val="1"/>
          <w:bCs w:val="1"/>
          <w:color w:val="auto"/>
        </w:rPr>
        <w:t>xecutive</w:t>
      </w:r>
      <w:r>
        <w:rPr>
          <w:rFonts w:ascii="Times New Roman" w:cs="Times New Roman" w:eastAsia="Times New Roman" w:hAnsi="Times New Roman"/>
          <w:sz w:val="16"/>
          <w:szCs w:val="16"/>
          <w:b w:val="1"/>
          <w:bCs w:val="1"/>
          <w:color w:val="auto"/>
        </w:rPr>
        <w:t xml:space="preserve"> E</w:t>
      </w:r>
      <w:r>
        <w:rPr>
          <w:rFonts w:ascii="Times New Roman" w:cs="Times New Roman" w:eastAsia="Times New Roman" w:hAnsi="Times New Roman"/>
          <w:sz w:val="10"/>
          <w:szCs w:val="10"/>
          <w:b w:val="1"/>
          <w:bCs w:val="1"/>
          <w:color w:val="auto"/>
        </w:rPr>
        <w:t>mployment</w:t>
      </w:r>
      <w:r>
        <w:rPr>
          <w:rFonts w:ascii="Times New Roman" w:cs="Times New Roman" w:eastAsia="Times New Roman" w:hAnsi="Times New Roman"/>
          <w:sz w:val="16"/>
          <w:szCs w:val="16"/>
          <w:b w:val="1"/>
          <w:bCs w:val="1"/>
          <w:color w:val="auto"/>
        </w:rPr>
        <w:t xml:space="preserve"> A</w:t>
      </w:r>
      <w:r>
        <w:rPr>
          <w:rFonts w:ascii="Times New Roman" w:cs="Times New Roman" w:eastAsia="Times New Roman" w:hAnsi="Times New Roman"/>
          <w:sz w:val="10"/>
          <w:szCs w:val="10"/>
          <w:b w:val="1"/>
          <w:bCs w:val="1"/>
          <w:color w:val="auto"/>
        </w:rPr>
        <w:t>gmt</w:t>
      </w:r>
      <w:r>
        <w:rPr>
          <w:rFonts w:ascii="Times New Roman" w:cs="Times New Roman" w:eastAsia="Times New Roman" w:hAnsi="Times New Roman"/>
          <w:sz w:val="16"/>
          <w:szCs w:val="16"/>
          <w:b w:val="1"/>
          <w:bCs w:val="1"/>
          <w:color w:val="auto"/>
        </w:rPr>
        <w:t xml:space="preserve"> S</w:t>
      </w:r>
      <w:r>
        <w:rPr>
          <w:rFonts w:ascii="Times New Roman" w:cs="Times New Roman" w:eastAsia="Times New Roman" w:hAnsi="Times New Roman"/>
          <w:sz w:val="10"/>
          <w:szCs w:val="10"/>
          <w:b w:val="1"/>
          <w:bCs w:val="1"/>
          <w:color w:val="auto"/>
        </w:rPr>
        <w:t>td</w:t>
      </w:r>
      <w:r>
        <w:rPr>
          <w:rFonts w:ascii="Times New Roman" w:cs="Times New Roman" w:eastAsia="Times New Roman" w:hAnsi="Times New Roman"/>
          <w:sz w:val="16"/>
          <w:szCs w:val="16"/>
          <w:b w:val="1"/>
          <w:bCs w:val="1"/>
          <w:color w:val="auto"/>
        </w:rPr>
        <w:t xml:space="preserve"> 11.1.22</w:t>
      </w:r>
      <w:r>
        <w:rPr>
          <w:sz w:val="20"/>
          <w:szCs w:val="20"/>
          <w:color w:val="auto"/>
        </w:rPr>
        <w:tab/>
      </w:r>
      <w:r>
        <w:rPr>
          <w:rFonts w:ascii="Times New Roman" w:cs="Times New Roman" w:eastAsia="Times New Roman" w:hAnsi="Times New Roman"/>
          <w:sz w:val="16"/>
          <w:szCs w:val="16"/>
          <w:b w:val="1"/>
          <w:bCs w:val="1"/>
          <w:color w:val="auto"/>
        </w:rPr>
        <w:t>A</w:t>
      </w:r>
      <w:r>
        <w:rPr>
          <w:rFonts w:ascii="Times New Roman" w:cs="Times New Roman" w:eastAsia="Times New Roman" w:hAnsi="Times New Roman"/>
          <w:sz w:val="10"/>
          <w:szCs w:val="10"/>
          <w:b w:val="1"/>
          <w:bCs w:val="1"/>
          <w:color w:val="auto"/>
        </w:rPr>
        <w:t>ccuray</w:t>
      </w:r>
      <w:r>
        <w:rPr>
          <w:rFonts w:ascii="Times New Roman" w:cs="Times New Roman" w:eastAsia="Times New Roman" w:hAnsi="Times New Roman"/>
          <w:sz w:val="16"/>
          <w:szCs w:val="16"/>
          <w:b w:val="1"/>
          <w:bCs w:val="1"/>
          <w:color w:val="auto"/>
        </w:rPr>
        <w:t xml:space="preserve"> C</w:t>
      </w:r>
      <w:r>
        <w:rPr>
          <w:rFonts w:ascii="Times New Roman" w:cs="Times New Roman" w:eastAsia="Times New Roman" w:hAnsi="Times New Roman"/>
          <w:sz w:val="10"/>
          <w:szCs w:val="10"/>
          <w:b w:val="1"/>
          <w:bCs w:val="1"/>
          <w:color w:val="auto"/>
        </w:rPr>
        <w:t>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643255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1" w:name="page72"/>
    <w:bookmarkEnd w:id="71"/>
    <w:p>
      <w:pPr>
        <w:jc w:val="both"/>
        <w:spacing w:after="0" w:line="243" w:lineRule="auto"/>
        <w:rPr>
          <w:sz w:val="20"/>
          <w:szCs w:val="20"/>
          <w:color w:val="auto"/>
        </w:rPr>
      </w:pPr>
      <w:r>
        <w:rPr>
          <w:rFonts w:ascii="Times New Roman" w:cs="Times New Roman" w:eastAsia="Times New Roman" w:hAnsi="Times New Roman"/>
          <w:sz w:val="20"/>
          <w:szCs w:val="20"/>
          <w:color w:val="auto"/>
        </w:rPr>
        <w:t>employees, consultants, attorneys, auditors, accountants, investigators, affiliates, successors and assigns (collectively,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Releasees</w:t>
      </w:r>
      <w:r>
        <w:rPr>
          <w:rFonts w:ascii="Times New Roman" w:cs="Times New Roman" w:eastAsia="Times New Roman" w:hAnsi="Times New Roman"/>
          <w:sz w:val="20"/>
          <w:szCs w:val="20"/>
          <w:color w:val="auto"/>
        </w:rPr>
        <w:t>”), both individually and collectively, from any and all waivable rights, claims, demands, liabilities, actions, causes of action, damages, losses, costs, expenses and compensation, of whatever nature whatsoever, known or unknown, fixed or contingent, which Executive or any of Executive’s Affiliates has or may have or may claim to have against the Company Releasees by reason of any matter, cause, or thing whatsoever, from the beginning of time to the Effective Date (“</w:t>
      </w:r>
      <w:r>
        <w:rPr>
          <w:rFonts w:ascii="Times New Roman" w:cs="Times New Roman" w:eastAsia="Times New Roman" w:hAnsi="Times New Roman"/>
          <w:sz w:val="20"/>
          <w:szCs w:val="20"/>
          <w:u w:val="single" w:color="auto"/>
          <w:color w:val="auto"/>
        </w:rPr>
        <w:t>Claims</w:t>
      </w:r>
      <w:r>
        <w:rPr>
          <w:rFonts w:ascii="Times New Roman" w:cs="Times New Roman" w:eastAsia="Times New Roman" w:hAnsi="Times New Roman"/>
          <w:sz w:val="20"/>
          <w:szCs w:val="20"/>
          <w:color w:val="auto"/>
        </w:rPr>
        <w:t>”), arising out of, based upon, or relating to his/her employment or the termination of his/her employment with the Company and its Related Entities and/or his/her service as an officer of any of the Company Releasees, any agreement or compensation arrangement between Executive and any of the Company Releasees, to the maximum extent permitted by law.</w:t>
      </w:r>
    </w:p>
    <w:p>
      <w:pPr>
        <w:spacing w:after="0" w:line="189" w:lineRule="exact"/>
        <w:rPr>
          <w:sz w:val="20"/>
          <w:szCs w:val="20"/>
          <w:color w:val="auto"/>
        </w:rPr>
      </w:pPr>
    </w:p>
    <w:p>
      <w:pPr>
        <w:jc w:val="both"/>
        <w:ind w:firstLine="1505"/>
        <w:spacing w:after="0" w:line="244" w:lineRule="auto"/>
        <w:tabs>
          <w:tab w:leader="none" w:pos="2036"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specifically and expressly releases any Claims arising out of or based on: the California Fair Employment and Housing Act, Title VII of the Civil Rights Act of 1964, the Americans with Disabilities Act, the National Labor Relations Act and the Equal Pay Act, as the same may be amended from time to time; the California common law on fraud, misrepresentation, negligence, defamation, infliction of emotional distress or other tort, breach of contract or covenant, violation of public policy or wrongful termination; state or federal wage and hour laws, and other provisions of the California Labor Code, to the extent these may be released herein as a matter of law; or any other state or federal law, rule, or regulation dealing with the employment relationship, except those claims which may not be released herein as a matter of law.</w:t>
      </w:r>
    </w:p>
    <w:p>
      <w:pPr>
        <w:spacing w:after="0" w:line="185" w:lineRule="exact"/>
        <w:rPr>
          <w:rFonts w:ascii="Times New Roman" w:cs="Times New Roman" w:eastAsia="Times New Roman" w:hAnsi="Times New Roman"/>
          <w:sz w:val="20"/>
          <w:szCs w:val="20"/>
          <w:color w:val="auto"/>
        </w:rPr>
      </w:pPr>
    </w:p>
    <w:p>
      <w:pPr>
        <w:jc w:val="both"/>
        <w:ind w:firstLine="1505"/>
        <w:spacing w:after="0" w:line="244" w:lineRule="auto"/>
        <w:tabs>
          <w:tab w:leader="none" w:pos="2036"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Nothing contained in this </w:t>
      </w:r>
      <w:r>
        <w:rPr>
          <w:rFonts w:ascii="Times New Roman" w:cs="Times New Roman" w:eastAsia="Times New Roman" w:hAnsi="Times New Roman"/>
          <w:sz w:val="20"/>
          <w:szCs w:val="20"/>
          <w:u w:val="single" w:color="auto"/>
          <w:color w:val="auto"/>
        </w:rPr>
        <w:t>Section 9</w:t>
      </w:r>
      <w:r>
        <w:rPr>
          <w:rFonts w:ascii="Times New Roman" w:cs="Times New Roman" w:eastAsia="Times New Roman" w:hAnsi="Times New Roman"/>
          <w:sz w:val="20"/>
          <w:szCs w:val="20"/>
          <w:color w:val="auto"/>
        </w:rPr>
        <w:t xml:space="preserve"> or any other provision of this Agreement shall release or waive any right that Executive has to indemnification and/or reimbursement of expenses by the Company and its Related Entities with respect to which Executive may be eligible as provided in California Labor Code section 2802, the Company’s and its Related Entities’ Certificates of Incorporation, Bylaws and any applicable directors and officers, errors &amp; omissions, umbrella or general liability insurance policies, any indemnification agreements; or any other applicable source, nor prevent Executive from cooperating in an investigation of the Company by the Equal Employment Opportunity Commission (“</w:t>
      </w:r>
      <w:r>
        <w:rPr>
          <w:rFonts w:ascii="Times New Roman" w:cs="Times New Roman" w:eastAsia="Times New Roman" w:hAnsi="Times New Roman"/>
          <w:sz w:val="20"/>
          <w:szCs w:val="20"/>
          <w:u w:val="single" w:color="auto"/>
          <w:color w:val="auto"/>
        </w:rPr>
        <w:t>EEOC</w:t>
      </w:r>
      <w:r>
        <w:rPr>
          <w:rFonts w:ascii="Times New Roman" w:cs="Times New Roman" w:eastAsia="Times New Roman" w:hAnsi="Times New Roman"/>
          <w:sz w:val="20"/>
          <w:szCs w:val="20"/>
          <w:color w:val="auto"/>
        </w:rPr>
        <w:t xml:space="preserve">”) or Securities and Exchange Commission. Nothing contained in this </w:t>
      </w:r>
      <w:r>
        <w:rPr>
          <w:rFonts w:ascii="Times New Roman" w:cs="Times New Roman" w:eastAsia="Times New Roman" w:hAnsi="Times New Roman"/>
          <w:sz w:val="20"/>
          <w:szCs w:val="20"/>
          <w:u w:val="single" w:color="auto"/>
          <w:color w:val="auto"/>
        </w:rPr>
        <w:t>Section 9</w:t>
      </w:r>
      <w:r>
        <w:rPr>
          <w:rFonts w:ascii="Times New Roman" w:cs="Times New Roman" w:eastAsia="Times New Roman" w:hAnsi="Times New Roman"/>
          <w:sz w:val="20"/>
          <w:szCs w:val="20"/>
          <w:color w:val="auto"/>
        </w:rPr>
        <w:t xml:space="preserve"> waives any right Executive may have to unemployment compensation benefits.</w:t>
      </w:r>
    </w:p>
    <w:p>
      <w:pPr>
        <w:spacing w:after="0" w:line="181"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46"/>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u w:val="single" w:color="auto"/>
          <w:color w:val="auto"/>
        </w:rPr>
        <w:t>Waiver of Civil Code Section 1542</w:t>
      </w:r>
      <w:r>
        <w:rPr>
          <w:rFonts w:ascii="Times New Roman" w:cs="Times New Roman" w:eastAsia="Times New Roman" w:hAnsi="Times New Roman"/>
          <w:sz w:val="20"/>
          <w:szCs w:val="20"/>
          <w:b w:val="1"/>
          <w:bCs w:val="1"/>
          <w:color w:val="auto"/>
        </w:rPr>
        <w:t>.</w:t>
      </w:r>
    </w:p>
    <w:p>
      <w:pPr>
        <w:spacing w:after="0" w:line="219" w:lineRule="exact"/>
        <w:rPr>
          <w:rFonts w:ascii="Times New Roman" w:cs="Times New Roman" w:eastAsia="Times New Roman" w:hAnsi="Times New Roman"/>
          <w:sz w:val="20"/>
          <w:szCs w:val="20"/>
          <w:b w:val="1"/>
          <w:bCs w:val="1"/>
          <w:u w:val="single" w:color="auto"/>
          <w:color w:val="auto"/>
        </w:rPr>
      </w:pPr>
    </w:p>
    <w:p>
      <w:pPr>
        <w:jc w:val="both"/>
        <w:ind w:firstLine="1505"/>
        <w:spacing w:after="0" w:line="254" w:lineRule="auto"/>
        <w:tabs>
          <w:tab w:leader="none" w:pos="2036"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understands and agrees that the release provided herein extends to all Claims released above whether known or unknown, suspected or unsuspected, which may be released as a matter of law. Executive expressly waives and relinquishes any and all rights he/she may have under California Civil Code section 1542, which provides as follows:</w:t>
      </w:r>
    </w:p>
    <w:p>
      <w:pPr>
        <w:spacing w:after="0" w:line="174" w:lineRule="exact"/>
        <w:rPr>
          <w:sz w:val="20"/>
          <w:szCs w:val="20"/>
          <w:color w:val="auto"/>
        </w:rPr>
      </w:pPr>
    </w:p>
    <w:p>
      <w:pPr>
        <w:jc w:val="both"/>
        <w:ind w:left="1500" w:right="760"/>
        <w:spacing w:after="0" w:line="249" w:lineRule="auto"/>
        <w:rPr>
          <w:sz w:val="20"/>
          <w:szCs w:val="20"/>
          <w:color w:val="auto"/>
        </w:rPr>
      </w:pPr>
      <w:r>
        <w:rPr>
          <w:rFonts w:ascii="Times New Roman" w:cs="Times New Roman" w:eastAsia="Times New Roman" w:hAnsi="Times New Roman"/>
          <w:sz w:val="20"/>
          <w:szCs w:val="20"/>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80" w:lineRule="exact"/>
        <w:rPr>
          <w:sz w:val="20"/>
          <w:szCs w:val="20"/>
          <w:color w:val="auto"/>
        </w:rPr>
      </w:pPr>
    </w:p>
    <w:p>
      <w:pPr>
        <w:jc w:val="both"/>
        <w:ind w:firstLine="1505"/>
        <w:spacing w:after="0" w:line="249" w:lineRule="auto"/>
        <w:tabs>
          <w:tab w:leader="none" w:pos="2036"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expressly waives and releases any rights and benefits which he/she has or may have under any similar law or rule of any other jurisdiction. It is the intention of each party through this Agreement to fully, finally and forever settle and release the Claims as set forth above. In furtherance of such intention, the release herein given shall be and remain in effect as a full and complete release of such matters notwithstanding the discovery of any additional Claims or facts relating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69"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6"/>
          <w:szCs w:val="16"/>
          <w:b w:val="1"/>
          <w:bCs w:val="1"/>
          <w:color w:val="auto"/>
        </w:rPr>
        <w:t>E</w:t>
      </w:r>
      <w:r>
        <w:rPr>
          <w:rFonts w:ascii="Times New Roman" w:cs="Times New Roman" w:eastAsia="Times New Roman" w:hAnsi="Times New Roman"/>
          <w:sz w:val="10"/>
          <w:szCs w:val="10"/>
          <w:b w:val="1"/>
          <w:bCs w:val="1"/>
          <w:color w:val="auto"/>
        </w:rPr>
        <w:t>xecutive</w:t>
      </w:r>
      <w:r>
        <w:rPr>
          <w:rFonts w:ascii="Times New Roman" w:cs="Times New Roman" w:eastAsia="Times New Roman" w:hAnsi="Times New Roman"/>
          <w:sz w:val="16"/>
          <w:szCs w:val="16"/>
          <w:b w:val="1"/>
          <w:bCs w:val="1"/>
          <w:color w:val="auto"/>
        </w:rPr>
        <w:t xml:space="preserve"> E</w:t>
      </w:r>
      <w:r>
        <w:rPr>
          <w:rFonts w:ascii="Times New Roman" w:cs="Times New Roman" w:eastAsia="Times New Roman" w:hAnsi="Times New Roman"/>
          <w:sz w:val="10"/>
          <w:szCs w:val="10"/>
          <w:b w:val="1"/>
          <w:bCs w:val="1"/>
          <w:color w:val="auto"/>
        </w:rPr>
        <w:t>mployment</w:t>
      </w:r>
      <w:r>
        <w:rPr>
          <w:rFonts w:ascii="Times New Roman" w:cs="Times New Roman" w:eastAsia="Times New Roman" w:hAnsi="Times New Roman"/>
          <w:sz w:val="16"/>
          <w:szCs w:val="16"/>
          <w:b w:val="1"/>
          <w:bCs w:val="1"/>
          <w:color w:val="auto"/>
        </w:rPr>
        <w:t xml:space="preserve"> A</w:t>
      </w:r>
      <w:r>
        <w:rPr>
          <w:rFonts w:ascii="Times New Roman" w:cs="Times New Roman" w:eastAsia="Times New Roman" w:hAnsi="Times New Roman"/>
          <w:sz w:val="10"/>
          <w:szCs w:val="10"/>
          <w:b w:val="1"/>
          <w:bCs w:val="1"/>
          <w:color w:val="auto"/>
        </w:rPr>
        <w:t>gmt</w:t>
      </w:r>
      <w:r>
        <w:rPr>
          <w:rFonts w:ascii="Times New Roman" w:cs="Times New Roman" w:eastAsia="Times New Roman" w:hAnsi="Times New Roman"/>
          <w:sz w:val="16"/>
          <w:szCs w:val="16"/>
          <w:b w:val="1"/>
          <w:bCs w:val="1"/>
          <w:color w:val="auto"/>
        </w:rPr>
        <w:t xml:space="preserve"> S</w:t>
      </w:r>
      <w:r>
        <w:rPr>
          <w:rFonts w:ascii="Times New Roman" w:cs="Times New Roman" w:eastAsia="Times New Roman" w:hAnsi="Times New Roman"/>
          <w:sz w:val="10"/>
          <w:szCs w:val="10"/>
          <w:b w:val="1"/>
          <w:bCs w:val="1"/>
          <w:color w:val="auto"/>
        </w:rPr>
        <w:t>td</w:t>
      </w:r>
      <w:r>
        <w:rPr>
          <w:rFonts w:ascii="Times New Roman" w:cs="Times New Roman" w:eastAsia="Times New Roman" w:hAnsi="Times New Roman"/>
          <w:sz w:val="16"/>
          <w:szCs w:val="16"/>
          <w:b w:val="1"/>
          <w:bCs w:val="1"/>
          <w:color w:val="auto"/>
        </w:rPr>
        <w:t xml:space="preserve"> 11.1.22</w:t>
      </w:r>
      <w:r>
        <w:rPr>
          <w:sz w:val="20"/>
          <w:szCs w:val="20"/>
          <w:color w:val="auto"/>
        </w:rPr>
        <w:tab/>
      </w:r>
      <w:r>
        <w:rPr>
          <w:rFonts w:ascii="Times New Roman" w:cs="Times New Roman" w:eastAsia="Times New Roman" w:hAnsi="Times New Roman"/>
          <w:sz w:val="16"/>
          <w:szCs w:val="16"/>
          <w:b w:val="1"/>
          <w:bCs w:val="1"/>
          <w:color w:val="auto"/>
        </w:rPr>
        <w:t>A</w:t>
      </w:r>
      <w:r>
        <w:rPr>
          <w:rFonts w:ascii="Times New Roman" w:cs="Times New Roman" w:eastAsia="Times New Roman" w:hAnsi="Times New Roman"/>
          <w:sz w:val="10"/>
          <w:szCs w:val="10"/>
          <w:b w:val="1"/>
          <w:bCs w:val="1"/>
          <w:color w:val="auto"/>
        </w:rPr>
        <w:t>ccuray</w:t>
      </w:r>
      <w:r>
        <w:rPr>
          <w:rFonts w:ascii="Times New Roman" w:cs="Times New Roman" w:eastAsia="Times New Roman" w:hAnsi="Times New Roman"/>
          <w:sz w:val="16"/>
          <w:szCs w:val="16"/>
          <w:b w:val="1"/>
          <w:bCs w:val="1"/>
          <w:color w:val="auto"/>
        </w:rPr>
        <w:t xml:space="preserve"> C</w:t>
      </w:r>
      <w:r>
        <w:rPr>
          <w:rFonts w:ascii="Times New Roman" w:cs="Times New Roman" w:eastAsia="Times New Roman" w:hAnsi="Times New Roman"/>
          <w:sz w:val="10"/>
          <w:szCs w:val="10"/>
          <w:b w:val="1"/>
          <w:bCs w:val="1"/>
          <w:color w:val="auto"/>
        </w:rPr>
        <w:t>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643255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2" w:name="page73"/>
    <w:bookmarkEnd w:id="72"/>
    <w:p>
      <w:pPr>
        <w:jc w:val="both"/>
        <w:ind w:firstLine="757"/>
        <w:spacing w:after="0" w:line="247" w:lineRule="auto"/>
        <w:tabs>
          <w:tab w:leader="none" w:pos="1018" w:val="left"/>
        </w:tabs>
        <w:numPr>
          <w:ilvl w:val="0"/>
          <w:numId w:val="48"/>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u w:val="single" w:color="auto"/>
          <w:color w:val="auto"/>
        </w:rPr>
        <w:t>Release of Federal Age Discrimination Claims by Executive</w:t>
      </w:r>
      <w:r>
        <w:rPr>
          <w:rFonts w:ascii="Times New Roman" w:cs="Times New Roman" w:eastAsia="Times New Roman" w:hAnsi="Times New Roman"/>
          <w:sz w:val="20"/>
          <w:szCs w:val="20"/>
          <w:color w:val="auto"/>
        </w:rPr>
        <w:t>. Executive hereby knowingly and voluntarily waives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releases all rights and claims, known or unknown, arising under the Age Discrimination In Employment Act of 1967, as amended, which he/she might otherwise have had against the Company or any of the Company Releasees regarding any actions which occurred prior to the date that Executive signed this Agreement, except that Executive is not prevented from cooperating in an investigation by the EEOC or from filing an EEOC charge other than for personal relief.</w:t>
      </w:r>
    </w:p>
    <w:p>
      <w:pPr>
        <w:spacing w:after="0" w:line="180" w:lineRule="exact"/>
        <w:rPr>
          <w:rFonts w:ascii="Times New Roman" w:cs="Times New Roman" w:eastAsia="Times New Roman" w:hAnsi="Times New Roman"/>
          <w:sz w:val="20"/>
          <w:szCs w:val="20"/>
          <w:b w:val="1"/>
          <w:bCs w:val="1"/>
          <w:u w:val="single" w:color="auto"/>
          <w:color w:val="auto"/>
        </w:rPr>
      </w:pPr>
    </w:p>
    <w:p>
      <w:pPr>
        <w:jc w:val="both"/>
        <w:ind w:firstLine="757"/>
        <w:spacing w:after="0" w:line="242" w:lineRule="auto"/>
        <w:tabs>
          <w:tab w:leader="none" w:pos="1018" w:val="left"/>
        </w:tabs>
        <w:numPr>
          <w:ilvl w:val="0"/>
          <w:numId w:val="48"/>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u w:val="single" w:color="auto"/>
          <w:color w:val="auto"/>
        </w:rPr>
        <w:t>Release by Company and its Related Entities</w:t>
      </w:r>
      <w:r>
        <w:rPr>
          <w:rFonts w:ascii="Times New Roman" w:cs="Times New Roman" w:eastAsia="Times New Roman" w:hAnsi="Times New Roman"/>
          <w:sz w:val="20"/>
          <w:szCs w:val="20"/>
          <w:color w:val="auto"/>
        </w:rPr>
        <w:t>. The Company and its Related Entities hereby release and forever discharge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Executive, from any and all waivable actions, causes of action, covenants, contracts, claims and demands of whatever character, nature and kind, whether known or unknown, which the Company and its Related Entities ever had, now have, or any of them hereafter can, shall or may have by reason of Executive’s employment and/or his/her service as a director and/or officer of the Company and/or its Related Entities; provided, however, that this general release shall not apply, or be deemed or construed to apply, to (a) any of Executive’s continuing obligations pursuant to this Agreement or the Employment Agreement, (b) criminal conduct or acts or omissions constituting willful misconduct or gross negligence by Executive during his/her employment with the Company, (c) recoupment of all or a portion of any previously awarded bonus or equity award pursuant to the Company’s Recoupment (Clawback) Policy that was in effect when the bonus was paid or the equity award vested or was exercised by Executive, whichever was later, or (d) recoupment of any of Executive’s “Incentive-Based Compensation” as defined in the Company’s Compensation Recovery Policy, pursuant to the terms of such policy, as may be amended from time to time to comply with applicable law.</w:t>
      </w:r>
    </w:p>
    <w:p>
      <w:pPr>
        <w:spacing w:after="0" w:line="189" w:lineRule="exact"/>
        <w:rPr>
          <w:rFonts w:ascii="Times New Roman" w:cs="Times New Roman" w:eastAsia="Times New Roman" w:hAnsi="Times New Roman"/>
          <w:sz w:val="20"/>
          <w:szCs w:val="20"/>
          <w:b w:val="1"/>
          <w:bCs w:val="1"/>
          <w:u w:val="single" w:color="auto"/>
          <w:color w:val="auto"/>
        </w:rPr>
      </w:pPr>
    </w:p>
    <w:p>
      <w:pPr>
        <w:jc w:val="both"/>
        <w:ind w:firstLine="757"/>
        <w:spacing w:after="0" w:line="255" w:lineRule="auto"/>
        <w:tabs>
          <w:tab w:leader="none" w:pos="1018" w:val="left"/>
        </w:tabs>
        <w:numPr>
          <w:ilvl w:val="0"/>
          <w:numId w:val="48"/>
        </w:numPr>
        <w:rPr>
          <w:rFonts w:ascii="Times New Roman" w:cs="Times New Roman" w:eastAsia="Times New Roman" w:hAnsi="Times New Roman"/>
          <w:sz w:val="19"/>
          <w:szCs w:val="19"/>
          <w:b w:val="1"/>
          <w:bCs w:val="1"/>
          <w:u w:val="single" w:color="auto"/>
          <w:color w:val="auto"/>
        </w:rPr>
      </w:pPr>
      <w:r>
        <w:rPr>
          <w:rFonts w:ascii="Times New Roman" w:cs="Times New Roman" w:eastAsia="Times New Roman" w:hAnsi="Times New Roman"/>
          <w:sz w:val="19"/>
          <w:szCs w:val="19"/>
          <w:b w:val="1"/>
          <w:bCs w:val="1"/>
          <w:u w:val="single" w:color="auto"/>
          <w:color w:val="auto"/>
        </w:rPr>
        <w:t>Review and Revocation Rights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Executive acknowledges that Executive is waiving and releasing any rights Executive may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have under the Age Discrimination in Employment Act of 1967 (“</w:t>
      </w:r>
      <w:r>
        <w:rPr>
          <w:rFonts w:ascii="Times New Roman" w:cs="Times New Roman" w:eastAsia="Times New Roman" w:hAnsi="Times New Roman"/>
          <w:sz w:val="19"/>
          <w:szCs w:val="19"/>
          <w:u w:val="single" w:color="auto"/>
          <w:color w:val="auto"/>
        </w:rPr>
        <w:t>ADEA</w:t>
      </w:r>
      <w:r>
        <w:rPr>
          <w:rFonts w:ascii="Times New Roman" w:cs="Times New Roman" w:eastAsia="Times New Roman" w:hAnsi="Times New Roman"/>
          <w:sz w:val="19"/>
          <w:szCs w:val="19"/>
          <w:color w:val="auto"/>
        </w:rPr>
        <w:t xml:space="preserve">”), and that this waiver and release is knowing and voluntary. Executive agrees that this waiver and release does not apply to any rights or claims that may arise under the ADEA after the date Executive signs this Agreement. Executive acknowledges that the consideration given for this waiver and release is in addition to anything of value to which Executive was already entitled. Executive further acknowledges that Executive has been advised by this writing that: (a) Executive should consult with an attorney </w:t>
      </w:r>
      <w:r>
        <w:rPr>
          <w:rFonts w:ascii="Times New Roman" w:cs="Times New Roman" w:eastAsia="Times New Roman" w:hAnsi="Times New Roman"/>
          <w:sz w:val="19"/>
          <w:szCs w:val="19"/>
          <w:u w:val="single" w:color="auto"/>
          <w:color w:val="auto"/>
        </w:rPr>
        <w:t>prior</w:t>
      </w:r>
      <w:r>
        <w:rPr>
          <w:rFonts w:ascii="Times New Roman" w:cs="Times New Roman" w:eastAsia="Times New Roman" w:hAnsi="Times New Roman"/>
          <w:sz w:val="19"/>
          <w:szCs w:val="19"/>
          <w:color w:val="auto"/>
        </w:rPr>
        <w:t xml:space="preserve"> to executing this Agreement; (b) Executive has twenty-one (21) days within which to consider this Agreement; (c) Executive has seven (7) days following Executive execution of this Agreement to revoke this Agreement; (d) this Agreement shall not be effective until after the revocation period has expired; and (e) nothing in this Agreement prevents or precludes Executive from challenging or seeking a determination in good faith of the validity of this waiver under the ADEA, nor does it impose any condition precedent, penalties, or costs for doing so, unless specifically authorized by federal law. In the event Executive signs this Agreement and returns it to the Company in less than the 21-day period identified above, Executive hereby acknowledges that Executive has knowingly and voluntarily chosen to waive the time period allotted for considering this Agreement. Executive acknowledges and understands that revocation must be accomplished by a written notification to the person executing this Agreement on the Company’s behalf that is received prior to the Effective Date. The Parties agree that changes, whether material or immaterial, do not restart the running of the 21-day period.</w:t>
      </w:r>
    </w:p>
    <w:p>
      <w:pPr>
        <w:spacing w:after="0" w:line="179" w:lineRule="exact"/>
        <w:rPr>
          <w:rFonts w:ascii="Times New Roman" w:cs="Times New Roman" w:eastAsia="Times New Roman" w:hAnsi="Times New Roman"/>
          <w:sz w:val="19"/>
          <w:szCs w:val="19"/>
          <w:b w:val="1"/>
          <w:bCs w:val="1"/>
          <w:u w:val="single" w:color="auto"/>
          <w:color w:val="auto"/>
        </w:rPr>
      </w:pPr>
    </w:p>
    <w:p>
      <w:pPr>
        <w:jc w:val="both"/>
        <w:ind w:firstLine="757"/>
        <w:spacing w:after="0" w:line="245" w:lineRule="auto"/>
        <w:tabs>
          <w:tab w:leader="none" w:pos="1018" w:val="left"/>
        </w:tabs>
        <w:numPr>
          <w:ilvl w:val="0"/>
          <w:numId w:val="48"/>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u w:val="single" w:color="auto"/>
          <w:color w:val="auto"/>
        </w:rPr>
        <w:t>Confidentiality of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Subject to the “Protected Activity Not Prohibited” section below, Executive agrees to maintain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complete confidence the existence of this Agreement, the contents and terms of this Agreement, and the consideration for this Agreement (hereinafter collectively referred to as “</w:t>
      </w:r>
      <w:r>
        <w:rPr>
          <w:rFonts w:ascii="Times New Roman" w:cs="Times New Roman" w:eastAsia="Times New Roman" w:hAnsi="Times New Roman"/>
          <w:sz w:val="20"/>
          <w:szCs w:val="20"/>
          <w:u w:val="single" w:color="auto"/>
          <w:color w:val="auto"/>
        </w:rPr>
        <w:t>Separation Information</w:t>
      </w:r>
      <w:r>
        <w:rPr>
          <w:rFonts w:ascii="Times New Roman" w:cs="Times New Roman" w:eastAsia="Times New Roman" w:hAnsi="Times New Roman"/>
          <w:sz w:val="20"/>
          <w:szCs w:val="20"/>
          <w:color w:val="auto"/>
        </w:rPr>
        <w:t>”), and Executive agrees that Executive will not publicize, directly or indirectly, any Separation Information. Except as required by law, and subject to the “Protected Activity Not Prohibited” section below, Executive may disclose Separation Information only to Executive’s immediate family members, the Court in any proceedings to enforce the terms of this Agreement, Executive’s attorney(s), and Executive’s accountant(s) and any professional tax advisor(s) to the extent that they need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171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73"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6"/>
          <w:szCs w:val="16"/>
          <w:b w:val="1"/>
          <w:bCs w:val="1"/>
          <w:color w:val="auto"/>
        </w:rPr>
        <w:t>E</w:t>
      </w:r>
      <w:r>
        <w:rPr>
          <w:rFonts w:ascii="Times New Roman" w:cs="Times New Roman" w:eastAsia="Times New Roman" w:hAnsi="Times New Roman"/>
          <w:sz w:val="10"/>
          <w:szCs w:val="10"/>
          <w:b w:val="1"/>
          <w:bCs w:val="1"/>
          <w:color w:val="auto"/>
        </w:rPr>
        <w:t>xecutive</w:t>
      </w:r>
      <w:r>
        <w:rPr>
          <w:rFonts w:ascii="Times New Roman" w:cs="Times New Roman" w:eastAsia="Times New Roman" w:hAnsi="Times New Roman"/>
          <w:sz w:val="16"/>
          <w:szCs w:val="16"/>
          <w:b w:val="1"/>
          <w:bCs w:val="1"/>
          <w:color w:val="auto"/>
        </w:rPr>
        <w:t xml:space="preserve"> E</w:t>
      </w:r>
      <w:r>
        <w:rPr>
          <w:rFonts w:ascii="Times New Roman" w:cs="Times New Roman" w:eastAsia="Times New Roman" w:hAnsi="Times New Roman"/>
          <w:sz w:val="10"/>
          <w:szCs w:val="10"/>
          <w:b w:val="1"/>
          <w:bCs w:val="1"/>
          <w:color w:val="auto"/>
        </w:rPr>
        <w:t>mployment</w:t>
      </w:r>
      <w:r>
        <w:rPr>
          <w:rFonts w:ascii="Times New Roman" w:cs="Times New Roman" w:eastAsia="Times New Roman" w:hAnsi="Times New Roman"/>
          <w:sz w:val="16"/>
          <w:szCs w:val="16"/>
          <w:b w:val="1"/>
          <w:bCs w:val="1"/>
          <w:color w:val="auto"/>
        </w:rPr>
        <w:t xml:space="preserve"> A</w:t>
      </w:r>
      <w:r>
        <w:rPr>
          <w:rFonts w:ascii="Times New Roman" w:cs="Times New Roman" w:eastAsia="Times New Roman" w:hAnsi="Times New Roman"/>
          <w:sz w:val="10"/>
          <w:szCs w:val="10"/>
          <w:b w:val="1"/>
          <w:bCs w:val="1"/>
          <w:color w:val="auto"/>
        </w:rPr>
        <w:t>gmt</w:t>
      </w:r>
      <w:r>
        <w:rPr>
          <w:rFonts w:ascii="Times New Roman" w:cs="Times New Roman" w:eastAsia="Times New Roman" w:hAnsi="Times New Roman"/>
          <w:sz w:val="16"/>
          <w:szCs w:val="16"/>
          <w:b w:val="1"/>
          <w:bCs w:val="1"/>
          <w:color w:val="auto"/>
        </w:rPr>
        <w:t xml:space="preserve"> S</w:t>
      </w:r>
      <w:r>
        <w:rPr>
          <w:rFonts w:ascii="Times New Roman" w:cs="Times New Roman" w:eastAsia="Times New Roman" w:hAnsi="Times New Roman"/>
          <w:sz w:val="10"/>
          <w:szCs w:val="10"/>
          <w:b w:val="1"/>
          <w:bCs w:val="1"/>
          <w:color w:val="auto"/>
        </w:rPr>
        <w:t>td</w:t>
      </w:r>
      <w:r>
        <w:rPr>
          <w:rFonts w:ascii="Times New Roman" w:cs="Times New Roman" w:eastAsia="Times New Roman" w:hAnsi="Times New Roman"/>
          <w:sz w:val="16"/>
          <w:szCs w:val="16"/>
          <w:b w:val="1"/>
          <w:bCs w:val="1"/>
          <w:color w:val="auto"/>
        </w:rPr>
        <w:t xml:space="preserve"> 11.1.22</w:t>
      </w:r>
      <w:r>
        <w:rPr>
          <w:sz w:val="20"/>
          <w:szCs w:val="20"/>
          <w:color w:val="auto"/>
        </w:rPr>
        <w:tab/>
      </w:r>
      <w:r>
        <w:rPr>
          <w:rFonts w:ascii="Times New Roman" w:cs="Times New Roman" w:eastAsia="Times New Roman" w:hAnsi="Times New Roman"/>
          <w:sz w:val="16"/>
          <w:szCs w:val="16"/>
          <w:b w:val="1"/>
          <w:bCs w:val="1"/>
          <w:color w:val="auto"/>
        </w:rPr>
        <w:t>A</w:t>
      </w:r>
      <w:r>
        <w:rPr>
          <w:rFonts w:ascii="Times New Roman" w:cs="Times New Roman" w:eastAsia="Times New Roman" w:hAnsi="Times New Roman"/>
          <w:sz w:val="10"/>
          <w:szCs w:val="10"/>
          <w:b w:val="1"/>
          <w:bCs w:val="1"/>
          <w:color w:val="auto"/>
        </w:rPr>
        <w:t>ccuray</w:t>
      </w:r>
      <w:r>
        <w:rPr>
          <w:rFonts w:ascii="Times New Roman" w:cs="Times New Roman" w:eastAsia="Times New Roman" w:hAnsi="Times New Roman"/>
          <w:sz w:val="16"/>
          <w:szCs w:val="16"/>
          <w:b w:val="1"/>
          <w:bCs w:val="1"/>
          <w:color w:val="auto"/>
        </w:rPr>
        <w:t xml:space="preserve"> C</w:t>
      </w:r>
      <w:r>
        <w:rPr>
          <w:rFonts w:ascii="Times New Roman" w:cs="Times New Roman" w:eastAsia="Times New Roman" w:hAnsi="Times New Roman"/>
          <w:sz w:val="10"/>
          <w:szCs w:val="10"/>
          <w:b w:val="1"/>
          <w:bCs w:val="1"/>
          <w:color w:val="auto"/>
        </w:rPr>
        <w:t>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643255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73" w:name="page74"/>
    <w:bookmarkEnd w:id="73"/>
    <w:p>
      <w:pPr>
        <w:spacing w:after="0" w:line="269" w:lineRule="auto"/>
        <w:rPr>
          <w:sz w:val="20"/>
          <w:szCs w:val="20"/>
          <w:color w:val="auto"/>
        </w:rPr>
      </w:pPr>
      <w:r>
        <w:rPr>
          <w:rFonts w:ascii="Times New Roman" w:cs="Times New Roman" w:eastAsia="Times New Roman" w:hAnsi="Times New Roman"/>
          <w:sz w:val="20"/>
          <w:szCs w:val="20"/>
          <w:color w:val="auto"/>
        </w:rPr>
        <w:t>to know the Separation Information in order to provide advice on tax treatment or to prepare tax returns, and must prevent disclosure of any Separation Information to all other third parties.</w:t>
      </w:r>
    </w:p>
    <w:p>
      <w:pPr>
        <w:spacing w:after="0" w:line="155" w:lineRule="exact"/>
        <w:rPr>
          <w:sz w:val="20"/>
          <w:szCs w:val="20"/>
          <w:color w:val="auto"/>
        </w:rPr>
      </w:pPr>
    </w:p>
    <w:p>
      <w:pPr>
        <w:jc w:val="both"/>
        <w:ind w:firstLine="757"/>
        <w:spacing w:after="0" w:line="247" w:lineRule="auto"/>
        <w:tabs>
          <w:tab w:leader="none" w:pos="1018" w:val="left"/>
        </w:tabs>
        <w:numPr>
          <w:ilvl w:val="0"/>
          <w:numId w:val="49"/>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u w:val="single" w:color="auto"/>
          <w:color w:val="auto"/>
        </w:rPr>
        <w:t>No Filings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Subject to the “Protected Activity Not Prohibited” section below, Executive represents that he/she has not filed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lawsuits, claims, charges or complaints, which are pending as of the date hereof, against the Company Releasees with any local, state or federal agency or court from the beginning of time to the date of execution of this Agreement, and that Executive is not aware of any facts that would support any Claims or any compliance-related or code of ethics violations of any kind whatsoever against the Company Releasees, including without limitation any claims for any work-related injuries.</w:t>
      </w:r>
    </w:p>
    <w:p>
      <w:pPr>
        <w:spacing w:after="0" w:line="180" w:lineRule="exact"/>
        <w:rPr>
          <w:rFonts w:ascii="Times New Roman" w:cs="Times New Roman" w:eastAsia="Times New Roman" w:hAnsi="Times New Roman"/>
          <w:sz w:val="20"/>
          <w:szCs w:val="20"/>
          <w:b w:val="1"/>
          <w:bCs w:val="1"/>
          <w:u w:val="single" w:color="auto"/>
          <w:color w:val="auto"/>
        </w:rPr>
      </w:pPr>
    </w:p>
    <w:p>
      <w:pPr>
        <w:jc w:val="both"/>
        <w:ind w:firstLine="757"/>
        <w:spacing w:after="0" w:line="241" w:lineRule="auto"/>
        <w:tabs>
          <w:tab w:leader="none" w:pos="1018" w:val="left"/>
        </w:tabs>
        <w:numPr>
          <w:ilvl w:val="0"/>
          <w:numId w:val="49"/>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u w:val="single" w:color="auto"/>
          <w:color w:val="auto"/>
        </w:rPr>
        <w:t>Confidential and Proprietary Information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Executive acknowledges that certain information, observations and data obtained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by him/her during the course of or related to his/her employment with the Company and its Related Entities (including, without limitation, projection programs, business plans, business matrix programs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xml:space="preserve"> measurement of business), strategic financial projections, certain financial information, shareholder information, technology and product design information, marketing plans or proposals, personnel information, customer lists and other customer information) are the sole property of the Company and its Related Entities and constitute Proprietary Information as defined in </w:t>
      </w:r>
      <w:r>
        <w:rPr>
          <w:rFonts w:ascii="Times New Roman" w:cs="Times New Roman" w:eastAsia="Times New Roman" w:hAnsi="Times New Roman"/>
          <w:sz w:val="20"/>
          <w:szCs w:val="20"/>
          <w:u w:val="single" w:color="auto"/>
          <w:color w:val="auto"/>
        </w:rPr>
        <w:t>Section 6</w:t>
      </w:r>
      <w:r>
        <w:rPr>
          <w:rFonts w:ascii="Times New Roman" w:cs="Times New Roman" w:eastAsia="Times New Roman" w:hAnsi="Times New Roman"/>
          <w:sz w:val="20"/>
          <w:szCs w:val="20"/>
          <w:color w:val="auto"/>
        </w:rPr>
        <w:t xml:space="preserve"> of the Employment Agreement. Executive represents and warrants that he/she has returned all files, customer lists, financial information and other property of the Company and its Related Entities that were in Executive’s possession or control without retaining copies thereof (other than a copy of the Employee Handbook and personnel records relating to Executive’s employment). Executive further represents and warrants that he/she does not have in his/her possession or control any files, customer lists, financial information or other property of the Company and its Related Entities. In addition to his/her promises in </w:t>
      </w:r>
      <w:r>
        <w:rPr>
          <w:rFonts w:ascii="Times New Roman" w:cs="Times New Roman" w:eastAsia="Times New Roman" w:hAnsi="Times New Roman"/>
          <w:sz w:val="20"/>
          <w:szCs w:val="20"/>
          <w:u w:val="single" w:color="auto"/>
          <w:color w:val="auto"/>
        </w:rPr>
        <w:t>Section 6</w:t>
      </w:r>
      <w:r>
        <w:rPr>
          <w:rFonts w:ascii="Times New Roman" w:cs="Times New Roman" w:eastAsia="Times New Roman" w:hAnsi="Times New Roman"/>
          <w:sz w:val="20"/>
          <w:szCs w:val="20"/>
          <w:color w:val="auto"/>
        </w:rPr>
        <w:t xml:space="preserve"> of the Employment Agreement, Executive agrees that he/she will not disclose to any person or use any such information, observations or data without the written consent of the Board. If Executive is served with a deposition subpoena or other legal process calling for the disclosure of such information, or if he/she is contacted by any third person requesting such information, he/she will notify the Board as soon as is reasonably practicable after receiving notice and will reasonably cooperate with the Company and its Related Entities in minimizing the disclosure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nothing in this Agreement will (i) affect Executive’s obligations to testify truthfully in response to any subpoena or other legally required discovery proceeding or (ii) in any way limit or prohibit Executive from engaging in activity protected under the “Protected Activity Not Prohibited” section below.</w:t>
      </w:r>
    </w:p>
    <w:p>
      <w:pPr>
        <w:spacing w:after="0" w:line="191" w:lineRule="exact"/>
        <w:rPr>
          <w:rFonts w:ascii="Times New Roman" w:cs="Times New Roman" w:eastAsia="Times New Roman" w:hAnsi="Times New Roman"/>
          <w:sz w:val="20"/>
          <w:szCs w:val="20"/>
          <w:b w:val="1"/>
          <w:bCs w:val="1"/>
          <w:u w:val="single" w:color="auto"/>
          <w:color w:val="auto"/>
        </w:rPr>
      </w:pPr>
    </w:p>
    <w:p>
      <w:pPr>
        <w:jc w:val="both"/>
        <w:ind w:firstLine="757"/>
        <w:spacing w:after="0" w:line="256" w:lineRule="auto"/>
        <w:tabs>
          <w:tab w:leader="none" w:pos="1018" w:val="left"/>
        </w:tabs>
        <w:numPr>
          <w:ilvl w:val="0"/>
          <w:numId w:val="49"/>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u w:val="single" w:color="auto"/>
          <w:color w:val="auto"/>
        </w:rPr>
        <w:t>Continuing Obligations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Executive shall continue to comply with all legally enforceable continuing obligations that Executive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has to the Company, as set forth in the Employment Agreement, including, but not limited to, </w:t>
      </w:r>
      <w:r>
        <w:rPr>
          <w:rFonts w:ascii="Times New Roman" w:cs="Times New Roman" w:eastAsia="Times New Roman" w:hAnsi="Times New Roman"/>
          <w:sz w:val="20"/>
          <w:szCs w:val="20"/>
          <w:u w:val="single" w:color="auto"/>
          <w:color w:val="auto"/>
        </w:rPr>
        <w:t>Sections 6</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13</w:t>
      </w:r>
      <w:r>
        <w:rPr>
          <w:rFonts w:ascii="Times New Roman" w:cs="Times New Roman" w:eastAsia="Times New Roman" w:hAnsi="Times New Roman"/>
          <w:sz w:val="20"/>
          <w:szCs w:val="20"/>
          <w:color w:val="auto"/>
        </w:rPr>
        <w:t xml:space="preserve"> of the Employment Agreement, and in the Employee Confidentiality and Inventions Agreement (as defined in the Employment Agreement).</w:t>
      </w:r>
    </w:p>
    <w:p>
      <w:pPr>
        <w:spacing w:after="0" w:line="168" w:lineRule="exact"/>
        <w:rPr>
          <w:rFonts w:ascii="Times New Roman" w:cs="Times New Roman" w:eastAsia="Times New Roman" w:hAnsi="Times New Roman"/>
          <w:sz w:val="20"/>
          <w:szCs w:val="20"/>
          <w:b w:val="1"/>
          <w:bCs w:val="1"/>
          <w:u w:val="single" w:color="auto"/>
          <w:color w:val="auto"/>
        </w:rPr>
      </w:pPr>
    </w:p>
    <w:p>
      <w:pPr>
        <w:jc w:val="both"/>
        <w:ind w:firstLine="757"/>
        <w:spacing w:after="0" w:line="244" w:lineRule="auto"/>
        <w:tabs>
          <w:tab w:leader="none" w:pos="1018" w:val="left"/>
        </w:tabs>
        <w:numPr>
          <w:ilvl w:val="0"/>
          <w:numId w:val="49"/>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u w:val="single" w:color="auto"/>
          <w:color w:val="auto"/>
        </w:rPr>
        <w:t>Remedies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Executive acknowledges that any misuse of Proprietary Information belonging to the Company and its Related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Entities, or any violation of </w:t>
      </w:r>
      <w:r>
        <w:rPr>
          <w:rFonts w:ascii="Times New Roman" w:cs="Times New Roman" w:eastAsia="Times New Roman" w:hAnsi="Times New Roman"/>
          <w:sz w:val="20"/>
          <w:szCs w:val="20"/>
          <w:u w:val="single" w:color="auto"/>
          <w:color w:val="auto"/>
        </w:rPr>
        <w:t>Section 6</w:t>
      </w:r>
      <w:r>
        <w:rPr>
          <w:rFonts w:ascii="Times New Roman" w:cs="Times New Roman" w:eastAsia="Times New Roman" w:hAnsi="Times New Roman"/>
          <w:sz w:val="20"/>
          <w:szCs w:val="20"/>
          <w:color w:val="auto"/>
        </w:rPr>
        <w:t xml:space="preserve"> of the Employment Agreement, and any violation of </w:t>
      </w:r>
      <w:r>
        <w:rPr>
          <w:rFonts w:ascii="Times New Roman" w:cs="Times New Roman" w:eastAsia="Times New Roman" w:hAnsi="Times New Roman"/>
          <w:sz w:val="20"/>
          <w:szCs w:val="20"/>
          <w:u w:val="single" w:color="auto"/>
          <w:color w:val="auto"/>
        </w:rPr>
        <w:t>Sections 14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16</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17</w:t>
      </w:r>
      <w:r>
        <w:rPr>
          <w:rFonts w:ascii="Times New Roman" w:cs="Times New Roman" w:eastAsia="Times New Roman" w:hAnsi="Times New Roman"/>
          <w:sz w:val="20"/>
          <w:szCs w:val="20"/>
          <w:color w:val="auto"/>
        </w:rPr>
        <w:t xml:space="preserve"> of this Agreement, will result in irreparable harm to the Company and its Related Entities, and therefore, the Company and its Related Entities shall, in addition to any other remedies, be entitled to immediate injunctive relief. To the extent there is any conflict between </w:t>
      </w:r>
      <w:r>
        <w:rPr>
          <w:rFonts w:ascii="Times New Roman" w:cs="Times New Roman" w:eastAsia="Times New Roman" w:hAnsi="Times New Roman"/>
          <w:sz w:val="20"/>
          <w:szCs w:val="20"/>
          <w:u w:val="single" w:color="auto"/>
          <w:color w:val="auto"/>
        </w:rPr>
        <w:t>Section 6</w:t>
      </w:r>
      <w:r>
        <w:rPr>
          <w:rFonts w:ascii="Times New Roman" w:cs="Times New Roman" w:eastAsia="Times New Roman" w:hAnsi="Times New Roman"/>
          <w:sz w:val="20"/>
          <w:szCs w:val="20"/>
          <w:color w:val="auto"/>
        </w:rPr>
        <w:t xml:space="preserve"> of the Employment Agreement and this </w:t>
      </w:r>
      <w:r>
        <w:rPr>
          <w:rFonts w:ascii="Times New Roman" w:cs="Times New Roman" w:eastAsia="Times New Roman" w:hAnsi="Times New Roman"/>
          <w:sz w:val="20"/>
          <w:szCs w:val="20"/>
          <w:u w:val="single" w:color="auto"/>
          <w:color w:val="auto"/>
        </w:rPr>
        <w:t>Section 18</w:t>
      </w:r>
      <w:r>
        <w:rPr>
          <w:rFonts w:ascii="Times New Roman" w:cs="Times New Roman" w:eastAsia="Times New Roman" w:hAnsi="Times New Roman"/>
          <w:sz w:val="20"/>
          <w:szCs w:val="20"/>
          <w:color w:val="auto"/>
        </w:rPr>
        <w:t xml:space="preserve">, the provision providing the greatest protection to the Company and its Related Entities shall control. In addition, in the event of a breach of any provision of this Agreement by Executive, including </w:t>
      </w:r>
      <w:r>
        <w:rPr>
          <w:rFonts w:ascii="Times New Roman" w:cs="Times New Roman" w:eastAsia="Times New Roman" w:hAnsi="Times New Roman"/>
          <w:sz w:val="20"/>
          <w:szCs w:val="20"/>
          <w:u w:val="single" w:color="auto"/>
          <w:color w:val="auto"/>
        </w:rPr>
        <w:t>Sections 14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16</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17</w:t>
      </w:r>
      <w:r>
        <w:rPr>
          <w:rFonts w:ascii="Times New Roman" w:cs="Times New Roman" w:eastAsia="Times New Roman" w:hAnsi="Times New Roman"/>
          <w:sz w:val="20"/>
          <w:szCs w:val="20"/>
          <w:color w:val="auto"/>
        </w:rPr>
        <w:t xml:space="preserve">, Executive shall forfeit, and the Company and its Related Entities may withhold payment of any unpaid portion of, the Severance Benefits or Enhanced Severance Benefits provided under </w:t>
      </w:r>
      <w:r>
        <w:rPr>
          <w:rFonts w:ascii="Times New Roman" w:cs="Times New Roman" w:eastAsia="Times New Roman" w:hAnsi="Times New Roman"/>
          <w:sz w:val="20"/>
          <w:szCs w:val="20"/>
          <w:u w:val="single" w:color="auto"/>
          <w:color w:val="auto"/>
        </w:rPr>
        <w:t>Section 5</w:t>
      </w:r>
      <w:r>
        <w:rPr>
          <w:rFonts w:ascii="Times New Roman" w:cs="Times New Roman" w:eastAsia="Times New Roman" w:hAnsi="Times New Roman"/>
          <w:sz w:val="20"/>
          <w:szCs w:val="20"/>
          <w:color w:val="auto"/>
        </w:rPr>
        <w:t>, above.</w:t>
      </w:r>
    </w:p>
    <w:p>
      <w:pPr>
        <w:spacing w:after="0" w:line="181" w:lineRule="exact"/>
        <w:rPr>
          <w:rFonts w:ascii="Times New Roman" w:cs="Times New Roman" w:eastAsia="Times New Roman" w:hAnsi="Times New Roman"/>
          <w:sz w:val="20"/>
          <w:szCs w:val="20"/>
          <w:b w:val="1"/>
          <w:bCs w:val="1"/>
          <w:u w:val="single" w:color="auto"/>
          <w:color w:val="auto"/>
        </w:rPr>
      </w:pPr>
    </w:p>
    <w:p>
      <w:pPr>
        <w:ind w:left="1020" w:hanging="263"/>
        <w:spacing w:after="0"/>
        <w:tabs>
          <w:tab w:leader="none" w:pos="1020" w:val="left"/>
        </w:tabs>
        <w:numPr>
          <w:ilvl w:val="0"/>
          <w:numId w:val="49"/>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u w:val="single" w:color="auto"/>
          <w:color w:val="auto"/>
        </w:rPr>
        <w:t>Cooperation Clause</w:t>
      </w:r>
      <w:r>
        <w:rPr>
          <w:rFonts w:ascii="Times New Roman" w:cs="Times New Roman" w:eastAsia="Times New Roman" w:hAnsi="Times New Roman"/>
          <w:sz w:val="20"/>
          <w:szCs w:val="20"/>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171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6"/>
          <w:szCs w:val="16"/>
          <w:b w:val="1"/>
          <w:bCs w:val="1"/>
          <w:color w:val="auto"/>
        </w:rPr>
        <w:t>E</w:t>
      </w:r>
      <w:r>
        <w:rPr>
          <w:rFonts w:ascii="Times New Roman" w:cs="Times New Roman" w:eastAsia="Times New Roman" w:hAnsi="Times New Roman"/>
          <w:sz w:val="10"/>
          <w:szCs w:val="10"/>
          <w:b w:val="1"/>
          <w:bCs w:val="1"/>
          <w:color w:val="auto"/>
        </w:rPr>
        <w:t>xecutive</w:t>
      </w:r>
      <w:r>
        <w:rPr>
          <w:rFonts w:ascii="Times New Roman" w:cs="Times New Roman" w:eastAsia="Times New Roman" w:hAnsi="Times New Roman"/>
          <w:sz w:val="16"/>
          <w:szCs w:val="16"/>
          <w:b w:val="1"/>
          <w:bCs w:val="1"/>
          <w:color w:val="auto"/>
        </w:rPr>
        <w:t xml:space="preserve"> E</w:t>
      </w:r>
      <w:r>
        <w:rPr>
          <w:rFonts w:ascii="Times New Roman" w:cs="Times New Roman" w:eastAsia="Times New Roman" w:hAnsi="Times New Roman"/>
          <w:sz w:val="10"/>
          <w:szCs w:val="10"/>
          <w:b w:val="1"/>
          <w:bCs w:val="1"/>
          <w:color w:val="auto"/>
        </w:rPr>
        <w:t>mployment</w:t>
      </w:r>
      <w:r>
        <w:rPr>
          <w:rFonts w:ascii="Times New Roman" w:cs="Times New Roman" w:eastAsia="Times New Roman" w:hAnsi="Times New Roman"/>
          <w:sz w:val="16"/>
          <w:szCs w:val="16"/>
          <w:b w:val="1"/>
          <w:bCs w:val="1"/>
          <w:color w:val="auto"/>
        </w:rPr>
        <w:t xml:space="preserve"> A</w:t>
      </w:r>
      <w:r>
        <w:rPr>
          <w:rFonts w:ascii="Times New Roman" w:cs="Times New Roman" w:eastAsia="Times New Roman" w:hAnsi="Times New Roman"/>
          <w:sz w:val="10"/>
          <w:szCs w:val="10"/>
          <w:b w:val="1"/>
          <w:bCs w:val="1"/>
          <w:color w:val="auto"/>
        </w:rPr>
        <w:t>gmt</w:t>
      </w:r>
      <w:r>
        <w:rPr>
          <w:rFonts w:ascii="Times New Roman" w:cs="Times New Roman" w:eastAsia="Times New Roman" w:hAnsi="Times New Roman"/>
          <w:sz w:val="16"/>
          <w:szCs w:val="16"/>
          <w:b w:val="1"/>
          <w:bCs w:val="1"/>
          <w:color w:val="auto"/>
        </w:rPr>
        <w:t xml:space="preserve"> S</w:t>
      </w:r>
      <w:r>
        <w:rPr>
          <w:rFonts w:ascii="Times New Roman" w:cs="Times New Roman" w:eastAsia="Times New Roman" w:hAnsi="Times New Roman"/>
          <w:sz w:val="10"/>
          <w:szCs w:val="10"/>
          <w:b w:val="1"/>
          <w:bCs w:val="1"/>
          <w:color w:val="auto"/>
        </w:rPr>
        <w:t>td</w:t>
      </w:r>
      <w:r>
        <w:rPr>
          <w:rFonts w:ascii="Times New Roman" w:cs="Times New Roman" w:eastAsia="Times New Roman" w:hAnsi="Times New Roman"/>
          <w:sz w:val="16"/>
          <w:szCs w:val="16"/>
          <w:b w:val="1"/>
          <w:bCs w:val="1"/>
          <w:color w:val="auto"/>
        </w:rPr>
        <w:t xml:space="preserve"> 11.1.22</w:t>
      </w:r>
      <w:r>
        <w:rPr>
          <w:sz w:val="20"/>
          <w:szCs w:val="20"/>
          <w:color w:val="auto"/>
        </w:rPr>
        <w:tab/>
      </w:r>
      <w:r>
        <w:rPr>
          <w:rFonts w:ascii="Times New Roman" w:cs="Times New Roman" w:eastAsia="Times New Roman" w:hAnsi="Times New Roman"/>
          <w:sz w:val="16"/>
          <w:szCs w:val="16"/>
          <w:b w:val="1"/>
          <w:bCs w:val="1"/>
          <w:color w:val="auto"/>
        </w:rPr>
        <w:t>A</w:t>
      </w:r>
      <w:r>
        <w:rPr>
          <w:rFonts w:ascii="Times New Roman" w:cs="Times New Roman" w:eastAsia="Times New Roman" w:hAnsi="Times New Roman"/>
          <w:sz w:val="10"/>
          <w:szCs w:val="10"/>
          <w:b w:val="1"/>
          <w:bCs w:val="1"/>
          <w:color w:val="auto"/>
        </w:rPr>
        <w:t>ccuray</w:t>
      </w:r>
      <w:r>
        <w:rPr>
          <w:rFonts w:ascii="Times New Roman" w:cs="Times New Roman" w:eastAsia="Times New Roman" w:hAnsi="Times New Roman"/>
          <w:sz w:val="16"/>
          <w:szCs w:val="16"/>
          <w:b w:val="1"/>
          <w:bCs w:val="1"/>
          <w:color w:val="auto"/>
        </w:rPr>
        <w:t xml:space="preserve"> C</w:t>
      </w:r>
      <w:r>
        <w:rPr>
          <w:rFonts w:ascii="Times New Roman" w:cs="Times New Roman" w:eastAsia="Times New Roman" w:hAnsi="Times New Roman"/>
          <w:sz w:val="10"/>
          <w:szCs w:val="10"/>
          <w:b w:val="1"/>
          <w:bCs w:val="1"/>
          <w:color w:val="auto"/>
        </w:rPr>
        <w:t>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643255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4" w:name="page75"/>
    <w:bookmarkEnd w:id="74"/>
    <w:p>
      <w:pPr>
        <w:jc w:val="both"/>
        <w:ind w:firstLine="1505"/>
        <w:spacing w:after="0" w:line="254" w:lineRule="auto"/>
        <w:tabs>
          <w:tab w:leader="none" w:pos="2036"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facilitate the orderly conduct of the Company and its Related Entities’ businesses, for the twelve (12)-month period following the Effective Date, Executive agrees to cooperate, at no charge, with the Company and its Related Entities’ reasonable requests for information or assistance related to the time of his/her employment.</w:t>
      </w:r>
    </w:p>
    <w:p>
      <w:pPr>
        <w:spacing w:after="0" w:line="174" w:lineRule="exact"/>
        <w:rPr>
          <w:rFonts w:ascii="Times New Roman" w:cs="Times New Roman" w:eastAsia="Times New Roman" w:hAnsi="Times New Roman"/>
          <w:sz w:val="20"/>
          <w:szCs w:val="20"/>
          <w:color w:val="auto"/>
        </w:rPr>
      </w:pPr>
    </w:p>
    <w:p>
      <w:pPr>
        <w:jc w:val="both"/>
        <w:ind w:firstLine="1505"/>
        <w:spacing w:after="0" w:line="255" w:lineRule="auto"/>
        <w:tabs>
          <w:tab w:leader="none" w:pos="2036" w:val="left"/>
        </w:tabs>
        <w:numPr>
          <w:ilvl w:val="1"/>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For the twelve (12)-month period following the Effective Date, Executive agrees to cooperate, at no charge, with the Company’s and its Related Entities’ and its or their counsel’s reasonable requests for information or assistance related to (i) any investigations (including internal investigations) and audits of the Company’s and its Related Entities’ management’s current and past conduct and business and accounting practices and (ii) the Company’s and its Related Entities’ defense of, or other participation in, any administrative, judicial, or other proceeding arising from any charge, complaint or other action which has been or may be filed relating to the period during which Executive was employed by the Company and its Related Entities. The Company will promptly reimburse Executive for his/her reasonable, customary and documented out-of-pocket business expenses in connection with the performance of his/her duties under this </w:t>
      </w:r>
      <w:r>
        <w:rPr>
          <w:rFonts w:ascii="Times New Roman" w:cs="Times New Roman" w:eastAsia="Times New Roman" w:hAnsi="Times New Roman"/>
          <w:sz w:val="19"/>
          <w:szCs w:val="19"/>
          <w:u w:val="single" w:color="auto"/>
          <w:color w:val="auto"/>
        </w:rPr>
        <w:t>Section 19</w:t>
      </w:r>
      <w:r>
        <w:rPr>
          <w:rFonts w:ascii="Times New Roman" w:cs="Times New Roman" w:eastAsia="Times New Roman" w:hAnsi="Times New Roman"/>
          <w:sz w:val="19"/>
          <w:szCs w:val="19"/>
          <w:color w:val="auto"/>
        </w:rPr>
        <w:t>. Subject to the “Protected Activity Not Prohibited” section below, Executive agrees that Executive will not knowingly encourage, counsel, or assist any attorneys or their clients in the presentation or prosecution of any disputes, differences, grievances, claims, charges, or complaints by any third party against any of the Company Releasees, unless under a subpoena or other court order to do so or upon written request from an administrative agency or the legislature or as related directly to the ADEA waiver in this Agreement. Employee agrees both to immediately notify the Company upon receipt of any such subpoena or court order or written request from an administrative agency or the legislature, and to furnish, within three (3) business days of its receipt, a copy of such subpoena or other court order or written request from an administrative agency or the legislature. Subject to the “Protected Activity Not Prohibited” section below, if approached by anyone for counsel or assistance in the presentation or prosecution of any disputes, differences, grievances, claims, charges, or complaints against any of the Releasees, Employee shall state no more than that Employee cannot provide counsel or assistance.</w:t>
      </w:r>
    </w:p>
    <w:p>
      <w:pPr>
        <w:spacing w:after="0" w:line="169" w:lineRule="exact"/>
        <w:rPr>
          <w:rFonts w:ascii="Times New Roman" w:cs="Times New Roman" w:eastAsia="Times New Roman" w:hAnsi="Times New Roman"/>
          <w:sz w:val="19"/>
          <w:szCs w:val="19"/>
          <w:color w:val="auto"/>
        </w:rPr>
      </w:pPr>
    </w:p>
    <w:p>
      <w:pPr>
        <w:jc w:val="both"/>
        <w:ind w:firstLine="757"/>
        <w:spacing w:after="0" w:line="250" w:lineRule="auto"/>
        <w:tabs>
          <w:tab w:leader="none" w:pos="1018" w:val="left"/>
        </w:tabs>
        <w:numPr>
          <w:ilvl w:val="0"/>
          <w:numId w:val="51"/>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u w:val="single" w:color="auto"/>
          <w:color w:val="auto"/>
        </w:rPr>
        <w:t>No Future Employment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Executive understands that his/her employment with the Company and its Related Entities will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irrevocably end as of the Termination Date and will not be resumed at any time in the future. Executive agrees that he/she will not apply for, seek or accept employment by the Company and its Related Entities at any time, unless invited to do so by the Company and its Related Entities.</w:t>
      </w:r>
    </w:p>
    <w:p>
      <w:pPr>
        <w:spacing w:after="0" w:line="175" w:lineRule="exact"/>
        <w:rPr>
          <w:rFonts w:ascii="Times New Roman" w:cs="Times New Roman" w:eastAsia="Times New Roman" w:hAnsi="Times New Roman"/>
          <w:sz w:val="20"/>
          <w:szCs w:val="20"/>
          <w:b w:val="1"/>
          <w:bCs w:val="1"/>
          <w:u w:val="single" w:color="auto"/>
          <w:color w:val="auto"/>
        </w:rPr>
      </w:pPr>
    </w:p>
    <w:p>
      <w:pPr>
        <w:ind w:right="20" w:firstLine="757"/>
        <w:spacing w:after="0" w:line="273" w:lineRule="auto"/>
        <w:tabs>
          <w:tab w:leader="none" w:pos="1018" w:val="left"/>
        </w:tabs>
        <w:numPr>
          <w:ilvl w:val="0"/>
          <w:numId w:val="51"/>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u w:val="single" w:color="auto"/>
          <w:color w:val="auto"/>
        </w:rPr>
        <w:t>Tax Issues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parties agree that the payments and benefits provided under this Agreement, and all other contracts,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arrangements or programs that apply to him/her, shall be subject to </w:t>
      </w:r>
      <w:r>
        <w:rPr>
          <w:rFonts w:ascii="Times New Roman" w:cs="Times New Roman" w:eastAsia="Times New Roman" w:hAnsi="Times New Roman"/>
          <w:sz w:val="20"/>
          <w:szCs w:val="20"/>
          <w:u w:val="single" w:color="auto"/>
          <w:color w:val="auto"/>
        </w:rPr>
        <w:t>Section 16</w:t>
      </w:r>
      <w:r>
        <w:rPr>
          <w:rFonts w:ascii="Times New Roman" w:cs="Times New Roman" w:eastAsia="Times New Roman" w:hAnsi="Times New Roman"/>
          <w:sz w:val="20"/>
          <w:szCs w:val="20"/>
          <w:color w:val="auto"/>
        </w:rPr>
        <w:t xml:space="preserve"> of the Employment Agreement.</w:t>
      </w:r>
    </w:p>
    <w:p>
      <w:pPr>
        <w:spacing w:after="0" w:line="151" w:lineRule="exact"/>
        <w:rPr>
          <w:rFonts w:ascii="Times New Roman" w:cs="Times New Roman" w:eastAsia="Times New Roman" w:hAnsi="Times New Roman"/>
          <w:sz w:val="20"/>
          <w:szCs w:val="20"/>
          <w:b w:val="1"/>
          <w:bCs w:val="1"/>
          <w:u w:val="single" w:color="auto"/>
          <w:color w:val="auto"/>
        </w:rPr>
      </w:pPr>
    </w:p>
    <w:p>
      <w:pPr>
        <w:jc w:val="both"/>
        <w:ind w:firstLine="757"/>
        <w:spacing w:after="0" w:line="246" w:lineRule="auto"/>
        <w:tabs>
          <w:tab w:leader="none" w:pos="1018" w:val="left"/>
        </w:tabs>
        <w:numPr>
          <w:ilvl w:val="0"/>
          <w:numId w:val="51"/>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u w:val="single" w:color="auto"/>
          <w:color w:val="auto"/>
        </w:rPr>
        <w:t>Non-disparagement</w:t>
      </w:r>
      <w:r>
        <w:rPr>
          <w:rFonts w:ascii="Times New Roman" w:cs="Times New Roman" w:eastAsia="Times New Roman" w:hAnsi="Times New Roman"/>
          <w:sz w:val="20"/>
          <w:szCs w:val="20"/>
          <w:color w:val="auto"/>
        </w:rPr>
        <w:t>. Subject to the “Protected Activity Not Prohibited” section below, Executive agrees to refrain from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disparagement, defamation, libel, or slander of any of the Company Releasees. The Company agrees not to authorize or condone denigrating or disparaging statements about Executive to any third party, including by press release or other formally released announcement. Factually accurate statements in legal or public filings shall not violate this provision. In addition, nothing in this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 xml:space="preserve"> shall prohibit Executive or the Company or the Board, or any of their employees or members from complying with any lawful subpoena or court order or taking any other actions affirmatively authorized by law.</w:t>
      </w:r>
    </w:p>
    <w:p>
      <w:pPr>
        <w:spacing w:after="0" w:line="178" w:lineRule="exact"/>
        <w:rPr>
          <w:rFonts w:ascii="Times New Roman" w:cs="Times New Roman" w:eastAsia="Times New Roman" w:hAnsi="Times New Roman"/>
          <w:sz w:val="20"/>
          <w:szCs w:val="20"/>
          <w:b w:val="1"/>
          <w:bCs w:val="1"/>
          <w:u w:val="single" w:color="auto"/>
          <w:color w:val="auto"/>
        </w:rPr>
      </w:pPr>
    </w:p>
    <w:p>
      <w:pPr>
        <w:ind w:firstLine="757"/>
        <w:spacing w:after="0" w:line="273" w:lineRule="auto"/>
        <w:tabs>
          <w:tab w:leader="none" w:pos="1018" w:val="left"/>
        </w:tabs>
        <w:numPr>
          <w:ilvl w:val="0"/>
          <w:numId w:val="51"/>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u w:val="single" w:color="auto"/>
          <w:color w:val="auto"/>
        </w:rPr>
        <w:t>Governing Law</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Agreement shall be governed by and construed in accordance with the laws of the State of California,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without giving effect to principles of conflict of laws.</w:t>
      </w:r>
    </w:p>
    <w:p>
      <w:pPr>
        <w:spacing w:after="0" w:line="151" w:lineRule="exact"/>
        <w:rPr>
          <w:rFonts w:ascii="Times New Roman" w:cs="Times New Roman" w:eastAsia="Times New Roman" w:hAnsi="Times New Roman"/>
          <w:sz w:val="20"/>
          <w:szCs w:val="20"/>
          <w:b w:val="1"/>
          <w:bCs w:val="1"/>
          <w:u w:val="single" w:color="auto"/>
          <w:color w:val="auto"/>
        </w:rPr>
      </w:pPr>
    </w:p>
    <w:p>
      <w:pPr>
        <w:ind w:firstLine="757"/>
        <w:spacing w:after="0" w:line="273" w:lineRule="auto"/>
        <w:tabs>
          <w:tab w:leader="none" w:pos="1018" w:val="left"/>
        </w:tabs>
        <w:numPr>
          <w:ilvl w:val="0"/>
          <w:numId w:val="51"/>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u w:val="single" w:color="auto"/>
          <w:color w:val="auto"/>
        </w:rPr>
        <w:t>Dispute Resolution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parties hereby agree that all disputes, claims or controversies arising from or otherwise in connection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this Agreement (except for injunctive relief sought by either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5"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6"/>
          <w:szCs w:val="16"/>
          <w:b w:val="1"/>
          <w:bCs w:val="1"/>
          <w:color w:val="auto"/>
        </w:rPr>
        <w:t>E</w:t>
      </w:r>
      <w:r>
        <w:rPr>
          <w:rFonts w:ascii="Times New Roman" w:cs="Times New Roman" w:eastAsia="Times New Roman" w:hAnsi="Times New Roman"/>
          <w:sz w:val="10"/>
          <w:szCs w:val="10"/>
          <w:b w:val="1"/>
          <w:bCs w:val="1"/>
          <w:color w:val="auto"/>
        </w:rPr>
        <w:t>xecutive</w:t>
      </w:r>
      <w:r>
        <w:rPr>
          <w:rFonts w:ascii="Times New Roman" w:cs="Times New Roman" w:eastAsia="Times New Roman" w:hAnsi="Times New Roman"/>
          <w:sz w:val="16"/>
          <w:szCs w:val="16"/>
          <w:b w:val="1"/>
          <w:bCs w:val="1"/>
          <w:color w:val="auto"/>
        </w:rPr>
        <w:t xml:space="preserve"> E</w:t>
      </w:r>
      <w:r>
        <w:rPr>
          <w:rFonts w:ascii="Times New Roman" w:cs="Times New Roman" w:eastAsia="Times New Roman" w:hAnsi="Times New Roman"/>
          <w:sz w:val="10"/>
          <w:szCs w:val="10"/>
          <w:b w:val="1"/>
          <w:bCs w:val="1"/>
          <w:color w:val="auto"/>
        </w:rPr>
        <w:t>mployment</w:t>
      </w:r>
      <w:r>
        <w:rPr>
          <w:rFonts w:ascii="Times New Roman" w:cs="Times New Roman" w:eastAsia="Times New Roman" w:hAnsi="Times New Roman"/>
          <w:sz w:val="16"/>
          <w:szCs w:val="16"/>
          <w:b w:val="1"/>
          <w:bCs w:val="1"/>
          <w:color w:val="auto"/>
        </w:rPr>
        <w:t xml:space="preserve"> A</w:t>
      </w:r>
      <w:r>
        <w:rPr>
          <w:rFonts w:ascii="Times New Roman" w:cs="Times New Roman" w:eastAsia="Times New Roman" w:hAnsi="Times New Roman"/>
          <w:sz w:val="10"/>
          <w:szCs w:val="10"/>
          <w:b w:val="1"/>
          <w:bCs w:val="1"/>
          <w:color w:val="auto"/>
        </w:rPr>
        <w:t>gmt</w:t>
      </w:r>
      <w:r>
        <w:rPr>
          <w:rFonts w:ascii="Times New Roman" w:cs="Times New Roman" w:eastAsia="Times New Roman" w:hAnsi="Times New Roman"/>
          <w:sz w:val="16"/>
          <w:szCs w:val="16"/>
          <w:b w:val="1"/>
          <w:bCs w:val="1"/>
          <w:color w:val="auto"/>
        </w:rPr>
        <w:t xml:space="preserve"> S</w:t>
      </w:r>
      <w:r>
        <w:rPr>
          <w:rFonts w:ascii="Times New Roman" w:cs="Times New Roman" w:eastAsia="Times New Roman" w:hAnsi="Times New Roman"/>
          <w:sz w:val="10"/>
          <w:szCs w:val="10"/>
          <w:b w:val="1"/>
          <w:bCs w:val="1"/>
          <w:color w:val="auto"/>
        </w:rPr>
        <w:t>td</w:t>
      </w:r>
      <w:r>
        <w:rPr>
          <w:rFonts w:ascii="Times New Roman" w:cs="Times New Roman" w:eastAsia="Times New Roman" w:hAnsi="Times New Roman"/>
          <w:sz w:val="16"/>
          <w:szCs w:val="16"/>
          <w:b w:val="1"/>
          <w:bCs w:val="1"/>
          <w:color w:val="auto"/>
        </w:rPr>
        <w:t xml:space="preserve"> 11.1.22</w:t>
      </w:r>
      <w:r>
        <w:rPr>
          <w:sz w:val="20"/>
          <w:szCs w:val="20"/>
          <w:color w:val="auto"/>
        </w:rPr>
        <w:tab/>
      </w:r>
      <w:r>
        <w:rPr>
          <w:rFonts w:ascii="Times New Roman" w:cs="Times New Roman" w:eastAsia="Times New Roman" w:hAnsi="Times New Roman"/>
          <w:sz w:val="16"/>
          <w:szCs w:val="16"/>
          <w:b w:val="1"/>
          <w:bCs w:val="1"/>
          <w:color w:val="auto"/>
        </w:rPr>
        <w:t>A</w:t>
      </w:r>
      <w:r>
        <w:rPr>
          <w:rFonts w:ascii="Times New Roman" w:cs="Times New Roman" w:eastAsia="Times New Roman" w:hAnsi="Times New Roman"/>
          <w:sz w:val="10"/>
          <w:szCs w:val="10"/>
          <w:b w:val="1"/>
          <w:bCs w:val="1"/>
          <w:color w:val="auto"/>
        </w:rPr>
        <w:t>ccuray</w:t>
      </w:r>
      <w:r>
        <w:rPr>
          <w:rFonts w:ascii="Times New Roman" w:cs="Times New Roman" w:eastAsia="Times New Roman" w:hAnsi="Times New Roman"/>
          <w:sz w:val="16"/>
          <w:szCs w:val="16"/>
          <w:b w:val="1"/>
          <w:bCs w:val="1"/>
          <w:color w:val="auto"/>
        </w:rPr>
        <w:t xml:space="preserve"> C</w:t>
      </w:r>
      <w:r>
        <w:rPr>
          <w:rFonts w:ascii="Times New Roman" w:cs="Times New Roman" w:eastAsia="Times New Roman" w:hAnsi="Times New Roman"/>
          <w:sz w:val="10"/>
          <w:szCs w:val="10"/>
          <w:b w:val="1"/>
          <w:bCs w:val="1"/>
          <w:color w:val="auto"/>
        </w:rPr>
        <w:t>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643255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5" w:name="page76"/>
    <w:bookmarkEnd w:id="75"/>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party) between them and between Executive and any of the Company’s affiliated entities and the successor of all such entities, and any director, stockholder or employee of the Company will be resolved in accordance with </w:t>
      </w:r>
      <w:r>
        <w:rPr>
          <w:rFonts w:ascii="Times New Roman" w:cs="Times New Roman" w:eastAsia="Times New Roman" w:hAnsi="Times New Roman"/>
          <w:sz w:val="20"/>
          <w:szCs w:val="20"/>
          <w:u w:val="single" w:color="auto"/>
          <w:color w:val="auto"/>
        </w:rPr>
        <w:t>Section 13</w:t>
      </w:r>
      <w:r>
        <w:rPr>
          <w:rFonts w:ascii="Times New Roman" w:cs="Times New Roman" w:eastAsia="Times New Roman" w:hAnsi="Times New Roman"/>
          <w:sz w:val="20"/>
          <w:szCs w:val="20"/>
          <w:color w:val="auto"/>
        </w:rPr>
        <w:t xml:space="preserve"> of the Employment Agreement, except for its attorneys’ fee provision.</w:t>
      </w:r>
    </w:p>
    <w:p>
      <w:pPr>
        <w:spacing w:after="0" w:line="170" w:lineRule="exact"/>
        <w:rPr>
          <w:sz w:val="20"/>
          <w:szCs w:val="20"/>
          <w:color w:val="auto"/>
        </w:rPr>
      </w:pPr>
    </w:p>
    <w:p>
      <w:pPr>
        <w:jc w:val="both"/>
        <w:ind w:firstLine="757"/>
        <w:spacing w:after="0" w:line="250" w:lineRule="auto"/>
        <w:tabs>
          <w:tab w:leader="none" w:pos="1018" w:val="left"/>
        </w:tabs>
        <w:numPr>
          <w:ilvl w:val="1"/>
          <w:numId w:val="52"/>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u w:val="single" w:color="auto"/>
          <w:color w:val="auto"/>
        </w:rPr>
        <w:t>Attorneys’ Fees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Except with regard to a legal action challenging or seeking a determination in good faith of the validity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waiver herein under the ADEA and except as otherwise provided herein, in any action, litigation or proceeding between the parties arising out of or in relation to this Agreement, including any purported breach of this Agreement, the prevailing party shall be entitled to an award of its costs and expenses, including reasonable attorneys’ fees.</w:t>
      </w:r>
    </w:p>
    <w:p>
      <w:pPr>
        <w:spacing w:after="0" w:line="175" w:lineRule="exact"/>
        <w:rPr>
          <w:rFonts w:ascii="Times New Roman" w:cs="Times New Roman" w:eastAsia="Times New Roman" w:hAnsi="Times New Roman"/>
          <w:sz w:val="20"/>
          <w:szCs w:val="20"/>
          <w:b w:val="1"/>
          <w:bCs w:val="1"/>
          <w:u w:val="single" w:color="auto"/>
          <w:color w:val="auto"/>
        </w:rPr>
      </w:pPr>
    </w:p>
    <w:p>
      <w:pPr>
        <w:ind w:firstLine="757"/>
        <w:spacing w:after="0" w:line="300" w:lineRule="auto"/>
        <w:tabs>
          <w:tab w:leader="none" w:pos="1018" w:val="left"/>
        </w:tabs>
        <w:numPr>
          <w:ilvl w:val="1"/>
          <w:numId w:val="52"/>
        </w:numPr>
        <w:rPr>
          <w:rFonts w:ascii="Times New Roman" w:cs="Times New Roman" w:eastAsia="Times New Roman" w:hAnsi="Times New Roman"/>
          <w:sz w:val="19"/>
          <w:szCs w:val="19"/>
          <w:b w:val="1"/>
          <w:bCs w:val="1"/>
          <w:u w:val="single" w:color="auto"/>
          <w:color w:val="auto"/>
        </w:rPr>
      </w:pPr>
      <w:r>
        <w:rPr>
          <w:rFonts w:ascii="Times New Roman" w:cs="Times New Roman" w:eastAsia="Times New Roman" w:hAnsi="Times New Roman"/>
          <w:sz w:val="19"/>
          <w:szCs w:val="19"/>
          <w:b w:val="1"/>
          <w:bCs w:val="1"/>
          <w:u w:val="single" w:color="auto"/>
          <w:color w:val="auto"/>
        </w:rPr>
        <w:t>Non-Admission of Liability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parties understand and agree that neither the payment of any sum of money nor the execution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of this Agreement by the parties will constitute or be construed as an admission of any wrongdoing or liability whatsoever by any party.</w:t>
      </w:r>
    </w:p>
    <w:p>
      <w:pPr>
        <w:spacing w:after="0" w:line="128" w:lineRule="exact"/>
        <w:rPr>
          <w:rFonts w:ascii="Times New Roman" w:cs="Times New Roman" w:eastAsia="Times New Roman" w:hAnsi="Times New Roman"/>
          <w:sz w:val="19"/>
          <w:szCs w:val="19"/>
          <w:b w:val="1"/>
          <w:bCs w:val="1"/>
          <w:u w:val="single" w:color="auto"/>
          <w:color w:val="auto"/>
        </w:rPr>
      </w:pPr>
    </w:p>
    <w:p>
      <w:pPr>
        <w:jc w:val="both"/>
        <w:ind w:firstLine="757"/>
        <w:spacing w:after="0" w:line="250" w:lineRule="auto"/>
        <w:tabs>
          <w:tab w:leader="none" w:pos="1018" w:val="left"/>
        </w:tabs>
        <w:numPr>
          <w:ilvl w:val="1"/>
          <w:numId w:val="52"/>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u w:val="single" w:color="auto"/>
          <w:color w:val="auto"/>
        </w:rPr>
        <w:t>Severability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If any one or more of the provisions contained herein (or parts thereof), or the application thereof in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circumstances, is held invalid, illegal or unenforceable in any respect for any reason, the validity and enforceability of any such provision in every other respect and of the remaining provisions hereof will not be in any way impaired or affected, it being intended that all of the rights and privileges shall be enforceable to the fullest extent permitted by law.</w:t>
      </w:r>
    </w:p>
    <w:p>
      <w:pPr>
        <w:spacing w:after="0" w:line="175" w:lineRule="exact"/>
        <w:rPr>
          <w:rFonts w:ascii="Times New Roman" w:cs="Times New Roman" w:eastAsia="Times New Roman" w:hAnsi="Times New Roman"/>
          <w:sz w:val="20"/>
          <w:szCs w:val="20"/>
          <w:b w:val="1"/>
          <w:bCs w:val="1"/>
          <w:u w:val="single" w:color="auto"/>
          <w:color w:val="auto"/>
        </w:rPr>
      </w:pPr>
    </w:p>
    <w:p>
      <w:pPr>
        <w:ind w:firstLine="757"/>
        <w:spacing w:after="0" w:line="273" w:lineRule="auto"/>
        <w:tabs>
          <w:tab w:leader="none" w:pos="1018" w:val="left"/>
        </w:tabs>
        <w:numPr>
          <w:ilvl w:val="1"/>
          <w:numId w:val="52"/>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u w:val="single" w:color="auto"/>
          <w:color w:val="auto"/>
        </w:rPr>
        <w:t>Entire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Agreement represents the sole and entire agreement among the parties and, except as expressly stated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herein, supersedes all prior agreements, negotiations and discussions among the parties with respect to the subject matters contained herein.</w:t>
      </w:r>
    </w:p>
    <w:p>
      <w:pPr>
        <w:spacing w:after="0" w:line="151" w:lineRule="exact"/>
        <w:rPr>
          <w:rFonts w:ascii="Times New Roman" w:cs="Times New Roman" w:eastAsia="Times New Roman" w:hAnsi="Times New Roman"/>
          <w:sz w:val="20"/>
          <w:szCs w:val="20"/>
          <w:b w:val="1"/>
          <w:bCs w:val="1"/>
          <w:u w:val="single" w:color="auto"/>
          <w:color w:val="auto"/>
        </w:rPr>
      </w:pPr>
    </w:p>
    <w:p>
      <w:pPr>
        <w:jc w:val="both"/>
        <w:ind w:firstLine="757"/>
        <w:spacing w:after="0" w:line="256" w:lineRule="auto"/>
        <w:tabs>
          <w:tab w:leader="none" w:pos="1018" w:val="left"/>
        </w:tabs>
        <w:numPr>
          <w:ilvl w:val="1"/>
          <w:numId w:val="52"/>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u w:val="single" w:color="auto"/>
          <w:color w:val="auto"/>
        </w:rPr>
        <w:t>Waiver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 waiver by any party hereto at any time of any breach of, or compliance with, any condition or provision of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to be performed by any other party hereto may be deemed a waiver of similar or dissimilar provisions or conditions at the same time or at any prior or subsequent time</w:t>
      </w:r>
      <w:r>
        <w:rPr>
          <w:rFonts w:ascii="Times New Roman" w:cs="Times New Roman" w:eastAsia="Times New Roman" w:hAnsi="Times New Roman"/>
          <w:sz w:val="20"/>
          <w:szCs w:val="20"/>
          <w:b w:val="1"/>
          <w:bCs w:val="1"/>
          <w:color w:val="auto"/>
        </w:rPr>
        <w:t>.</w:t>
      </w:r>
    </w:p>
    <w:p>
      <w:pPr>
        <w:spacing w:after="0" w:line="168" w:lineRule="exact"/>
        <w:rPr>
          <w:rFonts w:ascii="Times New Roman" w:cs="Times New Roman" w:eastAsia="Times New Roman" w:hAnsi="Times New Roman"/>
          <w:sz w:val="20"/>
          <w:szCs w:val="20"/>
          <w:b w:val="1"/>
          <w:bCs w:val="1"/>
          <w:u w:val="single" w:color="auto"/>
          <w:color w:val="auto"/>
        </w:rPr>
      </w:pPr>
    </w:p>
    <w:p>
      <w:pPr>
        <w:jc w:val="both"/>
        <w:ind w:firstLine="757"/>
        <w:spacing w:after="0" w:line="256" w:lineRule="auto"/>
        <w:tabs>
          <w:tab w:leader="none" w:pos="1018" w:val="left"/>
        </w:tabs>
        <w:numPr>
          <w:ilvl w:val="1"/>
          <w:numId w:val="52"/>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u w:val="single" w:color="auto"/>
          <w:color w:val="auto"/>
        </w:rPr>
        <w:t>Amendment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Agreement may be modified or amended only if such modification or amendment is agreed to in writing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signed by duly authorized representatives of the parties hereto, which writing expressly states the intent of the parties to modify this Agreement.</w:t>
      </w:r>
    </w:p>
    <w:p>
      <w:pPr>
        <w:spacing w:after="0" w:line="168" w:lineRule="exact"/>
        <w:rPr>
          <w:rFonts w:ascii="Times New Roman" w:cs="Times New Roman" w:eastAsia="Times New Roman" w:hAnsi="Times New Roman"/>
          <w:sz w:val="20"/>
          <w:szCs w:val="20"/>
          <w:b w:val="1"/>
          <w:bCs w:val="1"/>
          <w:u w:val="single" w:color="auto"/>
          <w:color w:val="auto"/>
        </w:rPr>
      </w:pPr>
    </w:p>
    <w:p>
      <w:pPr>
        <w:jc w:val="both"/>
        <w:ind w:firstLine="757"/>
        <w:spacing w:after="0" w:line="250" w:lineRule="auto"/>
        <w:tabs>
          <w:tab w:leader="none" w:pos="1018" w:val="left"/>
        </w:tabs>
        <w:numPr>
          <w:ilvl w:val="1"/>
          <w:numId w:val="52"/>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u w:val="single" w:color="auto"/>
          <w:color w:val="auto"/>
        </w:rPr>
        <w:t>Counterparts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Agreement may be executed in counterparts, and each counterpart shall be deemed an original and all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which counterparts taken together shall have the same force and effect as an original and shall constitute an effective, binding agreement on the part of each of the undersigned. The counterparts of this Agreement may be executed and delivered by facsimile, photo, email PDF, or other electronic transmission or signature.</w:t>
      </w:r>
    </w:p>
    <w:p>
      <w:pPr>
        <w:spacing w:after="0" w:line="175" w:lineRule="exact"/>
        <w:rPr>
          <w:rFonts w:ascii="Times New Roman" w:cs="Times New Roman" w:eastAsia="Times New Roman" w:hAnsi="Times New Roman"/>
          <w:sz w:val="20"/>
          <w:szCs w:val="20"/>
          <w:b w:val="1"/>
          <w:bCs w:val="1"/>
          <w:u w:val="single" w:color="auto"/>
          <w:color w:val="auto"/>
        </w:rPr>
      </w:pPr>
    </w:p>
    <w:p>
      <w:pPr>
        <w:ind w:firstLine="757"/>
        <w:spacing w:after="0" w:line="273" w:lineRule="auto"/>
        <w:tabs>
          <w:tab w:leader="none" w:pos="1018" w:val="left"/>
        </w:tabs>
        <w:numPr>
          <w:ilvl w:val="1"/>
          <w:numId w:val="52"/>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u w:val="single" w:color="auto"/>
          <w:color w:val="auto"/>
        </w:rPr>
        <w:t>Assignment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Agreement inures to the benefit of and is binding upon the Company and its successors and assigns, but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Executive’s rights under this Agreement are not assignable, except to his/her estate</w:t>
      </w:r>
      <w:r>
        <w:rPr>
          <w:rFonts w:ascii="Times New Roman" w:cs="Times New Roman" w:eastAsia="Times New Roman" w:hAnsi="Times New Roman"/>
          <w:sz w:val="20"/>
          <w:szCs w:val="20"/>
          <w:b w:val="1"/>
          <w:bCs w:val="1"/>
          <w:color w:val="auto"/>
        </w:rPr>
        <w:t>.</w:t>
      </w:r>
    </w:p>
    <w:p>
      <w:pPr>
        <w:spacing w:after="0" w:line="151" w:lineRule="exact"/>
        <w:rPr>
          <w:rFonts w:ascii="Times New Roman" w:cs="Times New Roman" w:eastAsia="Times New Roman" w:hAnsi="Times New Roman"/>
          <w:sz w:val="20"/>
          <w:szCs w:val="20"/>
          <w:b w:val="1"/>
          <w:bCs w:val="1"/>
          <w:u w:val="single" w:color="auto"/>
          <w:color w:val="auto"/>
        </w:rPr>
      </w:pPr>
    </w:p>
    <w:p>
      <w:pPr>
        <w:jc w:val="both"/>
        <w:ind w:firstLine="757"/>
        <w:spacing w:after="0" w:line="257" w:lineRule="auto"/>
        <w:tabs>
          <w:tab w:leader="none" w:pos="1018" w:val="left"/>
        </w:tabs>
        <w:numPr>
          <w:ilvl w:val="1"/>
          <w:numId w:val="52"/>
        </w:numPr>
        <w:rPr>
          <w:rFonts w:ascii="Times New Roman" w:cs="Times New Roman" w:eastAsia="Times New Roman" w:hAnsi="Times New Roman"/>
          <w:sz w:val="19"/>
          <w:szCs w:val="19"/>
          <w:b w:val="1"/>
          <w:bCs w:val="1"/>
          <w:u w:val="single" w:color="auto"/>
          <w:color w:val="auto"/>
        </w:rPr>
      </w:pPr>
      <w:r>
        <w:rPr>
          <w:rFonts w:ascii="Times New Roman" w:cs="Times New Roman" w:eastAsia="Times New Roman" w:hAnsi="Times New Roman"/>
          <w:sz w:val="19"/>
          <w:szCs w:val="19"/>
          <w:b w:val="1"/>
          <w:bCs w:val="1"/>
          <w:u w:val="single" w:color="auto"/>
          <w:color w:val="auto"/>
        </w:rPr>
        <w:t>Protected Activity Not Prohibited</w:t>
      </w:r>
      <w:r>
        <w:rPr>
          <w:rFonts w:ascii="Times New Roman" w:cs="Times New Roman" w:eastAsia="Times New Roman" w:hAnsi="Times New Roman"/>
          <w:sz w:val="19"/>
          <w:szCs w:val="19"/>
          <w:color w:val="auto"/>
        </w:rPr>
        <w:t>. Employee understands that nothing in this Agreement shall in any way limit or prohibit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Employee from engaging in any Protected Activity. Protected Activity includes: (i) filing and/or pursuing a charge, complaint, or report with, or otherwise communicating, cooperating, or participating in any investigation or proceeding that may be conducted by any federal, state or local government agency or commission, including the Securities and Exchange Commission, the Equal Employment Opportunity Commission, the Occupational Safety and Health Administration, and the National Labor Relations Board (“</w:t>
      </w:r>
      <w:r>
        <w:rPr>
          <w:rFonts w:ascii="Times New Roman" w:cs="Times New Roman" w:eastAsia="Times New Roman" w:hAnsi="Times New Roman"/>
          <w:sz w:val="19"/>
          <w:szCs w:val="19"/>
          <w:u w:val="single" w:color="auto"/>
          <w:color w:val="auto"/>
        </w:rPr>
        <w:t>Government Agencies</w:t>
      </w:r>
      <w:r>
        <w:rPr>
          <w:rFonts w:ascii="Times New Roman" w:cs="Times New Roman" w:eastAsia="Times New Roman" w:hAnsi="Times New Roman"/>
          <w:sz w:val="19"/>
          <w:szCs w:val="19"/>
          <w:color w:val="auto"/>
        </w:rPr>
        <w:t>”); and/or</w:t>
      </w:r>
    </w:p>
    <w:p>
      <w:pPr>
        <w:spacing w:after="0" w:line="3" w:lineRule="exact"/>
        <w:rPr>
          <w:rFonts w:ascii="Times New Roman" w:cs="Times New Roman" w:eastAsia="Times New Roman" w:hAnsi="Times New Roman"/>
          <w:sz w:val="19"/>
          <w:szCs w:val="19"/>
          <w:b w:val="1"/>
          <w:bCs w:val="1"/>
          <w:u w:val="single" w:color="auto"/>
          <w:color w:val="auto"/>
        </w:rPr>
      </w:pPr>
    </w:p>
    <w:p>
      <w:pPr>
        <w:ind w:firstLine="8"/>
        <w:spacing w:after="0" w:line="246" w:lineRule="auto"/>
        <w:tabs>
          <w:tab w:leader="none" w:pos="293"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discussing or disclosing information about unlawful acts in the workplace, such as harassment or discrimination or any other conduct that Employee has reason to believe is unlawful. Notwithstanding the foregoing, Executive agrees to take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241300</wp:posOffset>
            </wp:positionV>
            <wp:extent cx="7132320" cy="171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71"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6"/>
          <w:szCs w:val="16"/>
          <w:b w:val="1"/>
          <w:bCs w:val="1"/>
          <w:color w:val="auto"/>
        </w:rPr>
        <w:t>E</w:t>
      </w:r>
      <w:r>
        <w:rPr>
          <w:rFonts w:ascii="Times New Roman" w:cs="Times New Roman" w:eastAsia="Times New Roman" w:hAnsi="Times New Roman"/>
          <w:sz w:val="10"/>
          <w:szCs w:val="10"/>
          <w:b w:val="1"/>
          <w:bCs w:val="1"/>
          <w:color w:val="auto"/>
        </w:rPr>
        <w:t>xecutive</w:t>
      </w:r>
      <w:r>
        <w:rPr>
          <w:rFonts w:ascii="Times New Roman" w:cs="Times New Roman" w:eastAsia="Times New Roman" w:hAnsi="Times New Roman"/>
          <w:sz w:val="16"/>
          <w:szCs w:val="16"/>
          <w:b w:val="1"/>
          <w:bCs w:val="1"/>
          <w:color w:val="auto"/>
        </w:rPr>
        <w:t xml:space="preserve"> E</w:t>
      </w:r>
      <w:r>
        <w:rPr>
          <w:rFonts w:ascii="Times New Roman" w:cs="Times New Roman" w:eastAsia="Times New Roman" w:hAnsi="Times New Roman"/>
          <w:sz w:val="10"/>
          <w:szCs w:val="10"/>
          <w:b w:val="1"/>
          <w:bCs w:val="1"/>
          <w:color w:val="auto"/>
        </w:rPr>
        <w:t>mployment</w:t>
      </w:r>
      <w:r>
        <w:rPr>
          <w:rFonts w:ascii="Times New Roman" w:cs="Times New Roman" w:eastAsia="Times New Roman" w:hAnsi="Times New Roman"/>
          <w:sz w:val="16"/>
          <w:szCs w:val="16"/>
          <w:b w:val="1"/>
          <w:bCs w:val="1"/>
          <w:color w:val="auto"/>
        </w:rPr>
        <w:t xml:space="preserve"> A</w:t>
      </w:r>
      <w:r>
        <w:rPr>
          <w:rFonts w:ascii="Times New Roman" w:cs="Times New Roman" w:eastAsia="Times New Roman" w:hAnsi="Times New Roman"/>
          <w:sz w:val="10"/>
          <w:szCs w:val="10"/>
          <w:b w:val="1"/>
          <w:bCs w:val="1"/>
          <w:color w:val="auto"/>
        </w:rPr>
        <w:t>gmt</w:t>
      </w:r>
      <w:r>
        <w:rPr>
          <w:rFonts w:ascii="Times New Roman" w:cs="Times New Roman" w:eastAsia="Times New Roman" w:hAnsi="Times New Roman"/>
          <w:sz w:val="16"/>
          <w:szCs w:val="16"/>
          <w:b w:val="1"/>
          <w:bCs w:val="1"/>
          <w:color w:val="auto"/>
        </w:rPr>
        <w:t xml:space="preserve"> S</w:t>
      </w:r>
      <w:r>
        <w:rPr>
          <w:rFonts w:ascii="Times New Roman" w:cs="Times New Roman" w:eastAsia="Times New Roman" w:hAnsi="Times New Roman"/>
          <w:sz w:val="10"/>
          <w:szCs w:val="10"/>
          <w:b w:val="1"/>
          <w:bCs w:val="1"/>
          <w:color w:val="auto"/>
        </w:rPr>
        <w:t>td</w:t>
      </w:r>
      <w:r>
        <w:rPr>
          <w:rFonts w:ascii="Times New Roman" w:cs="Times New Roman" w:eastAsia="Times New Roman" w:hAnsi="Times New Roman"/>
          <w:sz w:val="16"/>
          <w:szCs w:val="16"/>
          <w:b w:val="1"/>
          <w:bCs w:val="1"/>
          <w:color w:val="auto"/>
        </w:rPr>
        <w:t xml:space="preserve"> 11.1.22</w:t>
      </w:r>
      <w:r>
        <w:rPr>
          <w:sz w:val="20"/>
          <w:szCs w:val="20"/>
          <w:color w:val="auto"/>
        </w:rPr>
        <w:tab/>
      </w:r>
      <w:r>
        <w:rPr>
          <w:rFonts w:ascii="Times New Roman" w:cs="Times New Roman" w:eastAsia="Times New Roman" w:hAnsi="Times New Roman"/>
          <w:sz w:val="16"/>
          <w:szCs w:val="16"/>
          <w:b w:val="1"/>
          <w:bCs w:val="1"/>
          <w:color w:val="auto"/>
        </w:rPr>
        <w:t>A</w:t>
      </w:r>
      <w:r>
        <w:rPr>
          <w:rFonts w:ascii="Times New Roman" w:cs="Times New Roman" w:eastAsia="Times New Roman" w:hAnsi="Times New Roman"/>
          <w:sz w:val="10"/>
          <w:szCs w:val="10"/>
          <w:b w:val="1"/>
          <w:bCs w:val="1"/>
          <w:color w:val="auto"/>
        </w:rPr>
        <w:t>ccuray</w:t>
      </w:r>
      <w:r>
        <w:rPr>
          <w:rFonts w:ascii="Times New Roman" w:cs="Times New Roman" w:eastAsia="Times New Roman" w:hAnsi="Times New Roman"/>
          <w:sz w:val="16"/>
          <w:szCs w:val="16"/>
          <w:b w:val="1"/>
          <w:bCs w:val="1"/>
          <w:color w:val="auto"/>
        </w:rPr>
        <w:t xml:space="preserve"> C</w:t>
      </w:r>
      <w:r>
        <w:rPr>
          <w:rFonts w:ascii="Times New Roman" w:cs="Times New Roman" w:eastAsia="Times New Roman" w:hAnsi="Times New Roman"/>
          <w:sz w:val="10"/>
          <w:szCs w:val="10"/>
          <w:b w:val="1"/>
          <w:bCs w:val="1"/>
          <w:color w:val="auto"/>
        </w:rPr>
        <w:t>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643255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6" w:name="page77"/>
    <w:bookmarkEnd w:id="76"/>
    <w:p>
      <w:pPr>
        <w:jc w:val="both"/>
        <w:spacing w:after="0" w:line="241" w:lineRule="auto"/>
        <w:rPr>
          <w:sz w:val="20"/>
          <w:szCs w:val="20"/>
          <w:color w:val="auto"/>
        </w:rPr>
      </w:pPr>
      <w:r>
        <w:rPr>
          <w:rFonts w:ascii="Times New Roman" w:cs="Times New Roman" w:eastAsia="Times New Roman" w:hAnsi="Times New Roman"/>
          <w:sz w:val="20"/>
          <w:szCs w:val="20"/>
          <w:color w:val="auto"/>
        </w:rPr>
        <w:t xml:space="preserve">reasonable precautions to prevent any unauthorized use or disclosure of any Company trade secrets, proprietary information, or confidential information that does not involve unlawful acts in the workplace or the activity otherwise protected herein. Executive further understands that Protected Activity does not include the disclosure of any Company attorney-client privileged communications or attorney work product. In addition, pursuant to the Defend Trade Secrets Act of 2016, Executive is notified that an individual will not be held criminally or civilly liable under any federal or state trade secret law for the disclosure of a trade secret that (i) is made in confidence to a federal, state, or local government official (directly or indirectly) or to an attorney </w:t>
      </w:r>
      <w:r>
        <w:rPr>
          <w:rFonts w:ascii="Times New Roman" w:cs="Times New Roman" w:eastAsia="Times New Roman" w:hAnsi="Times New Roman"/>
          <w:sz w:val="20"/>
          <w:szCs w:val="20"/>
          <w:i w:val="1"/>
          <w:iCs w:val="1"/>
          <w:color w:val="auto"/>
        </w:rPr>
        <w:t>solely</w:t>
      </w:r>
      <w:r>
        <w:rPr>
          <w:rFonts w:ascii="Times New Roman" w:cs="Times New Roman" w:eastAsia="Times New Roman" w:hAnsi="Times New Roman"/>
          <w:sz w:val="20"/>
          <w:szCs w:val="20"/>
          <w:color w:val="auto"/>
        </w:rPr>
        <w:t xml:space="preserve"> for the purpose of reporting or investigating a suspected violation of law, or (ii) is made in a complaint or other document filed in a lawsuit or other proceeding, if (and only if) such filing is made under seal. In addition, an individual who files a lawsuit for retaliation by an employer for reporting a suspected violation of law may disclose the trade secret to the individual’s attorney and use the trade secret information in the court proceeding, if the individual files any document containing the trade secret under seal and does not disclose the trade secret, except pursuant to court order. Finally, nothing in this Agreement constitutes a waiver of any rights Executive may have under the Sarbanes-Oxley Act or Section 7 of the National Labor Relations Act (“</w:t>
      </w:r>
      <w:r>
        <w:rPr>
          <w:rFonts w:ascii="Times New Roman" w:cs="Times New Roman" w:eastAsia="Times New Roman" w:hAnsi="Times New Roman"/>
          <w:sz w:val="20"/>
          <w:szCs w:val="20"/>
          <w:u w:val="single" w:color="auto"/>
          <w:color w:val="auto"/>
        </w:rPr>
        <w:t>NLRA</w:t>
      </w:r>
      <w:r>
        <w:rPr>
          <w:rFonts w:ascii="Times New Roman" w:cs="Times New Roman" w:eastAsia="Times New Roman" w:hAnsi="Times New Roman"/>
          <w:sz w:val="20"/>
          <w:szCs w:val="20"/>
          <w:color w:val="auto"/>
        </w:rPr>
        <w:t>”). For purposes of clarity, nothing in this Agreement shall be interpreted to impair or limit Executive’s participation in any legally protected activities, such as (i) forming, joining, or supporting labor unions, (ii) bargaining collectively through representatives of employees’ choosing, (iii) discussing wages, benefits, or terms and conditions of employment, and (iv) discussing, or raising complaints about, working conditions for the purpose of mutual aid or protection of Executive or the Company’s other current or former employees, to the extent such activities are protected by Section 7 of the NLRA. Executive understands that nothing in the Employee Confidentiality and Inventions Agreement or the Employment Agreement shall limit or prohibit Executive from engaging in any protected conduct set forth in this section.</w:t>
      </w:r>
    </w:p>
    <w:p>
      <w:pPr>
        <w:spacing w:after="0" w:line="186" w:lineRule="exact"/>
        <w:rPr>
          <w:sz w:val="20"/>
          <w:szCs w:val="20"/>
          <w:color w:val="auto"/>
        </w:rPr>
      </w:pPr>
    </w:p>
    <w:p>
      <w:pPr>
        <w:jc w:val="both"/>
        <w:ind w:firstLine="757"/>
        <w:spacing w:after="0" w:line="250" w:lineRule="auto"/>
        <w:tabs>
          <w:tab w:leader="none" w:pos="1018" w:val="left"/>
        </w:tabs>
        <w:numPr>
          <w:ilvl w:val="0"/>
          <w:numId w:val="54"/>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u w:val="single" w:color="auto"/>
          <w:color w:val="auto"/>
        </w:rPr>
        <w:t>Notice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All notices, requests, demands, claims and other communications hereunder shall be in writing and shall be deemed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have been duly given (a) if personally delivered or delivered by overnight courier; (b) if sent by electronic mail, telecopy or facsimile (except for legal process); or (c) if mailed by overnight or by first class, United States certified or registered mail, postage prepaid, return receipt requested, and properly addressed as follows:</w:t>
      </w:r>
    </w:p>
    <w:p>
      <w:pPr>
        <w:sectPr>
          <w:pgSz w:w="11900" w:h="16838" w:orient="portrait"/>
          <w:cols w:equalWidth="0" w:num="1">
            <w:col w:w="11240"/>
          </w:cols>
          <w:pgMar w:left="320" w:top="1413" w:right="339" w:bottom="1440" w:gutter="0" w:footer="0" w:header="0"/>
        </w:sectPr>
      </w:pP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color w:val="auto"/>
        </w:rPr>
        <w:t>If to the Company:</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Accuray Incorporated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1240 Deming Way</w:t>
      </w:r>
    </w:p>
    <w:p>
      <w:pPr>
        <w:spacing w:after="0"/>
        <w:rPr>
          <w:sz w:val="20"/>
          <w:szCs w:val="20"/>
          <w:color w:val="auto"/>
        </w:rPr>
      </w:pPr>
      <w:r>
        <w:rPr>
          <w:rFonts w:ascii="Times New Roman" w:cs="Times New Roman" w:eastAsia="Times New Roman" w:hAnsi="Times New Roman"/>
          <w:sz w:val="20"/>
          <w:szCs w:val="20"/>
          <w:color w:val="auto"/>
        </w:rPr>
        <w:t>Madison, WI 53717</w:t>
      </w:r>
    </w:p>
    <w:p>
      <w:pPr>
        <w:spacing w:after="0"/>
        <w:rPr>
          <w:sz w:val="20"/>
          <w:szCs w:val="20"/>
          <w:color w:val="auto"/>
        </w:rPr>
      </w:pPr>
      <w:r>
        <w:rPr>
          <w:rFonts w:ascii="Times New Roman" w:cs="Times New Roman" w:eastAsia="Times New Roman" w:hAnsi="Times New Roman"/>
          <w:sz w:val="20"/>
          <w:szCs w:val="20"/>
          <w:color w:val="auto"/>
        </w:rPr>
        <w:t>Attn: Board of Directors</w:t>
      </w:r>
    </w:p>
    <w:p>
      <w:pPr>
        <w:ind w:left="1040"/>
        <w:spacing w:after="0"/>
        <w:rPr>
          <w:sz w:val="20"/>
          <w:szCs w:val="20"/>
          <w:color w:val="auto"/>
        </w:rPr>
      </w:pPr>
      <w:r>
        <w:rPr>
          <w:rFonts w:ascii="Times New Roman" w:cs="Times New Roman" w:eastAsia="Times New Roman" w:hAnsi="Times New Roman"/>
          <w:sz w:val="19"/>
          <w:szCs w:val="19"/>
          <w:color w:val="auto"/>
        </w:rPr>
        <w:t>c/o Corporate Secretary</w:t>
      </w:r>
    </w:p>
    <w:p>
      <w:pPr>
        <w:spacing w:after="0" w:line="200" w:lineRule="exact"/>
        <w:rPr>
          <w:sz w:val="20"/>
          <w:szCs w:val="20"/>
          <w:color w:val="auto"/>
        </w:rPr>
      </w:pPr>
    </w:p>
    <w:p>
      <w:pPr>
        <w:sectPr>
          <w:pgSz w:w="11900" w:h="16838" w:orient="portrait"/>
          <w:cols w:equalWidth="0" w:num="2">
            <w:col w:w="1880" w:space="80"/>
            <w:col w:w="9280"/>
          </w:cols>
          <w:pgMar w:left="320" w:top="1413" w:right="339" w:bottom="1440" w:gutter="0" w:footer="0" w:header="0"/>
          <w:type w:val="continuous"/>
        </w:sectPr>
      </w:pPr>
    </w:p>
    <w:p>
      <w:pPr>
        <w:spacing w:after="0" w:line="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color w:val="auto"/>
        </w:rPr>
        <w:t>If to Executive: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Address: most recent on file with the Company</w:t>
      </w:r>
    </w:p>
    <w:p>
      <w:pPr>
        <w:spacing w:after="0" w:line="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Email: most recent on file with the Company</w:t>
      </w:r>
    </w:p>
    <w:p>
      <w:pPr>
        <w:spacing w:after="0" w:line="200" w:lineRule="exact"/>
        <w:rPr>
          <w:sz w:val="20"/>
          <w:szCs w:val="20"/>
          <w:color w:val="auto"/>
        </w:rPr>
      </w:pPr>
    </w:p>
    <w:p>
      <w:pPr>
        <w:sectPr>
          <w:pgSz w:w="11900" w:h="16838" w:orient="portrait"/>
          <w:cols w:equalWidth="0" w:num="2">
            <w:col w:w="1640" w:space="720"/>
            <w:col w:w="8880"/>
          </w:cols>
          <w:pgMar w:left="320" w:top="1413" w:right="339" w:bottom="1440" w:gutter="0" w:footer="0" w:header="0"/>
          <w:type w:val="continuous"/>
        </w:sectPr>
      </w:pPr>
    </w:p>
    <w:p>
      <w:pPr>
        <w:spacing w:after="0" w:line="5"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Such addresses may be changed, from time to time, by means of a notice given in the manner provided above. Notice will conclusively be deemed to have been given when personally delivered (including, but not limited to, by messenger or courier); or if given by mail, on the third business day after being sent by first class, United States certified or registered mail; or if given by Federal Express or other similar overnight service, on the date of delivery; or if given by electronic mail, telecopy or facsimile machine during normal business hours on a business day, when confirmation of transmission is indicated by the sender’s machine; or if given by electronic mail, telecopy or facsimile machine at any time other than during normal business hours on a business day, the first business day following when confirmation of transmission is indicated by the sender’s machine. Unless otherwise agreed, notices, requests, demands and other communications delivered to legal counsel of any party hereto, whether or not such counsel shall consist of in-house or outside counsel, shall not constitute duly given notice to any party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243840</wp:posOffset>
            </wp:positionV>
            <wp:extent cx="7132320" cy="171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75"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6"/>
          <w:szCs w:val="16"/>
          <w:b w:val="1"/>
          <w:bCs w:val="1"/>
          <w:color w:val="auto"/>
        </w:rPr>
        <w:t>E</w:t>
      </w:r>
      <w:r>
        <w:rPr>
          <w:rFonts w:ascii="Times New Roman" w:cs="Times New Roman" w:eastAsia="Times New Roman" w:hAnsi="Times New Roman"/>
          <w:sz w:val="10"/>
          <w:szCs w:val="10"/>
          <w:b w:val="1"/>
          <w:bCs w:val="1"/>
          <w:color w:val="auto"/>
        </w:rPr>
        <w:t>xecutive</w:t>
      </w:r>
      <w:r>
        <w:rPr>
          <w:rFonts w:ascii="Times New Roman" w:cs="Times New Roman" w:eastAsia="Times New Roman" w:hAnsi="Times New Roman"/>
          <w:sz w:val="16"/>
          <w:szCs w:val="16"/>
          <w:b w:val="1"/>
          <w:bCs w:val="1"/>
          <w:color w:val="auto"/>
        </w:rPr>
        <w:t xml:space="preserve"> E</w:t>
      </w:r>
      <w:r>
        <w:rPr>
          <w:rFonts w:ascii="Times New Roman" w:cs="Times New Roman" w:eastAsia="Times New Roman" w:hAnsi="Times New Roman"/>
          <w:sz w:val="10"/>
          <w:szCs w:val="10"/>
          <w:b w:val="1"/>
          <w:bCs w:val="1"/>
          <w:color w:val="auto"/>
        </w:rPr>
        <w:t>mployment</w:t>
      </w:r>
      <w:r>
        <w:rPr>
          <w:rFonts w:ascii="Times New Roman" w:cs="Times New Roman" w:eastAsia="Times New Roman" w:hAnsi="Times New Roman"/>
          <w:sz w:val="16"/>
          <w:szCs w:val="16"/>
          <w:b w:val="1"/>
          <w:bCs w:val="1"/>
          <w:color w:val="auto"/>
        </w:rPr>
        <w:t xml:space="preserve"> A</w:t>
      </w:r>
      <w:r>
        <w:rPr>
          <w:rFonts w:ascii="Times New Roman" w:cs="Times New Roman" w:eastAsia="Times New Roman" w:hAnsi="Times New Roman"/>
          <w:sz w:val="10"/>
          <w:szCs w:val="10"/>
          <w:b w:val="1"/>
          <w:bCs w:val="1"/>
          <w:color w:val="auto"/>
        </w:rPr>
        <w:t>gmt</w:t>
      </w:r>
      <w:r>
        <w:rPr>
          <w:rFonts w:ascii="Times New Roman" w:cs="Times New Roman" w:eastAsia="Times New Roman" w:hAnsi="Times New Roman"/>
          <w:sz w:val="16"/>
          <w:szCs w:val="16"/>
          <w:b w:val="1"/>
          <w:bCs w:val="1"/>
          <w:color w:val="auto"/>
        </w:rPr>
        <w:t xml:space="preserve"> S</w:t>
      </w:r>
      <w:r>
        <w:rPr>
          <w:rFonts w:ascii="Times New Roman" w:cs="Times New Roman" w:eastAsia="Times New Roman" w:hAnsi="Times New Roman"/>
          <w:sz w:val="10"/>
          <w:szCs w:val="10"/>
          <w:b w:val="1"/>
          <w:bCs w:val="1"/>
          <w:color w:val="auto"/>
        </w:rPr>
        <w:t>td</w:t>
      </w:r>
      <w:r>
        <w:rPr>
          <w:rFonts w:ascii="Times New Roman" w:cs="Times New Roman" w:eastAsia="Times New Roman" w:hAnsi="Times New Roman"/>
          <w:sz w:val="16"/>
          <w:szCs w:val="16"/>
          <w:b w:val="1"/>
          <w:bCs w:val="1"/>
          <w:color w:val="auto"/>
        </w:rPr>
        <w:t xml:space="preserve"> 11.1.22</w:t>
      </w:r>
      <w:r>
        <w:rPr>
          <w:sz w:val="20"/>
          <w:szCs w:val="20"/>
          <w:color w:val="auto"/>
        </w:rPr>
        <w:tab/>
      </w:r>
      <w:r>
        <w:rPr>
          <w:rFonts w:ascii="Times New Roman" w:cs="Times New Roman" w:eastAsia="Times New Roman" w:hAnsi="Times New Roman"/>
          <w:sz w:val="16"/>
          <w:szCs w:val="16"/>
          <w:b w:val="1"/>
          <w:bCs w:val="1"/>
          <w:color w:val="auto"/>
        </w:rPr>
        <w:t>A</w:t>
      </w:r>
      <w:r>
        <w:rPr>
          <w:rFonts w:ascii="Times New Roman" w:cs="Times New Roman" w:eastAsia="Times New Roman" w:hAnsi="Times New Roman"/>
          <w:sz w:val="10"/>
          <w:szCs w:val="10"/>
          <w:b w:val="1"/>
          <w:bCs w:val="1"/>
          <w:color w:val="auto"/>
        </w:rPr>
        <w:t>ccuray</w:t>
      </w:r>
      <w:r>
        <w:rPr>
          <w:rFonts w:ascii="Times New Roman" w:cs="Times New Roman" w:eastAsia="Times New Roman" w:hAnsi="Times New Roman"/>
          <w:sz w:val="16"/>
          <w:szCs w:val="16"/>
          <w:b w:val="1"/>
          <w:bCs w:val="1"/>
          <w:color w:val="auto"/>
        </w:rPr>
        <w:t xml:space="preserve"> C</w:t>
      </w:r>
      <w:r>
        <w:rPr>
          <w:rFonts w:ascii="Times New Roman" w:cs="Times New Roman" w:eastAsia="Times New Roman" w:hAnsi="Times New Roman"/>
          <w:sz w:val="10"/>
          <w:szCs w:val="10"/>
          <w:b w:val="1"/>
          <w:bCs w:val="1"/>
          <w:color w:val="auto"/>
        </w:rPr>
        <w:t>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643255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type w:val="continuous"/>
        </w:sectPr>
      </w:pPr>
    </w:p>
    <w:bookmarkStart w:id="77" w:name="page78"/>
    <w:bookmarkEnd w:id="77"/>
    <w:p>
      <w:pPr>
        <w:ind w:left="1020" w:hanging="263"/>
        <w:spacing w:after="0"/>
        <w:tabs>
          <w:tab w:leader="none" w:pos="1020" w:val="left"/>
        </w:tabs>
        <w:numPr>
          <w:ilvl w:val="0"/>
          <w:numId w:val="55"/>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u w:val="single" w:color="auto"/>
          <w:color w:val="auto"/>
        </w:rPr>
        <w:t>Miscellaneous Provisions</w:t>
      </w:r>
      <w:r>
        <w:rPr>
          <w:rFonts w:ascii="Times New Roman" w:cs="Times New Roman" w:eastAsia="Times New Roman" w:hAnsi="Times New Roman"/>
          <w:sz w:val="20"/>
          <w:szCs w:val="20"/>
          <w:b w:val="1"/>
          <w:bCs w:val="1"/>
          <w:color w:val="auto"/>
        </w:rPr>
        <w:t>.</w:t>
      </w:r>
    </w:p>
    <w:p>
      <w:pPr>
        <w:spacing w:after="0" w:line="219" w:lineRule="exact"/>
        <w:rPr>
          <w:rFonts w:ascii="Times New Roman" w:cs="Times New Roman" w:eastAsia="Times New Roman" w:hAnsi="Times New Roman"/>
          <w:sz w:val="20"/>
          <w:szCs w:val="20"/>
          <w:b w:val="1"/>
          <w:bCs w:val="1"/>
          <w:u w:val="single" w:color="auto"/>
          <w:color w:val="auto"/>
        </w:rPr>
      </w:pPr>
    </w:p>
    <w:p>
      <w:pPr>
        <w:jc w:val="both"/>
        <w:ind w:firstLine="1505"/>
        <w:spacing w:after="0" w:line="249" w:lineRule="auto"/>
        <w:tabs>
          <w:tab w:leader="none" w:pos="2036"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represent that they have read this Agreement and fully understand all of its terms; that they have conferred with their attorneys, or have knowingly and voluntarily chosen not to confer with their attorneys about this Agreement; that they have executed this Agreement without coercion or duress of any kind; and that they understand any rights that they have or may have, and they are signing this Agreement with full knowledge of any such rights.</w:t>
      </w:r>
    </w:p>
    <w:p>
      <w:pPr>
        <w:spacing w:after="0" w:line="179" w:lineRule="exact"/>
        <w:rPr>
          <w:rFonts w:ascii="Times New Roman" w:cs="Times New Roman" w:eastAsia="Times New Roman" w:hAnsi="Times New Roman"/>
          <w:sz w:val="20"/>
          <w:szCs w:val="20"/>
          <w:color w:val="auto"/>
        </w:rPr>
      </w:pPr>
    </w:p>
    <w:p>
      <w:pPr>
        <w:jc w:val="both"/>
        <w:ind w:firstLine="1505"/>
        <w:spacing w:after="0" w:line="246" w:lineRule="auto"/>
        <w:tabs>
          <w:tab w:leader="none" w:pos="2036"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Both parties have participated in the drafting of this Agreement with the assistance of counsel to the extent they desired. The language in all parts of this Agreement must be in all cases construed simply according to its fair meaning and not strictly for or against any party. Whenever the context requires, all words used in the singular must be construed to have been used in the plural, and vice versa, and each gender must include any other gender. The captions of the Sections of this Agreement are for convenience only and must not affect the construction or interpretation of any of the provision herein.</w:t>
      </w:r>
    </w:p>
    <w:p>
      <w:pPr>
        <w:spacing w:after="0" w:line="184" w:lineRule="exact"/>
        <w:rPr>
          <w:rFonts w:ascii="Times New Roman" w:cs="Times New Roman" w:eastAsia="Times New Roman" w:hAnsi="Times New Roman"/>
          <w:sz w:val="20"/>
          <w:szCs w:val="20"/>
          <w:color w:val="auto"/>
        </w:rPr>
      </w:pPr>
    </w:p>
    <w:p>
      <w:pPr>
        <w:jc w:val="both"/>
        <w:ind w:firstLine="1505"/>
        <w:spacing w:after="0" w:line="249" w:lineRule="auto"/>
        <w:tabs>
          <w:tab w:leader="none" w:pos="2036"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provision of this Agreement to be performed by a party hereto is both a covenant and condition, and is a material consideration for the other party’s performance hereunder, and any breach thereof by the party will be a material default hereunder. All rights, remedies, undertakings, obligations, options, covenants, conditions and agreements contained in this Agreement are cumulative and no one of them is exclusive of any other. Time is of the essence in the performance of this Agreement.</w:t>
      </w:r>
    </w:p>
    <w:p>
      <w:pPr>
        <w:spacing w:after="0" w:line="179" w:lineRule="exact"/>
        <w:rPr>
          <w:rFonts w:ascii="Times New Roman" w:cs="Times New Roman" w:eastAsia="Times New Roman" w:hAnsi="Times New Roman"/>
          <w:sz w:val="20"/>
          <w:szCs w:val="20"/>
          <w:color w:val="auto"/>
        </w:rPr>
      </w:pPr>
    </w:p>
    <w:p>
      <w:pPr>
        <w:ind w:firstLine="1505"/>
        <w:spacing w:after="0" w:line="269" w:lineRule="auto"/>
        <w:tabs>
          <w:tab w:leader="none" w:pos="2036"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party acknowledges that no representation, statement or promise made by any other party, or by the agent or attorney of any other party, except for those in this Agreement, has been relied on by him/her or it in entering into this Agreement.</w:t>
      </w:r>
    </w:p>
    <w:p>
      <w:pPr>
        <w:spacing w:after="0" w:line="159" w:lineRule="exact"/>
        <w:rPr>
          <w:rFonts w:ascii="Times New Roman" w:cs="Times New Roman" w:eastAsia="Times New Roman" w:hAnsi="Times New Roman"/>
          <w:sz w:val="20"/>
          <w:szCs w:val="20"/>
          <w:color w:val="auto"/>
        </w:rPr>
      </w:pPr>
    </w:p>
    <w:p>
      <w:pPr>
        <w:jc w:val="both"/>
        <w:ind w:firstLine="1505"/>
        <w:spacing w:after="0" w:line="249" w:lineRule="auto"/>
        <w:tabs>
          <w:tab w:leader="none" w:pos="2036"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expressly set forth otherwise, all references herein to a “day” are deemed to be a reference to a calendar day. All references to “business dayS mean any day of the year other than a Saturday, Sunday or a public or bank holiday in Orange County, California. Unless expressly stated otherwise, cross-references herein refer to provisions within this Agreement and are not references to any other document.</w:t>
      </w:r>
    </w:p>
    <w:p>
      <w:pPr>
        <w:spacing w:after="0" w:line="179" w:lineRule="exact"/>
        <w:rPr>
          <w:rFonts w:ascii="Times New Roman" w:cs="Times New Roman" w:eastAsia="Times New Roman" w:hAnsi="Times New Roman"/>
          <w:sz w:val="20"/>
          <w:szCs w:val="20"/>
          <w:color w:val="auto"/>
        </w:rPr>
      </w:pPr>
    </w:p>
    <w:p>
      <w:pPr>
        <w:jc w:val="both"/>
        <w:ind w:firstLine="1505"/>
        <w:spacing w:after="0" w:line="254" w:lineRule="auto"/>
        <w:tabs>
          <w:tab w:leader="none" w:pos="2036"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party to this Agreement will cooperate fully in the execution of any and all other documents and in the completion of any additional actions that may be necessary or appropriate to give full force and effect to the terms and intent of this Agreement.</w:t>
      </w:r>
    </w:p>
    <w:p>
      <w:pPr>
        <w:spacing w:after="0" w:line="174" w:lineRule="exact"/>
        <w:rPr>
          <w:sz w:val="20"/>
          <w:szCs w:val="20"/>
          <w:color w:val="auto"/>
        </w:rPr>
      </w:pPr>
    </w:p>
    <w:p>
      <w:pPr>
        <w:jc w:val="both"/>
        <w:ind w:left="760"/>
        <w:spacing w:after="0" w:line="249" w:lineRule="auto"/>
        <w:rPr>
          <w:sz w:val="20"/>
          <w:szCs w:val="20"/>
          <w:color w:val="auto"/>
        </w:rPr>
      </w:pPr>
      <w:r>
        <w:rPr>
          <w:rFonts w:ascii="Times New Roman" w:cs="Times New Roman" w:eastAsia="Times New Roman" w:hAnsi="Times New Roman"/>
          <w:sz w:val="20"/>
          <w:szCs w:val="20"/>
          <w:color w:val="auto"/>
        </w:rPr>
        <w:t>EACH OF THE PARTIES ACKNOWLEDGES THAT HE/SHE/IT HAS READ THIS AGREEMENT, UNDERSTANDS IT AND IS VOLUNTARILY ENTERING INTO IT, AND THAT IT INCLUDES A WAIVER OF THE RIGHT TO A TRIAL BY JURY, AND, WITH RESPECT TO EXECUTIVE, HE/SHE UNDERSTANDS THAT THIS AGREEMENT INCLUDES A RELEASE OF ALL KNOWN AND UNKNOWN CLAIMS.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follows</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1105535</wp:posOffset>
            </wp:positionV>
            <wp:extent cx="7132320" cy="171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6"/>
          <w:szCs w:val="16"/>
          <w:b w:val="1"/>
          <w:bCs w:val="1"/>
          <w:color w:val="auto"/>
        </w:rPr>
        <w:t>E</w:t>
      </w:r>
      <w:r>
        <w:rPr>
          <w:rFonts w:ascii="Times New Roman" w:cs="Times New Roman" w:eastAsia="Times New Roman" w:hAnsi="Times New Roman"/>
          <w:sz w:val="10"/>
          <w:szCs w:val="10"/>
          <w:b w:val="1"/>
          <w:bCs w:val="1"/>
          <w:color w:val="auto"/>
        </w:rPr>
        <w:t>xecutive</w:t>
      </w:r>
      <w:r>
        <w:rPr>
          <w:rFonts w:ascii="Times New Roman" w:cs="Times New Roman" w:eastAsia="Times New Roman" w:hAnsi="Times New Roman"/>
          <w:sz w:val="16"/>
          <w:szCs w:val="16"/>
          <w:b w:val="1"/>
          <w:bCs w:val="1"/>
          <w:color w:val="auto"/>
        </w:rPr>
        <w:t xml:space="preserve"> E</w:t>
      </w:r>
      <w:r>
        <w:rPr>
          <w:rFonts w:ascii="Times New Roman" w:cs="Times New Roman" w:eastAsia="Times New Roman" w:hAnsi="Times New Roman"/>
          <w:sz w:val="10"/>
          <w:szCs w:val="10"/>
          <w:b w:val="1"/>
          <w:bCs w:val="1"/>
          <w:color w:val="auto"/>
        </w:rPr>
        <w:t>mployment</w:t>
      </w:r>
      <w:r>
        <w:rPr>
          <w:rFonts w:ascii="Times New Roman" w:cs="Times New Roman" w:eastAsia="Times New Roman" w:hAnsi="Times New Roman"/>
          <w:sz w:val="16"/>
          <w:szCs w:val="16"/>
          <w:b w:val="1"/>
          <w:bCs w:val="1"/>
          <w:color w:val="auto"/>
        </w:rPr>
        <w:t xml:space="preserve"> A</w:t>
      </w:r>
      <w:r>
        <w:rPr>
          <w:rFonts w:ascii="Times New Roman" w:cs="Times New Roman" w:eastAsia="Times New Roman" w:hAnsi="Times New Roman"/>
          <w:sz w:val="10"/>
          <w:szCs w:val="10"/>
          <w:b w:val="1"/>
          <w:bCs w:val="1"/>
          <w:color w:val="auto"/>
        </w:rPr>
        <w:t>gmt</w:t>
      </w:r>
      <w:r>
        <w:rPr>
          <w:rFonts w:ascii="Times New Roman" w:cs="Times New Roman" w:eastAsia="Times New Roman" w:hAnsi="Times New Roman"/>
          <w:sz w:val="16"/>
          <w:szCs w:val="16"/>
          <w:b w:val="1"/>
          <w:bCs w:val="1"/>
          <w:color w:val="auto"/>
        </w:rPr>
        <w:t xml:space="preserve"> S</w:t>
      </w:r>
      <w:r>
        <w:rPr>
          <w:rFonts w:ascii="Times New Roman" w:cs="Times New Roman" w:eastAsia="Times New Roman" w:hAnsi="Times New Roman"/>
          <w:sz w:val="10"/>
          <w:szCs w:val="10"/>
          <w:b w:val="1"/>
          <w:bCs w:val="1"/>
          <w:color w:val="auto"/>
        </w:rPr>
        <w:t>td</w:t>
      </w:r>
      <w:r>
        <w:rPr>
          <w:rFonts w:ascii="Times New Roman" w:cs="Times New Roman" w:eastAsia="Times New Roman" w:hAnsi="Times New Roman"/>
          <w:sz w:val="16"/>
          <w:szCs w:val="16"/>
          <w:b w:val="1"/>
          <w:bCs w:val="1"/>
          <w:color w:val="auto"/>
        </w:rPr>
        <w:t xml:space="preserve"> 11.1.22</w:t>
      </w:r>
      <w:r>
        <w:rPr>
          <w:sz w:val="20"/>
          <w:szCs w:val="20"/>
          <w:color w:val="auto"/>
        </w:rPr>
        <w:tab/>
      </w:r>
      <w:r>
        <w:rPr>
          <w:rFonts w:ascii="Times New Roman" w:cs="Times New Roman" w:eastAsia="Times New Roman" w:hAnsi="Times New Roman"/>
          <w:sz w:val="16"/>
          <w:szCs w:val="16"/>
          <w:b w:val="1"/>
          <w:bCs w:val="1"/>
          <w:color w:val="auto"/>
        </w:rPr>
        <w:t>A</w:t>
      </w:r>
      <w:r>
        <w:rPr>
          <w:rFonts w:ascii="Times New Roman" w:cs="Times New Roman" w:eastAsia="Times New Roman" w:hAnsi="Times New Roman"/>
          <w:sz w:val="10"/>
          <w:szCs w:val="10"/>
          <w:b w:val="1"/>
          <w:bCs w:val="1"/>
          <w:color w:val="auto"/>
        </w:rPr>
        <w:t>ccuray</w:t>
      </w:r>
      <w:r>
        <w:rPr>
          <w:rFonts w:ascii="Times New Roman" w:cs="Times New Roman" w:eastAsia="Times New Roman" w:hAnsi="Times New Roman"/>
          <w:sz w:val="16"/>
          <w:szCs w:val="16"/>
          <w:b w:val="1"/>
          <w:bCs w:val="1"/>
          <w:color w:val="auto"/>
        </w:rPr>
        <w:t xml:space="preserve"> C</w:t>
      </w:r>
      <w:r>
        <w:rPr>
          <w:rFonts w:ascii="Times New Roman" w:cs="Times New Roman" w:eastAsia="Times New Roman" w:hAnsi="Times New Roman"/>
          <w:sz w:val="10"/>
          <w:szCs w:val="10"/>
          <w:b w:val="1"/>
          <w:bCs w:val="1"/>
          <w:color w:val="auto"/>
        </w:rPr>
        <w:t>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643255</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78" w:name="page79"/>
    <w:bookmarkEnd w:id="78"/>
    <w:p>
      <w:pPr>
        <w:ind w:left="760"/>
        <w:spacing w:after="0"/>
        <w:rPr>
          <w:sz w:val="20"/>
          <w:szCs w:val="20"/>
          <w:color w:val="auto"/>
        </w:rPr>
      </w:pPr>
      <w:r>
        <w:rPr>
          <w:rFonts w:ascii="Times New Roman" w:cs="Times New Roman" w:eastAsia="Times New Roman" w:hAnsi="Times New Roman"/>
          <w:sz w:val="20"/>
          <w:szCs w:val="20"/>
          <w:color w:val="auto"/>
        </w:rPr>
        <w:t>IN WITNESS WHEREOF, the parties have caused this Agreement to be executed as of the dates written below.</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40" w:type="dxa"/>
            <w:vAlign w:val="bottom"/>
          </w:tcPr>
          <w:p>
            <w:pPr>
              <w:ind w:left="100"/>
              <w:spacing w:after="0"/>
              <w:rPr>
                <w:sz w:val="20"/>
                <w:szCs w:val="20"/>
                <w:color w:val="auto"/>
              </w:rPr>
            </w:pPr>
            <w:r>
              <w:rPr>
                <w:rFonts w:ascii="Times New Roman" w:cs="Times New Roman" w:eastAsia="Times New Roman" w:hAnsi="Times New Roman"/>
                <w:sz w:val="20"/>
                <w:szCs w:val="20"/>
                <w:b w:val="1"/>
                <w:bCs w:val="1"/>
                <w:color w:val="auto"/>
              </w:rPr>
              <w:t>EXECUTIVE</w:t>
            </w:r>
            <w:r>
              <w:rPr>
                <w:rFonts w:ascii="Times New Roman" w:cs="Times New Roman" w:eastAsia="Times New Roman" w:hAnsi="Times New Roman"/>
                <w:sz w:val="20"/>
                <w:szCs w:val="20"/>
                <w:color w:val="auto"/>
              </w:rPr>
              <w:t>:</w:t>
            </w:r>
          </w:p>
        </w:tc>
        <w:tc>
          <w:tcPr>
            <w:tcW w:w="1160" w:type="dxa"/>
            <w:vAlign w:val="bottom"/>
          </w:tcPr>
          <w:p>
            <w:pPr>
              <w:spacing w:after="0"/>
              <w:rPr>
                <w:sz w:val="19"/>
                <w:szCs w:val="19"/>
                <w:color w:val="auto"/>
              </w:rPr>
            </w:pPr>
          </w:p>
        </w:tc>
        <w:tc>
          <w:tcPr>
            <w:tcW w:w="142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20"/>
                <w:szCs w:val="20"/>
                <w:color w:val="auto"/>
                <w:w w:val="98"/>
              </w:rPr>
              <w:t>/s/ Michael Hoge</w:t>
            </w:r>
          </w:p>
        </w:tc>
        <w:tc>
          <w:tcPr>
            <w:tcW w:w="472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668"/>
        </w:trPr>
        <w:tc>
          <w:tcPr>
            <w:tcW w:w="3940" w:type="dxa"/>
            <w:vAlign w:val="bottom"/>
          </w:tcPr>
          <w:p>
            <w:pPr>
              <w:spacing w:after="0"/>
              <w:rPr>
                <w:sz w:val="24"/>
                <w:szCs w:val="24"/>
                <w:color w:val="auto"/>
              </w:rPr>
            </w:pPr>
          </w:p>
        </w:tc>
        <w:tc>
          <w:tcPr>
            <w:tcW w:w="7300" w:type="dxa"/>
            <w:vAlign w:val="bottom"/>
            <w:gridSpan w:val="8"/>
          </w:tcPr>
          <w:p>
            <w:pPr>
              <w:ind w:left="1160"/>
              <w:spacing w:after="0"/>
              <w:rPr>
                <w:sz w:val="20"/>
                <w:szCs w:val="20"/>
                <w:color w:val="auto"/>
              </w:rPr>
            </w:pPr>
            <w:r>
              <w:rPr>
                <w:rFonts w:ascii="Times New Roman" w:cs="Times New Roman" w:eastAsia="Times New Roman" w:hAnsi="Times New Roman"/>
                <w:sz w:val="20"/>
                <w:szCs w:val="20"/>
                <w:color w:val="auto"/>
              </w:rPr>
              <w:t>Date: January 6, 2026</w:t>
            </w:r>
          </w:p>
        </w:tc>
        <w:tc>
          <w:tcPr>
            <w:tcW w:w="0" w:type="dxa"/>
            <w:vAlign w:val="bottom"/>
          </w:tcPr>
          <w:p>
            <w:pPr>
              <w:spacing w:after="0"/>
              <w:rPr>
                <w:sz w:val="1"/>
                <w:szCs w:val="1"/>
                <w:color w:val="auto"/>
              </w:rPr>
            </w:pPr>
          </w:p>
        </w:tc>
      </w:tr>
      <w:tr>
        <w:trPr>
          <w:trHeight w:val="20"/>
        </w:trPr>
        <w:tc>
          <w:tcPr>
            <w:tcW w:w="3940" w:type="dxa"/>
            <w:vAlign w:val="bottom"/>
            <w:vMerge w:val="restart"/>
          </w:tcPr>
          <w:p>
            <w:pPr>
              <w:ind w:left="100"/>
              <w:spacing w:after="0"/>
              <w:rPr>
                <w:sz w:val="20"/>
                <w:szCs w:val="20"/>
                <w:color w:val="auto"/>
              </w:rPr>
            </w:pP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w:t>
            </w:r>
          </w:p>
        </w:tc>
        <w:tc>
          <w:tcPr>
            <w:tcW w:w="1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6"/>
        </w:trPr>
        <w:tc>
          <w:tcPr>
            <w:tcW w:w="3940" w:type="dxa"/>
            <w:vAlign w:val="bottom"/>
            <w:vMerge w:val="continue"/>
          </w:tcPr>
          <w:p>
            <w:pPr>
              <w:spacing w:after="0"/>
              <w:rPr>
                <w:sz w:val="24"/>
                <w:szCs w:val="24"/>
                <w:color w:val="auto"/>
              </w:rPr>
            </w:pPr>
          </w:p>
        </w:tc>
        <w:tc>
          <w:tcPr>
            <w:tcW w:w="7300" w:type="dxa"/>
            <w:vAlign w:val="bottom"/>
            <w:gridSpan w:val="8"/>
          </w:tcPr>
          <w:p>
            <w:pPr>
              <w:ind w:left="1160"/>
              <w:spacing w:after="0"/>
              <w:rPr>
                <w:sz w:val="20"/>
                <w:szCs w:val="20"/>
                <w:color w:val="auto"/>
              </w:rPr>
            </w:pPr>
            <w:r>
              <w:rPr>
                <w:rFonts w:ascii="Times New Roman" w:cs="Times New Roman" w:eastAsia="Times New Roman" w:hAnsi="Times New Roman"/>
                <w:sz w:val="20"/>
                <w:szCs w:val="20"/>
                <w:color w:val="auto"/>
              </w:rPr>
              <w:t>Accuray Incorporated</w:t>
            </w:r>
          </w:p>
        </w:tc>
        <w:tc>
          <w:tcPr>
            <w:tcW w:w="0" w:type="dxa"/>
            <w:vAlign w:val="bottom"/>
          </w:tcPr>
          <w:p>
            <w:pPr>
              <w:spacing w:after="0"/>
              <w:rPr>
                <w:sz w:val="1"/>
                <w:szCs w:val="1"/>
                <w:color w:val="auto"/>
              </w:rPr>
            </w:pPr>
          </w:p>
        </w:tc>
      </w:tr>
      <w:tr>
        <w:trPr>
          <w:trHeight w:val="413"/>
        </w:trPr>
        <w:tc>
          <w:tcPr>
            <w:tcW w:w="3940" w:type="dxa"/>
            <w:vAlign w:val="bottom"/>
          </w:tcPr>
          <w:p>
            <w:pPr>
              <w:spacing w:after="0"/>
              <w:rPr>
                <w:sz w:val="24"/>
                <w:szCs w:val="24"/>
                <w:color w:val="auto"/>
              </w:rPr>
            </w:pPr>
          </w:p>
        </w:tc>
        <w:tc>
          <w:tcPr>
            <w:tcW w:w="7300" w:type="dxa"/>
            <w:vAlign w:val="bottom"/>
            <w:gridSpan w:val="8"/>
          </w:tcPr>
          <w:p>
            <w:pPr>
              <w:ind w:left="1160"/>
              <w:spacing w:after="0"/>
              <w:rPr>
                <w:sz w:val="20"/>
                <w:szCs w:val="20"/>
                <w:color w:val="auto"/>
              </w:rPr>
            </w:pPr>
            <w:r>
              <w:rPr>
                <w:rFonts w:ascii="Times New Roman" w:cs="Times New Roman" w:eastAsia="Times New Roman" w:hAnsi="Times New Roman"/>
                <w:sz w:val="20"/>
                <w:szCs w:val="20"/>
                <w:color w:val="auto"/>
              </w:rPr>
              <w:t>By: /s/ Jesse Chew</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gridSpan w:val="3"/>
            <w:shd w:val="clear" w:color="auto" w:fill="000000"/>
          </w:tcPr>
          <w:p>
            <w:pPr>
              <w:spacing w:after="0" w:line="20" w:lineRule="exact"/>
              <w:rPr>
                <w:sz w:val="1"/>
                <w:szCs w:val="1"/>
                <w:color w:val="auto"/>
              </w:rPr>
            </w:pPr>
          </w:p>
        </w:tc>
        <w:tc>
          <w:tcPr>
            <w:tcW w:w="4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3940" w:type="dxa"/>
            <w:vAlign w:val="bottom"/>
          </w:tcPr>
          <w:p>
            <w:pPr>
              <w:spacing w:after="0"/>
              <w:rPr>
                <w:sz w:val="19"/>
                <w:szCs w:val="19"/>
                <w:color w:val="auto"/>
              </w:rPr>
            </w:pPr>
          </w:p>
        </w:tc>
        <w:tc>
          <w:tcPr>
            <w:tcW w:w="7300" w:type="dxa"/>
            <w:vAlign w:val="bottom"/>
            <w:gridSpan w:val="8"/>
          </w:tcPr>
          <w:p>
            <w:pPr>
              <w:ind w:left="1160"/>
              <w:spacing w:after="0" w:line="228" w:lineRule="exact"/>
              <w:rPr>
                <w:sz w:val="20"/>
                <w:szCs w:val="20"/>
                <w:color w:val="auto"/>
              </w:rPr>
            </w:pPr>
            <w:r>
              <w:rPr>
                <w:rFonts w:ascii="Times New Roman" w:cs="Times New Roman" w:eastAsia="Times New Roman" w:hAnsi="Times New Roman"/>
                <w:sz w:val="20"/>
                <w:szCs w:val="20"/>
                <w:color w:val="auto"/>
              </w:rPr>
              <w:t>Name: Jesse Chew</w:t>
            </w:r>
          </w:p>
        </w:tc>
        <w:tc>
          <w:tcPr>
            <w:tcW w:w="0" w:type="dxa"/>
            <w:vAlign w:val="bottom"/>
          </w:tcPr>
          <w:p>
            <w:pPr>
              <w:spacing w:after="0"/>
              <w:rPr>
                <w:sz w:val="1"/>
                <w:szCs w:val="1"/>
                <w:color w:val="auto"/>
              </w:rPr>
            </w:pPr>
          </w:p>
        </w:tc>
      </w:tr>
      <w:tr>
        <w:trPr>
          <w:trHeight w:val="258"/>
        </w:trPr>
        <w:tc>
          <w:tcPr>
            <w:tcW w:w="3940" w:type="dxa"/>
            <w:vAlign w:val="bottom"/>
          </w:tcPr>
          <w:p>
            <w:pPr>
              <w:spacing w:after="0"/>
              <w:rPr>
                <w:sz w:val="22"/>
                <w:szCs w:val="22"/>
                <w:color w:val="auto"/>
              </w:rPr>
            </w:pPr>
          </w:p>
        </w:tc>
        <w:tc>
          <w:tcPr>
            <w:tcW w:w="7300" w:type="dxa"/>
            <w:vAlign w:val="bottom"/>
            <w:gridSpan w:val="8"/>
          </w:tcPr>
          <w:p>
            <w:pPr>
              <w:ind w:left="1160"/>
              <w:spacing w:after="0"/>
              <w:rPr>
                <w:sz w:val="20"/>
                <w:szCs w:val="20"/>
                <w:color w:val="auto"/>
              </w:rPr>
            </w:pPr>
            <w:r>
              <w:rPr>
                <w:rFonts w:ascii="Times New Roman" w:cs="Times New Roman" w:eastAsia="Times New Roman" w:hAnsi="Times New Roman"/>
                <w:sz w:val="20"/>
                <w:szCs w:val="20"/>
                <w:color w:val="auto"/>
              </w:rPr>
              <w:t>Title: Chief Legal Officer</w:t>
            </w:r>
          </w:p>
        </w:tc>
        <w:tc>
          <w:tcPr>
            <w:tcW w:w="0" w:type="dxa"/>
            <w:vAlign w:val="bottom"/>
          </w:tcPr>
          <w:p>
            <w:pPr>
              <w:spacing w:after="0"/>
              <w:rPr>
                <w:sz w:val="1"/>
                <w:szCs w:val="1"/>
                <w:color w:val="auto"/>
              </w:rPr>
            </w:pPr>
          </w:p>
        </w:tc>
      </w:tr>
      <w:tr>
        <w:trPr>
          <w:trHeight w:val="413"/>
        </w:trPr>
        <w:tc>
          <w:tcPr>
            <w:tcW w:w="3940" w:type="dxa"/>
            <w:vAlign w:val="bottom"/>
          </w:tcPr>
          <w:p>
            <w:pPr>
              <w:spacing w:after="0"/>
              <w:rPr>
                <w:sz w:val="24"/>
                <w:szCs w:val="24"/>
                <w:color w:val="auto"/>
              </w:rPr>
            </w:pPr>
          </w:p>
        </w:tc>
        <w:tc>
          <w:tcPr>
            <w:tcW w:w="7300" w:type="dxa"/>
            <w:vAlign w:val="bottom"/>
            <w:gridSpan w:val="8"/>
          </w:tcPr>
          <w:p>
            <w:pPr>
              <w:ind w:left="1160"/>
              <w:spacing w:after="0"/>
              <w:rPr>
                <w:sz w:val="20"/>
                <w:szCs w:val="20"/>
                <w:color w:val="auto"/>
              </w:rPr>
            </w:pPr>
            <w:r>
              <w:rPr>
                <w:rFonts w:ascii="Times New Roman" w:cs="Times New Roman" w:eastAsia="Times New Roman" w:hAnsi="Times New Roman"/>
                <w:sz w:val="20"/>
                <w:szCs w:val="20"/>
                <w:color w:val="auto"/>
              </w:rPr>
              <w:t>Date: January 6, 2025</w:t>
            </w:r>
          </w:p>
        </w:tc>
        <w:tc>
          <w:tcPr>
            <w:tcW w:w="0" w:type="dxa"/>
            <w:vAlign w:val="bottom"/>
          </w:tcPr>
          <w:p>
            <w:pPr>
              <w:spacing w:after="0"/>
              <w:rPr>
                <w:sz w:val="1"/>
                <w:szCs w:val="1"/>
                <w:color w:val="auto"/>
              </w:rPr>
            </w:pPr>
          </w:p>
        </w:tc>
      </w:tr>
      <w:tr>
        <w:trPr>
          <w:trHeight w:val="648"/>
        </w:trPr>
        <w:tc>
          <w:tcPr>
            <w:tcW w:w="39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w:t>
            </w:r>
            <w:r>
              <w:rPr>
                <w:rFonts w:ascii="Times New Roman" w:cs="Times New Roman" w:eastAsia="Times New Roman" w:hAnsi="Times New Roman"/>
                <w:sz w:val="10"/>
                <w:szCs w:val="10"/>
                <w:b w:val="1"/>
                <w:bCs w:val="1"/>
                <w:color w:val="auto"/>
              </w:rPr>
              <w:t>xecutive</w:t>
            </w:r>
            <w:r>
              <w:rPr>
                <w:rFonts w:ascii="Times New Roman" w:cs="Times New Roman" w:eastAsia="Times New Roman" w:hAnsi="Times New Roman"/>
                <w:sz w:val="16"/>
                <w:szCs w:val="16"/>
                <w:b w:val="1"/>
                <w:bCs w:val="1"/>
                <w:color w:val="auto"/>
              </w:rPr>
              <w:t xml:space="preserve"> E</w:t>
            </w:r>
            <w:r>
              <w:rPr>
                <w:rFonts w:ascii="Times New Roman" w:cs="Times New Roman" w:eastAsia="Times New Roman" w:hAnsi="Times New Roman"/>
                <w:sz w:val="10"/>
                <w:szCs w:val="10"/>
                <w:b w:val="1"/>
                <w:bCs w:val="1"/>
                <w:color w:val="auto"/>
              </w:rPr>
              <w:t>mployment</w:t>
            </w:r>
            <w:r>
              <w:rPr>
                <w:rFonts w:ascii="Times New Roman" w:cs="Times New Roman" w:eastAsia="Times New Roman" w:hAnsi="Times New Roman"/>
                <w:sz w:val="16"/>
                <w:szCs w:val="16"/>
                <w:b w:val="1"/>
                <w:bCs w:val="1"/>
                <w:color w:val="auto"/>
              </w:rPr>
              <w:t xml:space="preserve"> A</w:t>
            </w:r>
            <w:r>
              <w:rPr>
                <w:rFonts w:ascii="Times New Roman" w:cs="Times New Roman" w:eastAsia="Times New Roman" w:hAnsi="Times New Roman"/>
                <w:sz w:val="10"/>
                <w:szCs w:val="10"/>
                <w:b w:val="1"/>
                <w:bCs w:val="1"/>
                <w:color w:val="auto"/>
              </w:rPr>
              <w:t>gmt</w:t>
            </w:r>
            <w:r>
              <w:rPr>
                <w:rFonts w:ascii="Times New Roman" w:cs="Times New Roman" w:eastAsia="Times New Roman" w:hAnsi="Times New Roman"/>
                <w:sz w:val="16"/>
                <w:szCs w:val="16"/>
                <w:b w:val="1"/>
                <w:bCs w:val="1"/>
                <w:color w:val="auto"/>
              </w:rPr>
              <w:t xml:space="preserve"> S</w:t>
            </w:r>
            <w:r>
              <w:rPr>
                <w:rFonts w:ascii="Times New Roman" w:cs="Times New Roman" w:eastAsia="Times New Roman" w:hAnsi="Times New Roman"/>
                <w:sz w:val="10"/>
                <w:szCs w:val="10"/>
                <w:b w:val="1"/>
                <w:bCs w:val="1"/>
                <w:color w:val="auto"/>
              </w:rPr>
              <w:t>td</w:t>
            </w:r>
            <w:r>
              <w:rPr>
                <w:rFonts w:ascii="Times New Roman" w:cs="Times New Roman" w:eastAsia="Times New Roman" w:hAnsi="Times New Roman"/>
                <w:sz w:val="16"/>
                <w:szCs w:val="16"/>
                <w:b w:val="1"/>
                <w:bCs w:val="1"/>
                <w:color w:val="auto"/>
              </w:rPr>
              <w:t xml:space="preserve"> 11.1.22</w:t>
            </w: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60" w:type="dxa"/>
            <w:vAlign w:val="bottom"/>
            <w:gridSpan w:val="4"/>
          </w:tcPr>
          <w:p>
            <w:pPr>
              <w:ind w:left="700"/>
              <w:spacing w:after="0"/>
              <w:rPr>
                <w:sz w:val="20"/>
                <w:szCs w:val="20"/>
                <w:color w:val="auto"/>
              </w:rPr>
            </w:pPr>
            <w:r>
              <w:rPr>
                <w:rFonts w:ascii="Times New Roman" w:cs="Times New Roman" w:eastAsia="Times New Roman" w:hAnsi="Times New Roman"/>
                <w:sz w:val="16"/>
                <w:szCs w:val="16"/>
                <w:b w:val="1"/>
                <w:bCs w:val="1"/>
                <w:color w:val="auto"/>
              </w:rPr>
              <w:t>A</w:t>
            </w:r>
            <w:r>
              <w:rPr>
                <w:rFonts w:ascii="Times New Roman" w:cs="Times New Roman" w:eastAsia="Times New Roman" w:hAnsi="Times New Roman"/>
                <w:sz w:val="10"/>
                <w:szCs w:val="10"/>
                <w:b w:val="1"/>
                <w:bCs w:val="1"/>
                <w:color w:val="auto"/>
              </w:rPr>
              <w:t>ccuray</w:t>
            </w:r>
            <w:r>
              <w:rPr>
                <w:rFonts w:ascii="Times New Roman" w:cs="Times New Roman" w:eastAsia="Times New Roman" w:hAnsi="Times New Roman"/>
                <w:sz w:val="16"/>
                <w:szCs w:val="16"/>
                <w:b w:val="1"/>
                <w:bCs w:val="1"/>
                <w:color w:val="auto"/>
              </w:rPr>
              <w:t xml:space="preserve"> C</w:t>
            </w:r>
            <w:r>
              <w:rPr>
                <w:rFonts w:ascii="Times New Roman" w:cs="Times New Roman" w:eastAsia="Times New Roman" w:hAnsi="Times New Roman"/>
                <w:sz w:val="10"/>
                <w:szCs w:val="10"/>
                <w:b w:val="1"/>
                <w:bCs w:val="1"/>
                <w:color w:val="auto"/>
              </w:rPr>
              <w:t>onfidential</w:t>
            </w:r>
          </w:p>
        </w:tc>
        <w:tc>
          <w:tcPr>
            <w:tcW w:w="0" w:type="dxa"/>
            <w:vAlign w:val="bottom"/>
          </w:tcPr>
          <w:p>
            <w:pPr>
              <w:spacing w:after="0"/>
              <w:rPr>
                <w:sz w:val="1"/>
                <w:szCs w:val="1"/>
                <w:color w:val="auto"/>
              </w:rPr>
            </w:pPr>
          </w:p>
        </w:tc>
      </w:tr>
      <w:tr>
        <w:trPr>
          <w:trHeight w:val="996"/>
        </w:trPr>
        <w:tc>
          <w:tcPr>
            <w:tcW w:w="39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9" w:name="page80"/>
    <w:bookmarkEnd w:id="79"/>
    <w:p>
      <w:pPr>
        <w:ind w:left="33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808480" cy="21463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clrChange>
                        <a:clrFrom>
                          <a:srgbClr val="FFFFFF"/>
                        </a:clrFrom>
                        <a:clrTo>
                          <a:srgbClr val="FFFFFF">
                            <a:alpha val="0"/>
                          </a:srgbClr>
                        </a:clrTo>
                      </a:clrChange>
                      <a:extLst>
                        <a:ext uri="{28A0092B-C50C-407E-A947-70E740481C1C}"/>
                      </a:extLst>
                    </a:blip>
                    <a:srcRect/>
                    <a:stretch>
                      <a:fillRect/>
                    </a:stretch>
                  </pic:blipFill>
                  <pic:spPr bwMode="auto">
                    <a:xfrm>
                      <a:off x="0" y="0"/>
                      <a:ext cx="1808480" cy="214630"/>
                    </a:xfrm>
                    <a:prstGeom prst="rect">
                      <a:avLst/>
                    </a:prstGeom>
                    <a:noFill/>
                  </pic:spPr>
                </pic:pic>
              </a:graphicData>
            </a:graphic>
          </wp:anchor>
        </w:drawing>
        <w:t>EXHIBIT 10.2</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1</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NUMPAGES 34</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00171E"/>
        </w:rPr>
        <w:t>EXECUTIVE EMPLOYMENT AGREEMENT</w:t>
      </w:r>
    </w:p>
    <w:p>
      <w:pPr>
        <w:spacing w:after="0" w:line="220"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00171E"/>
        </w:rPr>
        <w:t>This Employment Agreement (“</w:t>
      </w:r>
      <w:r>
        <w:rPr>
          <w:rFonts w:ascii="Times New Roman" w:cs="Times New Roman" w:eastAsia="Times New Roman" w:hAnsi="Times New Roman"/>
          <w:sz w:val="20"/>
          <w:szCs w:val="20"/>
          <w:u w:val="single" w:color="auto"/>
          <w:color w:val="00171E"/>
        </w:rPr>
        <w:t>Agreement</w:t>
      </w:r>
      <w:r>
        <w:rPr>
          <w:rFonts w:ascii="Times New Roman" w:cs="Times New Roman" w:eastAsia="Times New Roman" w:hAnsi="Times New Roman"/>
          <w:sz w:val="20"/>
          <w:szCs w:val="20"/>
          <w:color w:val="00171E"/>
        </w:rPr>
        <w:t>”) is entered into and effective as of February 3, 2025 (“</w:t>
      </w:r>
      <w:r>
        <w:rPr>
          <w:rFonts w:ascii="Times New Roman" w:cs="Times New Roman" w:eastAsia="Times New Roman" w:hAnsi="Times New Roman"/>
          <w:sz w:val="20"/>
          <w:szCs w:val="20"/>
          <w:u w:val="single" w:color="auto"/>
          <w:color w:val="00171E"/>
        </w:rPr>
        <w:t>Effective Date</w:t>
      </w:r>
      <w:r>
        <w:rPr>
          <w:rFonts w:ascii="Times New Roman" w:cs="Times New Roman" w:eastAsia="Times New Roman" w:hAnsi="Times New Roman"/>
          <w:sz w:val="20"/>
          <w:szCs w:val="20"/>
          <w:color w:val="00171E"/>
        </w:rPr>
        <w:t>”), by and between Accuray Incorporated, a Delaware corporation (the “</w:t>
      </w:r>
      <w:r>
        <w:rPr>
          <w:rFonts w:ascii="Times New Roman" w:cs="Times New Roman" w:eastAsia="Times New Roman" w:hAnsi="Times New Roman"/>
          <w:sz w:val="20"/>
          <w:szCs w:val="20"/>
          <w:u w:val="single" w:color="auto"/>
          <w:color w:val="00171E"/>
        </w:rPr>
        <w:t>Company</w:t>
      </w:r>
      <w:r>
        <w:rPr>
          <w:rFonts w:ascii="Times New Roman" w:cs="Times New Roman" w:eastAsia="Times New Roman" w:hAnsi="Times New Roman"/>
          <w:sz w:val="20"/>
          <w:szCs w:val="20"/>
          <w:color w:val="00171E"/>
        </w:rPr>
        <w:t>”), and Suzanne Winter (“</w:t>
      </w:r>
      <w:r>
        <w:rPr>
          <w:rFonts w:ascii="Times New Roman" w:cs="Times New Roman" w:eastAsia="Times New Roman" w:hAnsi="Times New Roman"/>
          <w:sz w:val="20"/>
          <w:szCs w:val="20"/>
          <w:u w:val="single" w:color="auto"/>
          <w:color w:val="00171E"/>
        </w:rPr>
        <w:t>Executive</w:t>
      </w:r>
      <w:r>
        <w:rPr>
          <w:rFonts w:ascii="Times New Roman" w:cs="Times New Roman" w:eastAsia="Times New Roman" w:hAnsi="Times New Roman"/>
          <w:sz w:val="20"/>
          <w:szCs w:val="20"/>
          <w:color w:val="00171E"/>
        </w:rPr>
        <w: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00171E"/>
        </w:rPr>
        <w:t>RECITALS</w:t>
      </w:r>
    </w:p>
    <w:p>
      <w:pPr>
        <w:spacing w:after="0" w:line="220" w:lineRule="exact"/>
        <w:rPr>
          <w:sz w:val="20"/>
          <w:szCs w:val="20"/>
          <w:color w:val="auto"/>
        </w:rPr>
      </w:pPr>
    </w:p>
    <w:p>
      <w:pPr>
        <w:ind w:right="40" w:firstLine="757"/>
        <w:spacing w:after="0" w:line="269" w:lineRule="auto"/>
        <w:tabs>
          <w:tab w:leader="none" w:pos="1145" w:val="left"/>
        </w:tabs>
        <w:numPr>
          <w:ilvl w:val="0"/>
          <w:numId w:val="56"/>
        </w:numPr>
        <w:rPr>
          <w:rFonts w:ascii="Times New Roman" w:cs="Times New Roman" w:eastAsia="Times New Roman" w:hAnsi="Times New Roman"/>
          <w:sz w:val="20"/>
          <w:szCs w:val="20"/>
          <w:color w:val="00171E"/>
        </w:rPr>
      </w:pPr>
      <w:r>
        <w:rPr>
          <w:rFonts w:ascii="Times New Roman" w:cs="Times New Roman" w:eastAsia="Times New Roman" w:hAnsi="Times New Roman"/>
          <w:sz w:val="20"/>
          <w:szCs w:val="20"/>
          <w:color w:val="00171E"/>
        </w:rPr>
        <w:t>The Company is in the business of developing, manufacturing and selling radiation oncology, including radio surgery and radiation therapy, technologies and devices (the “</w:t>
      </w:r>
      <w:r>
        <w:rPr>
          <w:rFonts w:ascii="Times New Roman" w:cs="Times New Roman" w:eastAsia="Times New Roman" w:hAnsi="Times New Roman"/>
          <w:sz w:val="20"/>
          <w:szCs w:val="20"/>
          <w:u w:val="single" w:color="auto"/>
          <w:color w:val="00171E"/>
        </w:rPr>
        <w:t>Business</w:t>
      </w:r>
      <w:r>
        <w:rPr>
          <w:rFonts w:ascii="Times New Roman" w:cs="Times New Roman" w:eastAsia="Times New Roman" w:hAnsi="Times New Roman"/>
          <w:sz w:val="20"/>
          <w:szCs w:val="20"/>
          <w:color w:val="00171E"/>
        </w:rPr>
        <w:t>”).</w:t>
      </w:r>
    </w:p>
    <w:p>
      <w:pPr>
        <w:spacing w:after="0" w:line="159" w:lineRule="exact"/>
        <w:rPr>
          <w:rFonts w:ascii="Times New Roman" w:cs="Times New Roman" w:eastAsia="Times New Roman" w:hAnsi="Times New Roman"/>
          <w:sz w:val="20"/>
          <w:szCs w:val="20"/>
          <w:color w:val="00171E"/>
        </w:rPr>
      </w:pPr>
    </w:p>
    <w:p>
      <w:pPr>
        <w:ind w:right="20" w:firstLine="757"/>
        <w:spacing w:after="0" w:line="269" w:lineRule="auto"/>
        <w:tabs>
          <w:tab w:leader="none" w:pos="1145" w:val="left"/>
        </w:tabs>
        <w:numPr>
          <w:ilvl w:val="0"/>
          <w:numId w:val="56"/>
        </w:numPr>
        <w:rPr>
          <w:rFonts w:ascii="Times New Roman" w:cs="Times New Roman" w:eastAsia="Times New Roman" w:hAnsi="Times New Roman"/>
          <w:sz w:val="20"/>
          <w:szCs w:val="20"/>
          <w:color w:val="00171E"/>
        </w:rPr>
      </w:pPr>
      <w:r>
        <w:rPr>
          <w:rFonts w:ascii="Times New Roman" w:cs="Times New Roman" w:eastAsia="Times New Roman" w:hAnsi="Times New Roman"/>
          <w:sz w:val="20"/>
          <w:szCs w:val="20"/>
          <w:color w:val="00171E"/>
        </w:rPr>
        <w:t>The Company wishes to employ Executive to serve as President and Chief Executive Officer and Executive desires to serve the Company in such capacity pursuant to the terms and conditions in this Agreement.</w:t>
      </w:r>
    </w:p>
    <w:p>
      <w:pPr>
        <w:spacing w:after="0" w:line="159" w:lineRule="exact"/>
        <w:rPr>
          <w:rFonts w:ascii="Times New Roman" w:cs="Times New Roman" w:eastAsia="Times New Roman" w:hAnsi="Times New Roman"/>
          <w:sz w:val="20"/>
          <w:szCs w:val="20"/>
          <w:color w:val="00171E"/>
        </w:rPr>
      </w:pPr>
    </w:p>
    <w:p>
      <w:pPr>
        <w:ind w:left="1160" w:hanging="403"/>
        <w:spacing w:after="0"/>
        <w:tabs>
          <w:tab w:leader="none" w:pos="1160" w:val="left"/>
        </w:tabs>
        <w:numPr>
          <w:ilvl w:val="0"/>
          <w:numId w:val="56"/>
        </w:numPr>
        <w:rPr>
          <w:rFonts w:ascii="Times New Roman" w:cs="Times New Roman" w:eastAsia="Times New Roman" w:hAnsi="Times New Roman"/>
          <w:sz w:val="20"/>
          <w:szCs w:val="20"/>
          <w:color w:val="00171E"/>
        </w:rPr>
      </w:pPr>
      <w:r>
        <w:rPr>
          <w:rFonts w:ascii="Times New Roman" w:cs="Times New Roman" w:eastAsia="Times New Roman" w:hAnsi="Times New Roman"/>
          <w:sz w:val="20"/>
          <w:szCs w:val="20"/>
          <w:color w:val="00171E"/>
        </w:rPr>
        <w:t>As of the Effective Date, Executive has commenced full-time employment with the Company.</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00171E"/>
        </w:rPr>
        <w:t>NOW, THEREFORE, the parties agree as follows:</w:t>
      </w:r>
    </w:p>
    <w:p>
      <w:pPr>
        <w:spacing w:after="0" w:line="212" w:lineRule="exact"/>
        <w:rPr>
          <w:sz w:val="20"/>
          <w:szCs w:val="20"/>
          <w:color w:val="auto"/>
        </w:rPr>
      </w:pPr>
    </w:p>
    <w:p>
      <w:pPr>
        <w:ind w:left="1020" w:hanging="263"/>
        <w:spacing w:after="0"/>
        <w:tabs>
          <w:tab w:leader="none" w:pos="1020" w:val="left"/>
        </w:tabs>
        <w:numPr>
          <w:ilvl w:val="0"/>
          <w:numId w:val="57"/>
        </w:numPr>
        <w:rPr>
          <w:rFonts w:ascii="Times New Roman" w:cs="Times New Roman" w:eastAsia="Times New Roman" w:hAnsi="Times New Roman"/>
          <w:sz w:val="20"/>
          <w:szCs w:val="20"/>
          <w:b w:val="1"/>
          <w:bCs w:val="1"/>
          <w:color w:val="00171E"/>
        </w:rPr>
      </w:pPr>
      <w:r>
        <w:rPr>
          <w:rFonts w:ascii="Times New Roman" w:cs="Times New Roman" w:eastAsia="Times New Roman" w:hAnsi="Times New Roman"/>
          <w:sz w:val="20"/>
          <w:szCs w:val="20"/>
          <w:b w:val="1"/>
          <w:bCs w:val="1"/>
          <w:color w:val="00171E"/>
        </w:rPr>
        <w:t>Position and Duties.</w:t>
      </w:r>
    </w:p>
    <w:p>
      <w:pPr>
        <w:spacing w:after="0" w:line="219" w:lineRule="exact"/>
        <w:rPr>
          <w:rFonts w:ascii="Times New Roman" w:cs="Times New Roman" w:eastAsia="Times New Roman" w:hAnsi="Times New Roman"/>
          <w:sz w:val="20"/>
          <w:szCs w:val="20"/>
          <w:b w:val="1"/>
          <w:bCs w:val="1"/>
          <w:color w:val="00171E"/>
        </w:rPr>
      </w:pPr>
    </w:p>
    <w:p>
      <w:pPr>
        <w:jc w:val="both"/>
        <w:ind w:firstLine="1505"/>
        <w:spacing w:after="0" w:line="243" w:lineRule="auto"/>
        <w:tabs>
          <w:tab w:leader="none" w:pos="2036" w:val="left"/>
        </w:tabs>
        <w:numPr>
          <w:ilvl w:val="1"/>
          <w:numId w:val="57"/>
        </w:numPr>
        <w:rPr>
          <w:rFonts w:ascii="Times New Roman" w:cs="Times New Roman" w:eastAsia="Times New Roman" w:hAnsi="Times New Roman"/>
          <w:sz w:val="20"/>
          <w:szCs w:val="20"/>
          <w:u w:val="single" w:color="auto"/>
          <w:color w:val="00171E"/>
        </w:rPr>
      </w:pPr>
      <w:r>
        <w:rPr>
          <w:rFonts w:ascii="Times New Roman" w:cs="Times New Roman" w:eastAsia="Times New Roman" w:hAnsi="Times New Roman"/>
          <w:sz w:val="20"/>
          <w:szCs w:val="20"/>
          <w:color w:val="00171E"/>
        </w:rPr>
        <w:t>During the term of this Agreement, Executive will be employed by the Company to serve as President and Chief Executive Officer of the Company, reporting to the Board of Directors of the Company (the “</w:t>
      </w:r>
      <w:r>
        <w:rPr>
          <w:rFonts w:ascii="Times New Roman" w:cs="Times New Roman" w:eastAsia="Times New Roman" w:hAnsi="Times New Roman"/>
          <w:sz w:val="20"/>
          <w:szCs w:val="20"/>
          <w:u w:val="single" w:color="auto"/>
          <w:color w:val="00171E"/>
        </w:rPr>
        <w:t>Board</w:t>
      </w:r>
      <w:r>
        <w:rPr>
          <w:rFonts w:ascii="Times New Roman" w:cs="Times New Roman" w:eastAsia="Times New Roman" w:hAnsi="Times New Roman"/>
          <w:sz w:val="20"/>
          <w:szCs w:val="20"/>
          <w:color w:val="00171E"/>
        </w:rPr>
        <w:t>”). As President and Chief Executive Officer, Executive will, subject to the supervision of the Board, be responsible for: (i) developing and implementing strategies, goals, operating plans, policies and objectives for the Company; (ii) establishing the organizational structure for the Company and delegating authority to subordinates as necessary; (iii) representing the Company to the financial community, customers, government agencies, stockholders and the public; (iv) directing and managing the day-to-day operations and affairs of the Company; (v) performing the duties and responsibilities customarily expected to be performed by the chief executive officer; and (vi) performing such other duties and functions as are reasonably required and/or as may be reasonably prescribed by the Board from time to time. As used herein, the term “Board” shall also include authorized committees of the Board.</w:t>
      </w:r>
    </w:p>
    <w:p>
      <w:pPr>
        <w:spacing w:after="0" w:line="185" w:lineRule="exact"/>
        <w:rPr>
          <w:rFonts w:ascii="Times New Roman" w:cs="Times New Roman" w:eastAsia="Times New Roman" w:hAnsi="Times New Roman"/>
          <w:sz w:val="20"/>
          <w:szCs w:val="20"/>
          <w:u w:val="single" w:color="auto"/>
          <w:color w:val="00171E"/>
        </w:rPr>
      </w:pPr>
    </w:p>
    <w:p>
      <w:pPr>
        <w:jc w:val="both"/>
        <w:ind w:right="20" w:firstLine="1505"/>
        <w:spacing w:after="0" w:line="254" w:lineRule="auto"/>
        <w:tabs>
          <w:tab w:leader="none" w:pos="2036" w:val="left"/>
        </w:tabs>
        <w:numPr>
          <w:ilvl w:val="1"/>
          <w:numId w:val="57"/>
        </w:numPr>
        <w:rPr>
          <w:rFonts w:ascii="Times New Roman" w:cs="Times New Roman" w:eastAsia="Times New Roman" w:hAnsi="Times New Roman"/>
          <w:sz w:val="20"/>
          <w:szCs w:val="20"/>
          <w:u w:val="single" w:color="auto"/>
          <w:color w:val="00171E"/>
        </w:rPr>
      </w:pPr>
      <w:r>
        <w:rPr>
          <w:rFonts w:ascii="Times New Roman" w:cs="Times New Roman" w:eastAsia="Times New Roman" w:hAnsi="Times New Roman"/>
          <w:sz w:val="20"/>
          <w:szCs w:val="20"/>
          <w:color w:val="00171E"/>
        </w:rPr>
        <w:t>The location of Executive’s employment will be based out of Executive’s home office in Nevada, but Executive will be required to travel to Company’s headquarter offices and to other geographic locations in connection with the performance of his/her duties.</w:t>
      </w:r>
    </w:p>
    <w:p>
      <w:pPr>
        <w:spacing w:after="0" w:line="170" w:lineRule="exact"/>
        <w:rPr>
          <w:rFonts w:ascii="Times New Roman" w:cs="Times New Roman" w:eastAsia="Times New Roman" w:hAnsi="Times New Roman"/>
          <w:sz w:val="20"/>
          <w:szCs w:val="20"/>
          <w:u w:val="single" w:color="auto"/>
          <w:color w:val="00171E"/>
        </w:rPr>
      </w:pPr>
    </w:p>
    <w:p>
      <w:pPr>
        <w:jc w:val="both"/>
        <w:ind w:firstLine="757"/>
        <w:spacing w:after="0" w:line="246" w:lineRule="auto"/>
        <w:tabs>
          <w:tab w:leader="none" w:pos="1018" w:val="left"/>
        </w:tabs>
        <w:numPr>
          <w:ilvl w:val="0"/>
          <w:numId w:val="57"/>
        </w:numPr>
        <w:rPr>
          <w:rFonts w:ascii="Times New Roman" w:cs="Times New Roman" w:eastAsia="Times New Roman" w:hAnsi="Times New Roman"/>
          <w:sz w:val="20"/>
          <w:szCs w:val="20"/>
          <w:b w:val="1"/>
          <w:bCs w:val="1"/>
          <w:color w:val="00171E"/>
        </w:rPr>
      </w:pPr>
      <w:r>
        <w:rPr>
          <w:rFonts w:ascii="Times New Roman" w:cs="Times New Roman" w:eastAsia="Times New Roman" w:hAnsi="Times New Roman"/>
          <w:sz w:val="20"/>
          <w:szCs w:val="20"/>
          <w:b w:val="1"/>
          <w:bCs w:val="1"/>
          <w:color w:val="00171E"/>
        </w:rPr>
        <w:t xml:space="preserve">Standards of Performance. </w:t>
      </w:r>
      <w:r>
        <w:rPr>
          <w:rFonts w:ascii="Times New Roman" w:cs="Times New Roman" w:eastAsia="Times New Roman" w:hAnsi="Times New Roman"/>
          <w:sz w:val="20"/>
          <w:szCs w:val="20"/>
          <w:color w:val="00171E"/>
        </w:rPr>
        <w:t>Executive will at all times faithfully, industriously and to the best of his/her ability, experience and</w:t>
      </w:r>
      <w:r>
        <w:rPr>
          <w:rFonts w:ascii="Times New Roman" w:cs="Times New Roman" w:eastAsia="Times New Roman" w:hAnsi="Times New Roman"/>
          <w:sz w:val="20"/>
          <w:szCs w:val="20"/>
          <w:b w:val="1"/>
          <w:bCs w:val="1"/>
          <w:color w:val="00171E"/>
        </w:rPr>
        <w:t xml:space="preserve"> </w:t>
      </w:r>
      <w:r>
        <w:rPr>
          <w:rFonts w:ascii="Times New Roman" w:cs="Times New Roman" w:eastAsia="Times New Roman" w:hAnsi="Times New Roman"/>
          <w:sz w:val="20"/>
          <w:szCs w:val="20"/>
          <w:color w:val="00171E"/>
        </w:rPr>
        <w:t>talents perform all of the duties required of and from him/her pursuant to the terms of this Agreement. Executive will devote his/her full business energies and abilities and all of his/her business time to the performance of his/her duties hereunder and will not, without the Company’s prior written consent, render to others any service of any kind (whether or not for compensation) that, in the Company’s sole but reasonable judgment, would conflict with the full performance of his/her duties hereunder. In no event will Executive engage in any activities that could reasonably create a conflict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7132320" cy="171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91"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6"/>
          <w:szCs w:val="16"/>
          <w:b w:val="1"/>
          <w:bCs w:val="1"/>
          <w:color w:val="auto"/>
        </w:rPr>
        <w:t>E</w:t>
      </w:r>
      <w:r>
        <w:rPr>
          <w:rFonts w:ascii="Times New Roman" w:cs="Times New Roman" w:eastAsia="Times New Roman" w:hAnsi="Times New Roman"/>
          <w:sz w:val="10"/>
          <w:szCs w:val="10"/>
          <w:b w:val="1"/>
          <w:bCs w:val="1"/>
          <w:color w:val="auto"/>
        </w:rPr>
        <w:t>xecutive</w:t>
      </w:r>
      <w:r>
        <w:rPr>
          <w:rFonts w:ascii="Times New Roman" w:cs="Times New Roman" w:eastAsia="Times New Roman" w:hAnsi="Times New Roman"/>
          <w:sz w:val="16"/>
          <w:szCs w:val="16"/>
          <w:b w:val="1"/>
          <w:bCs w:val="1"/>
          <w:color w:val="auto"/>
        </w:rPr>
        <w:t xml:space="preserve"> E</w:t>
      </w:r>
      <w:r>
        <w:rPr>
          <w:rFonts w:ascii="Times New Roman" w:cs="Times New Roman" w:eastAsia="Times New Roman" w:hAnsi="Times New Roman"/>
          <w:sz w:val="10"/>
          <w:szCs w:val="10"/>
          <w:b w:val="1"/>
          <w:bCs w:val="1"/>
          <w:color w:val="auto"/>
        </w:rPr>
        <w:t>mployment</w:t>
      </w:r>
      <w:r>
        <w:rPr>
          <w:rFonts w:ascii="Times New Roman" w:cs="Times New Roman" w:eastAsia="Times New Roman" w:hAnsi="Times New Roman"/>
          <w:sz w:val="16"/>
          <w:szCs w:val="16"/>
          <w:b w:val="1"/>
          <w:bCs w:val="1"/>
          <w:color w:val="auto"/>
        </w:rPr>
        <w:t xml:space="preserve"> A</w:t>
      </w:r>
      <w:r>
        <w:rPr>
          <w:rFonts w:ascii="Times New Roman" w:cs="Times New Roman" w:eastAsia="Times New Roman" w:hAnsi="Times New Roman"/>
          <w:sz w:val="10"/>
          <w:szCs w:val="10"/>
          <w:b w:val="1"/>
          <w:bCs w:val="1"/>
          <w:color w:val="auto"/>
        </w:rPr>
        <w:t>gmt</w:t>
      </w:r>
      <w:r>
        <w:rPr>
          <w:rFonts w:ascii="Times New Roman" w:cs="Times New Roman" w:eastAsia="Times New Roman" w:hAnsi="Times New Roman"/>
          <w:sz w:val="16"/>
          <w:szCs w:val="16"/>
          <w:b w:val="1"/>
          <w:bCs w:val="1"/>
          <w:color w:val="auto"/>
        </w:rPr>
        <w:t xml:space="preserve"> S</w:t>
      </w:r>
      <w:r>
        <w:rPr>
          <w:rFonts w:ascii="Times New Roman" w:cs="Times New Roman" w:eastAsia="Times New Roman" w:hAnsi="Times New Roman"/>
          <w:sz w:val="10"/>
          <w:szCs w:val="10"/>
          <w:b w:val="1"/>
          <w:bCs w:val="1"/>
          <w:color w:val="auto"/>
        </w:rPr>
        <w:t>td</w:t>
      </w:r>
      <w:r>
        <w:rPr>
          <w:rFonts w:ascii="Times New Roman" w:cs="Times New Roman" w:eastAsia="Times New Roman" w:hAnsi="Times New Roman"/>
          <w:sz w:val="16"/>
          <w:szCs w:val="16"/>
          <w:b w:val="1"/>
          <w:bCs w:val="1"/>
          <w:color w:val="auto"/>
        </w:rPr>
        <w:t xml:space="preserve"> 11.1.24</w:t>
      </w:r>
      <w:r>
        <w:rPr>
          <w:sz w:val="20"/>
          <w:szCs w:val="20"/>
          <w:color w:val="auto"/>
        </w:rPr>
        <w:tab/>
      </w:r>
      <w:r>
        <w:rPr>
          <w:rFonts w:ascii="Times New Roman" w:cs="Times New Roman" w:eastAsia="Times New Roman" w:hAnsi="Times New Roman"/>
          <w:sz w:val="16"/>
          <w:szCs w:val="16"/>
          <w:b w:val="1"/>
          <w:bCs w:val="1"/>
          <w:color w:val="auto"/>
        </w:rPr>
        <w:t>A</w:t>
      </w:r>
      <w:r>
        <w:rPr>
          <w:rFonts w:ascii="Times New Roman" w:cs="Times New Roman" w:eastAsia="Times New Roman" w:hAnsi="Times New Roman"/>
          <w:sz w:val="10"/>
          <w:szCs w:val="10"/>
          <w:b w:val="1"/>
          <w:bCs w:val="1"/>
          <w:color w:val="auto"/>
        </w:rPr>
        <w:t>ccuray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NUMPAGES \* Arabic \* MERGEFORMAT 31</w:t>
      </w:r>
    </w:p>
    <w:p>
      <w:pPr>
        <w:spacing w:after="0" w:line="200" w:lineRule="exact"/>
        <w:rPr>
          <w:sz w:val="20"/>
          <w:szCs w:val="20"/>
          <w:color w:val="auto"/>
        </w:rPr>
      </w:pPr>
    </w:p>
    <w:p>
      <w:pPr>
        <w:spacing w:after="0" w:line="241"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00171E"/>
        </w:rPr>
        <w:t>interest or the appearance of a conflict of interest. Executive shall be subject to the Company’s policies, procedures and approval practices, as generally in effect from time to time.</w:t>
      </w:r>
    </w:p>
    <w:p>
      <w:pPr>
        <w:spacing w:after="0" w:line="173" w:lineRule="exact"/>
        <w:rPr>
          <w:sz w:val="20"/>
          <w:szCs w:val="20"/>
          <w:color w:val="auto"/>
        </w:rPr>
      </w:pPr>
    </w:p>
    <w:p>
      <w:pPr>
        <w:ind w:left="1020" w:hanging="263"/>
        <w:spacing w:after="0"/>
        <w:tabs>
          <w:tab w:leader="none" w:pos="1020" w:val="left"/>
        </w:tabs>
        <w:numPr>
          <w:ilvl w:val="0"/>
          <w:numId w:val="58"/>
        </w:numPr>
        <w:rPr>
          <w:rFonts w:ascii="Times New Roman" w:cs="Times New Roman" w:eastAsia="Times New Roman" w:hAnsi="Times New Roman"/>
          <w:sz w:val="20"/>
          <w:szCs w:val="20"/>
          <w:b w:val="1"/>
          <w:bCs w:val="1"/>
          <w:color w:val="00171E"/>
        </w:rPr>
      </w:pPr>
      <w:r>
        <w:rPr>
          <w:rFonts w:ascii="Times New Roman" w:cs="Times New Roman" w:eastAsia="Times New Roman" w:hAnsi="Times New Roman"/>
          <w:sz w:val="18"/>
          <w:szCs w:val="18"/>
          <w:b w:val="1"/>
          <w:bCs w:val="1"/>
          <w:color w:val="00171E"/>
        </w:rPr>
        <w:t>Term.</w:t>
      </w:r>
    </w:p>
    <w:p>
      <w:pPr>
        <w:spacing w:after="0" w:line="202" w:lineRule="exact"/>
        <w:rPr>
          <w:sz w:val="20"/>
          <w:szCs w:val="20"/>
          <w:color w:val="auto"/>
        </w:rPr>
      </w:pPr>
    </w:p>
    <w:p>
      <w:pPr>
        <w:jc w:val="both"/>
        <w:ind w:firstLine="1505"/>
        <w:spacing w:after="0" w:line="241" w:lineRule="auto"/>
        <w:tabs>
          <w:tab w:leader="none" w:pos="2036" w:val="left"/>
        </w:tabs>
        <w:numPr>
          <w:ilvl w:val="1"/>
          <w:numId w:val="59"/>
        </w:numPr>
        <w:rPr>
          <w:rFonts w:ascii="Times New Roman" w:cs="Times New Roman" w:eastAsia="Times New Roman" w:hAnsi="Times New Roman"/>
          <w:sz w:val="20"/>
          <w:szCs w:val="20"/>
          <w:u w:val="single" w:color="auto"/>
          <w:color w:val="00171E"/>
        </w:rPr>
      </w:pPr>
      <w:r>
        <w:rPr>
          <w:rFonts w:ascii="Times New Roman" w:cs="Times New Roman" w:eastAsia="Times New Roman" w:hAnsi="Times New Roman"/>
          <w:sz w:val="20"/>
          <w:szCs w:val="20"/>
          <w:u w:val="single" w:color="auto"/>
          <w:color w:val="00171E"/>
        </w:rPr>
        <w:t>Term of Agreement</w:t>
      </w:r>
      <w:r>
        <w:rPr>
          <w:rFonts w:ascii="Times New Roman" w:cs="Times New Roman" w:eastAsia="Times New Roman" w:hAnsi="Times New Roman"/>
          <w:sz w:val="20"/>
          <w:szCs w:val="20"/>
          <w:color w:val="00171E"/>
        </w:rPr>
        <w:t>. This Agreement will have an initial term of three (3) years commencing on the Effective Date (the “</w:t>
      </w:r>
      <w:r>
        <w:rPr>
          <w:rFonts w:ascii="Times New Roman" w:cs="Times New Roman" w:eastAsia="Times New Roman" w:hAnsi="Times New Roman"/>
          <w:sz w:val="20"/>
          <w:szCs w:val="20"/>
          <w:u w:val="single" w:color="auto"/>
          <w:color w:val="00171E"/>
        </w:rPr>
        <w:t>Initial Term</w:t>
      </w:r>
      <w:r>
        <w:rPr>
          <w:rFonts w:ascii="Times New Roman" w:cs="Times New Roman" w:eastAsia="Times New Roman" w:hAnsi="Times New Roman"/>
          <w:sz w:val="20"/>
          <w:szCs w:val="20"/>
          <w:color w:val="00171E"/>
        </w:rPr>
        <w:t>”). On the third anniversary of the Effective Date, this Agreement will renew automatically for additional three (3) year terms (each, an “</w:t>
      </w:r>
      <w:r>
        <w:rPr>
          <w:rFonts w:ascii="Times New Roman" w:cs="Times New Roman" w:eastAsia="Times New Roman" w:hAnsi="Times New Roman"/>
          <w:sz w:val="20"/>
          <w:szCs w:val="20"/>
          <w:u w:val="single" w:color="auto"/>
          <w:color w:val="00171E"/>
        </w:rPr>
        <w:t>Additional Term</w:t>
      </w:r>
      <w:r>
        <w:rPr>
          <w:rFonts w:ascii="Times New Roman" w:cs="Times New Roman" w:eastAsia="Times New Roman" w:hAnsi="Times New Roman"/>
          <w:sz w:val="20"/>
          <w:szCs w:val="20"/>
          <w:color w:val="00171E"/>
        </w:rPr>
        <w:t>” and together with the Initial Term, the “</w:t>
      </w:r>
      <w:r>
        <w:rPr>
          <w:rFonts w:ascii="Times New Roman" w:cs="Times New Roman" w:eastAsia="Times New Roman" w:hAnsi="Times New Roman"/>
          <w:sz w:val="20"/>
          <w:szCs w:val="20"/>
          <w:u w:val="single" w:color="auto"/>
          <w:color w:val="00171E"/>
        </w:rPr>
        <w:t>Term</w:t>
      </w:r>
      <w:r>
        <w:rPr>
          <w:rFonts w:ascii="Times New Roman" w:cs="Times New Roman" w:eastAsia="Times New Roman" w:hAnsi="Times New Roman"/>
          <w:sz w:val="20"/>
          <w:szCs w:val="20"/>
          <w:color w:val="00171E"/>
        </w:rPr>
        <w:t xml:space="preserve">”), unless either party provides the other party with written notice of non-renewal at least sixty (60) days prior to the date of automatic renewal; provided, however, that if the Company enters into a definitive agreement to be acquired and the transactions contemplated thereby would result in the occurrence of a Change in Control (as defined below) if consummated, then the Company will no longer be permitted to provide Executive with written notice to not renew this Agreement unless such definitive agreement is terminated without the Change in Control being consummated. If the Change in Control is consummated, the Agreement will continue in effect through the longer of the date that is twenty-four (24) months following the effective date of the Change in Control or the remainder of the Term then in effect (for purposes of clarification, it will be possible for the Term of the Agreement to automatically extend after the Company enters into the definitive agreement, but before the Change in Control is consummated). If the definitive agreement is terminated without the transactions contemplated thereby having been consummated and at the time of such termination there is at least twelve (12) months remaining in the Term, the Agreement will continue in effect for the remainder of the Term then in effect, but if there is less than twelve (12) months remaining in the Term then in effect, the Agreement will automatically extend for an additional three (3) years from the date the definitive agreement is terminated. If Executive becomes entitled to benefits under </w:t>
      </w:r>
      <w:r>
        <w:rPr>
          <w:rFonts w:ascii="Times New Roman" w:cs="Times New Roman" w:eastAsia="Times New Roman" w:hAnsi="Times New Roman"/>
          <w:sz w:val="20"/>
          <w:szCs w:val="20"/>
          <w:u w:val="single" w:color="auto"/>
          <w:color w:val="00171E"/>
        </w:rPr>
        <w:t>Section 5</w:t>
      </w:r>
      <w:r>
        <w:rPr>
          <w:rFonts w:ascii="Times New Roman" w:cs="Times New Roman" w:eastAsia="Times New Roman" w:hAnsi="Times New Roman"/>
          <w:sz w:val="20"/>
          <w:szCs w:val="20"/>
          <w:color w:val="00171E"/>
        </w:rPr>
        <w:t xml:space="preserve"> during the term of this Agreement, the Agreement will not terminate until all of the obligations of the parties hereto with respect to this Agreement have been satisfied.</w:t>
      </w:r>
    </w:p>
    <w:p>
      <w:pPr>
        <w:spacing w:after="0" w:line="193" w:lineRule="exact"/>
        <w:rPr>
          <w:rFonts w:ascii="Times New Roman" w:cs="Times New Roman" w:eastAsia="Times New Roman" w:hAnsi="Times New Roman"/>
          <w:sz w:val="20"/>
          <w:szCs w:val="20"/>
          <w:u w:val="single" w:color="auto"/>
          <w:color w:val="00171E"/>
        </w:rPr>
      </w:pPr>
    </w:p>
    <w:p>
      <w:pPr>
        <w:jc w:val="both"/>
        <w:ind w:firstLine="1505"/>
        <w:spacing w:after="0" w:line="246" w:lineRule="auto"/>
        <w:tabs>
          <w:tab w:leader="none" w:pos="2036" w:val="left"/>
        </w:tabs>
        <w:numPr>
          <w:ilvl w:val="1"/>
          <w:numId w:val="59"/>
        </w:numPr>
        <w:rPr>
          <w:rFonts w:ascii="Times New Roman" w:cs="Times New Roman" w:eastAsia="Times New Roman" w:hAnsi="Times New Roman"/>
          <w:sz w:val="20"/>
          <w:szCs w:val="20"/>
          <w:u w:val="single" w:color="auto"/>
          <w:color w:val="00171E"/>
        </w:rPr>
      </w:pPr>
      <w:r>
        <w:rPr>
          <w:rFonts w:ascii="Times New Roman" w:cs="Times New Roman" w:eastAsia="Times New Roman" w:hAnsi="Times New Roman"/>
          <w:sz w:val="20"/>
          <w:szCs w:val="20"/>
          <w:u w:val="single" w:color="auto"/>
          <w:color w:val="00171E"/>
        </w:rPr>
        <w:t>At-Will Employment</w:t>
      </w:r>
      <w:r>
        <w:rPr>
          <w:rFonts w:ascii="Times New Roman" w:cs="Times New Roman" w:eastAsia="Times New Roman" w:hAnsi="Times New Roman"/>
          <w:sz w:val="20"/>
          <w:szCs w:val="20"/>
          <w:color w:val="00171E"/>
        </w:rPr>
        <w:t xml:space="preserve">. The Company and Executive acknowledge that, notwithstanding the foregoing, Executive’s employment is and will continue to be at-will, as defined under applicable law. As an at-will employee, either the Company or the Executive may terminate the employment relationship and this Agreement at any time, with or without cause; provided, however, that in connection with such termination, the Company will provide Executive with any applicable benefits under </w:t>
      </w:r>
      <w:r>
        <w:rPr>
          <w:rFonts w:ascii="Times New Roman" w:cs="Times New Roman" w:eastAsia="Times New Roman" w:hAnsi="Times New Roman"/>
          <w:sz w:val="20"/>
          <w:szCs w:val="20"/>
          <w:u w:val="single" w:color="auto"/>
          <w:color w:val="00171E"/>
        </w:rPr>
        <w:t>Section 5</w:t>
      </w:r>
      <w:r>
        <w:rPr>
          <w:rFonts w:ascii="Times New Roman" w:cs="Times New Roman" w:eastAsia="Times New Roman" w:hAnsi="Times New Roman"/>
          <w:sz w:val="20"/>
          <w:szCs w:val="20"/>
          <w:color w:val="00171E"/>
        </w:rPr>
        <w:t xml:space="preserve"> to which Executive is entitled, all in accordance with the terms and conditions thereof.</w:t>
      </w:r>
    </w:p>
    <w:p>
      <w:pPr>
        <w:spacing w:after="0" w:line="180" w:lineRule="exact"/>
        <w:rPr>
          <w:rFonts w:ascii="Times New Roman" w:cs="Times New Roman" w:eastAsia="Times New Roman" w:hAnsi="Times New Roman"/>
          <w:sz w:val="20"/>
          <w:szCs w:val="20"/>
          <w:u w:val="single" w:color="auto"/>
          <w:color w:val="00171E"/>
        </w:rPr>
      </w:pPr>
    </w:p>
    <w:p>
      <w:pPr>
        <w:ind w:left="1020" w:hanging="263"/>
        <w:spacing w:after="0"/>
        <w:tabs>
          <w:tab w:leader="none" w:pos="1020" w:val="left"/>
        </w:tabs>
        <w:numPr>
          <w:ilvl w:val="0"/>
          <w:numId w:val="60"/>
        </w:numPr>
        <w:rPr>
          <w:rFonts w:ascii="Times New Roman" w:cs="Times New Roman" w:eastAsia="Times New Roman" w:hAnsi="Times New Roman"/>
          <w:sz w:val="20"/>
          <w:szCs w:val="20"/>
          <w:b w:val="1"/>
          <w:bCs w:val="1"/>
          <w:color w:val="00171E"/>
        </w:rPr>
      </w:pPr>
      <w:r>
        <w:rPr>
          <w:rFonts w:ascii="Times New Roman" w:cs="Times New Roman" w:eastAsia="Times New Roman" w:hAnsi="Times New Roman"/>
          <w:sz w:val="20"/>
          <w:szCs w:val="20"/>
          <w:b w:val="1"/>
          <w:bCs w:val="1"/>
          <w:color w:val="00171E"/>
        </w:rPr>
        <w:t>Compensation and Benefits.</w:t>
      </w:r>
    </w:p>
    <w:p>
      <w:pPr>
        <w:spacing w:after="0" w:line="219" w:lineRule="exact"/>
        <w:rPr>
          <w:rFonts w:ascii="Times New Roman" w:cs="Times New Roman" w:eastAsia="Times New Roman" w:hAnsi="Times New Roman"/>
          <w:sz w:val="20"/>
          <w:szCs w:val="20"/>
          <w:b w:val="1"/>
          <w:bCs w:val="1"/>
          <w:color w:val="00171E"/>
        </w:rPr>
      </w:pPr>
    </w:p>
    <w:p>
      <w:pPr>
        <w:jc w:val="both"/>
        <w:ind w:firstLine="1505"/>
        <w:spacing w:after="0" w:line="246" w:lineRule="auto"/>
        <w:tabs>
          <w:tab w:leader="none" w:pos="2036" w:val="left"/>
        </w:tabs>
        <w:numPr>
          <w:ilvl w:val="1"/>
          <w:numId w:val="60"/>
        </w:numPr>
        <w:rPr>
          <w:rFonts w:ascii="Times New Roman" w:cs="Times New Roman" w:eastAsia="Times New Roman" w:hAnsi="Times New Roman"/>
          <w:sz w:val="20"/>
          <w:szCs w:val="20"/>
          <w:u w:val="single" w:color="auto"/>
          <w:color w:val="00171E"/>
        </w:rPr>
      </w:pPr>
      <w:r>
        <w:rPr>
          <w:rFonts w:ascii="Times New Roman" w:cs="Times New Roman" w:eastAsia="Times New Roman" w:hAnsi="Times New Roman"/>
          <w:sz w:val="20"/>
          <w:szCs w:val="20"/>
          <w:u w:val="single" w:color="auto"/>
          <w:color w:val="00171E"/>
        </w:rPr>
        <w:t>Base Salary</w:t>
      </w:r>
      <w:r>
        <w:rPr>
          <w:rFonts w:ascii="Times New Roman" w:cs="Times New Roman" w:eastAsia="Times New Roman" w:hAnsi="Times New Roman"/>
          <w:sz w:val="20"/>
          <w:szCs w:val="20"/>
          <w:color w:val="00171E"/>
        </w:rPr>
        <w:t>. As an annual base salary (“</w:t>
      </w:r>
      <w:r>
        <w:rPr>
          <w:rFonts w:ascii="Times New Roman" w:cs="Times New Roman" w:eastAsia="Times New Roman" w:hAnsi="Times New Roman"/>
          <w:sz w:val="20"/>
          <w:szCs w:val="20"/>
          <w:u w:val="single" w:color="auto"/>
          <w:color w:val="00171E"/>
        </w:rPr>
        <w:t>Base Salary</w:t>
      </w:r>
      <w:r>
        <w:rPr>
          <w:rFonts w:ascii="Times New Roman" w:cs="Times New Roman" w:eastAsia="Times New Roman" w:hAnsi="Times New Roman"/>
          <w:sz w:val="20"/>
          <w:szCs w:val="20"/>
          <w:color w:val="00171E"/>
        </w:rPr>
        <w:t>”) for all services rendered pursuant to this Agreement, Executive will be paid an initial Base Salary in the gross amount of $750,000 calculated on an annualized basis, less necessary withholdings and authorized deductions, and payable pursuant to the Company’s regular payroll practices at the time. The Base Salary will be subject to review and adjustments will be made based upon the Company’s normal performance review practices as determined by the Company in its sole discretion.</w:t>
      </w:r>
    </w:p>
    <w:p>
      <w:pPr>
        <w:spacing w:after="0" w:line="184" w:lineRule="exact"/>
        <w:rPr>
          <w:rFonts w:ascii="Times New Roman" w:cs="Times New Roman" w:eastAsia="Times New Roman" w:hAnsi="Times New Roman"/>
          <w:sz w:val="20"/>
          <w:szCs w:val="20"/>
          <w:u w:val="single" w:color="auto"/>
          <w:color w:val="00171E"/>
        </w:rPr>
      </w:pPr>
    </w:p>
    <w:p>
      <w:pPr>
        <w:jc w:val="both"/>
        <w:ind w:firstLine="1505"/>
        <w:spacing w:after="0" w:line="259" w:lineRule="auto"/>
        <w:tabs>
          <w:tab w:leader="none" w:pos="2036" w:val="left"/>
        </w:tabs>
        <w:numPr>
          <w:ilvl w:val="1"/>
          <w:numId w:val="60"/>
        </w:numPr>
        <w:rPr>
          <w:rFonts w:ascii="Times New Roman" w:cs="Times New Roman" w:eastAsia="Times New Roman" w:hAnsi="Times New Roman"/>
          <w:sz w:val="19"/>
          <w:szCs w:val="19"/>
          <w:u w:val="single" w:color="auto"/>
          <w:color w:val="00171E"/>
        </w:rPr>
      </w:pPr>
      <w:r>
        <w:rPr>
          <w:rFonts w:ascii="Times New Roman" w:cs="Times New Roman" w:eastAsia="Times New Roman" w:hAnsi="Times New Roman"/>
          <w:sz w:val="19"/>
          <w:szCs w:val="19"/>
          <w:u w:val="single" w:color="auto"/>
          <w:color w:val="00171E"/>
        </w:rPr>
        <w:t>Bonus</w:t>
      </w:r>
      <w:r>
        <w:rPr>
          <w:rFonts w:ascii="Times New Roman" w:cs="Times New Roman" w:eastAsia="Times New Roman" w:hAnsi="Times New Roman"/>
          <w:sz w:val="19"/>
          <w:szCs w:val="19"/>
          <w:color w:val="00171E"/>
        </w:rPr>
        <w:t>. During Executive’s employment under this Agreement, Executive will be eligible for an annual bonus, subject to the terms and conditions of the Company’s bonus plan, as in effect from time to time (the “</w:t>
      </w:r>
      <w:r>
        <w:rPr>
          <w:rFonts w:ascii="Times New Roman" w:cs="Times New Roman" w:eastAsia="Times New Roman" w:hAnsi="Times New Roman"/>
          <w:sz w:val="19"/>
          <w:szCs w:val="19"/>
          <w:u w:val="single" w:color="auto"/>
          <w:color w:val="00171E"/>
        </w:rPr>
        <w:t>Bonus Plan</w:t>
      </w:r>
      <w:r>
        <w:rPr>
          <w:rFonts w:ascii="Times New Roman" w:cs="Times New Roman" w:eastAsia="Times New Roman" w:hAnsi="Times New Roman"/>
          <w:sz w:val="19"/>
          <w:szCs w:val="19"/>
          <w:color w:val="00171E"/>
        </w:rPr>
        <w:t>”), which is applicable to senior executives of the Company. The target amount of Executive’s annual bonus is 100% of Executive’s annual Base Salary (as defined in the Company’s Bonus Plan). However, the actual amount of each annual bonus (if any) will be conditioned on the Company’s achievement of corporate performance objectives approved by the Board and, if applicable, Executive’s achievement of individual performance metrics to be established annually and approved by the Board, all as established pursuant to the Company’s Bonus Plan, and the amount of an annual bonus may be zero. For the avoidance of doubt, an annual bonus will be payable only if the corporate and/or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171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1"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6"/>
          <w:szCs w:val="16"/>
          <w:b w:val="1"/>
          <w:bCs w:val="1"/>
          <w:color w:val="auto"/>
        </w:rPr>
        <w:t>E</w:t>
      </w:r>
      <w:r>
        <w:rPr>
          <w:rFonts w:ascii="Times New Roman" w:cs="Times New Roman" w:eastAsia="Times New Roman" w:hAnsi="Times New Roman"/>
          <w:sz w:val="10"/>
          <w:szCs w:val="10"/>
          <w:b w:val="1"/>
          <w:bCs w:val="1"/>
          <w:color w:val="auto"/>
        </w:rPr>
        <w:t>xecutive</w:t>
      </w:r>
      <w:r>
        <w:rPr>
          <w:rFonts w:ascii="Times New Roman" w:cs="Times New Roman" w:eastAsia="Times New Roman" w:hAnsi="Times New Roman"/>
          <w:sz w:val="16"/>
          <w:szCs w:val="16"/>
          <w:b w:val="1"/>
          <w:bCs w:val="1"/>
          <w:color w:val="auto"/>
        </w:rPr>
        <w:t xml:space="preserve"> E</w:t>
      </w:r>
      <w:r>
        <w:rPr>
          <w:rFonts w:ascii="Times New Roman" w:cs="Times New Roman" w:eastAsia="Times New Roman" w:hAnsi="Times New Roman"/>
          <w:sz w:val="10"/>
          <w:szCs w:val="10"/>
          <w:b w:val="1"/>
          <w:bCs w:val="1"/>
          <w:color w:val="auto"/>
        </w:rPr>
        <w:t>mployment</w:t>
      </w:r>
      <w:r>
        <w:rPr>
          <w:rFonts w:ascii="Times New Roman" w:cs="Times New Roman" w:eastAsia="Times New Roman" w:hAnsi="Times New Roman"/>
          <w:sz w:val="16"/>
          <w:szCs w:val="16"/>
          <w:b w:val="1"/>
          <w:bCs w:val="1"/>
          <w:color w:val="auto"/>
        </w:rPr>
        <w:t xml:space="preserve"> A</w:t>
      </w:r>
      <w:r>
        <w:rPr>
          <w:rFonts w:ascii="Times New Roman" w:cs="Times New Roman" w:eastAsia="Times New Roman" w:hAnsi="Times New Roman"/>
          <w:sz w:val="10"/>
          <w:szCs w:val="10"/>
          <w:b w:val="1"/>
          <w:bCs w:val="1"/>
          <w:color w:val="auto"/>
        </w:rPr>
        <w:t>gmt</w:t>
      </w:r>
      <w:r>
        <w:rPr>
          <w:rFonts w:ascii="Times New Roman" w:cs="Times New Roman" w:eastAsia="Times New Roman" w:hAnsi="Times New Roman"/>
          <w:sz w:val="16"/>
          <w:szCs w:val="16"/>
          <w:b w:val="1"/>
          <w:bCs w:val="1"/>
          <w:color w:val="auto"/>
        </w:rPr>
        <w:t xml:space="preserve"> S</w:t>
      </w:r>
      <w:r>
        <w:rPr>
          <w:rFonts w:ascii="Times New Roman" w:cs="Times New Roman" w:eastAsia="Times New Roman" w:hAnsi="Times New Roman"/>
          <w:sz w:val="10"/>
          <w:szCs w:val="10"/>
          <w:b w:val="1"/>
          <w:bCs w:val="1"/>
          <w:color w:val="auto"/>
        </w:rPr>
        <w:t>td</w:t>
      </w:r>
      <w:r>
        <w:rPr>
          <w:rFonts w:ascii="Times New Roman" w:cs="Times New Roman" w:eastAsia="Times New Roman" w:hAnsi="Times New Roman"/>
          <w:sz w:val="16"/>
          <w:szCs w:val="16"/>
          <w:b w:val="1"/>
          <w:bCs w:val="1"/>
          <w:color w:val="auto"/>
        </w:rPr>
        <w:t xml:space="preserve"> 11.1.24</w:t>
      </w:r>
      <w:r>
        <w:rPr>
          <w:sz w:val="20"/>
          <w:szCs w:val="20"/>
          <w:color w:val="auto"/>
        </w:rPr>
        <w:tab/>
      </w:r>
      <w:r>
        <w:rPr>
          <w:rFonts w:ascii="Times New Roman" w:cs="Times New Roman" w:eastAsia="Times New Roman" w:hAnsi="Times New Roman"/>
          <w:sz w:val="16"/>
          <w:szCs w:val="16"/>
          <w:b w:val="1"/>
          <w:bCs w:val="1"/>
          <w:color w:val="auto"/>
        </w:rPr>
        <w:t>A</w:t>
      </w:r>
      <w:r>
        <w:rPr>
          <w:rFonts w:ascii="Times New Roman" w:cs="Times New Roman" w:eastAsia="Times New Roman" w:hAnsi="Times New Roman"/>
          <w:sz w:val="10"/>
          <w:szCs w:val="10"/>
          <w:b w:val="1"/>
          <w:bCs w:val="1"/>
          <w:color w:val="auto"/>
        </w:rPr>
        <w:t>ccuray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3</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NUMPAGES \* Arabic \* MERGEFORMAT 31</w:t>
      </w:r>
    </w:p>
    <w:p>
      <w:pPr>
        <w:spacing w:after="0" w:line="200" w:lineRule="exact"/>
        <w:rPr>
          <w:sz w:val="20"/>
          <w:szCs w:val="20"/>
          <w:color w:val="auto"/>
        </w:rPr>
      </w:pPr>
    </w:p>
    <w:p>
      <w:pPr>
        <w:spacing w:after="0" w:line="24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00171E"/>
        </w:rPr>
        <w:t xml:space="preserve">performance objectives approved by the Board are achieved as determined by the Board, subject to the Board’s right to exercise discretion in determining the amount of the annual bonus to be awarded, if any, as set forth in the Company’s Bonus Plan. To encourage continued tenure with the Company, Executive must be employed by the Company as of the payment date to earn and be eligible for an annual bonus for the year to which the annual bonus relates, unless otherwise provided in </w:t>
      </w:r>
      <w:r>
        <w:rPr>
          <w:rFonts w:ascii="Times New Roman" w:cs="Times New Roman" w:eastAsia="Times New Roman" w:hAnsi="Times New Roman"/>
          <w:sz w:val="20"/>
          <w:szCs w:val="20"/>
          <w:u w:val="single" w:color="auto"/>
          <w:color w:val="00171E"/>
        </w:rPr>
        <w:t>Section 5</w:t>
      </w:r>
      <w:r>
        <w:rPr>
          <w:rFonts w:ascii="Times New Roman" w:cs="Times New Roman" w:eastAsia="Times New Roman" w:hAnsi="Times New Roman"/>
          <w:sz w:val="20"/>
          <w:szCs w:val="20"/>
          <w:color w:val="00171E"/>
        </w:rPr>
        <w:t>. Bonuses will be paid out according to the terms of the Bonus Plan.</w:t>
      </w:r>
    </w:p>
    <w:p>
      <w:pPr>
        <w:spacing w:after="0" w:line="185" w:lineRule="exact"/>
        <w:rPr>
          <w:sz w:val="20"/>
          <w:szCs w:val="20"/>
          <w:color w:val="auto"/>
        </w:rPr>
      </w:pPr>
    </w:p>
    <w:p>
      <w:pPr>
        <w:jc w:val="both"/>
        <w:ind w:firstLine="1505"/>
        <w:spacing w:after="0" w:line="246" w:lineRule="auto"/>
        <w:tabs>
          <w:tab w:leader="none" w:pos="2036" w:val="left"/>
        </w:tabs>
        <w:numPr>
          <w:ilvl w:val="0"/>
          <w:numId w:val="61"/>
        </w:numPr>
        <w:rPr>
          <w:rFonts w:ascii="Times New Roman" w:cs="Times New Roman" w:eastAsia="Times New Roman" w:hAnsi="Times New Roman"/>
          <w:sz w:val="20"/>
          <w:szCs w:val="20"/>
          <w:u w:val="single" w:color="auto"/>
          <w:color w:val="00171E"/>
        </w:rPr>
      </w:pPr>
      <w:r>
        <w:rPr>
          <w:rFonts w:ascii="Times New Roman" w:cs="Times New Roman" w:eastAsia="Times New Roman" w:hAnsi="Times New Roman"/>
          <w:sz w:val="20"/>
          <w:szCs w:val="20"/>
          <w:u w:val="single" w:color="auto"/>
          <w:color w:val="00171E"/>
        </w:rPr>
        <w:t>Equity Incentive Awards</w:t>
      </w:r>
      <w:r>
        <w:rPr>
          <w:rFonts w:ascii="Times New Roman" w:cs="Times New Roman" w:eastAsia="Times New Roman" w:hAnsi="Times New Roman"/>
          <w:sz w:val="20"/>
          <w:szCs w:val="20"/>
          <w:color w:val="00171E"/>
        </w:rPr>
        <w:t>. Executive will be eligible to receive awards of stock options, restricted stock units, performance stock units, or other equity awards pursuant to any plans or arrangements the Company may have in effect from time to time. The Company’s Board of Directors (the “</w:t>
      </w:r>
      <w:r>
        <w:rPr>
          <w:rFonts w:ascii="Times New Roman" w:cs="Times New Roman" w:eastAsia="Times New Roman" w:hAnsi="Times New Roman"/>
          <w:sz w:val="20"/>
          <w:szCs w:val="20"/>
          <w:u w:val="single" w:color="auto"/>
          <w:color w:val="00171E"/>
        </w:rPr>
        <w:t>Board</w:t>
      </w:r>
      <w:r>
        <w:rPr>
          <w:rFonts w:ascii="Times New Roman" w:cs="Times New Roman" w:eastAsia="Times New Roman" w:hAnsi="Times New Roman"/>
          <w:sz w:val="20"/>
          <w:szCs w:val="20"/>
          <w:color w:val="00171E"/>
        </w:rPr>
        <w:t>”) or its Compensation Committee will determine in its discretion whether Executive will be granted any such equity awards and the terms of any such award in accordance with the terms of any applicable plan or arrangement that may be in effect from time to time.</w:t>
      </w:r>
    </w:p>
    <w:p>
      <w:pPr>
        <w:spacing w:after="0" w:line="184" w:lineRule="exact"/>
        <w:rPr>
          <w:rFonts w:ascii="Times New Roman" w:cs="Times New Roman" w:eastAsia="Times New Roman" w:hAnsi="Times New Roman"/>
          <w:sz w:val="20"/>
          <w:szCs w:val="20"/>
          <w:u w:val="single" w:color="auto"/>
          <w:color w:val="00171E"/>
        </w:rPr>
      </w:pPr>
    </w:p>
    <w:p>
      <w:pPr>
        <w:jc w:val="both"/>
        <w:ind w:firstLine="1505"/>
        <w:spacing w:after="0" w:line="243" w:lineRule="auto"/>
        <w:tabs>
          <w:tab w:leader="none" w:pos="2036" w:val="left"/>
        </w:tabs>
        <w:numPr>
          <w:ilvl w:val="0"/>
          <w:numId w:val="61"/>
        </w:numPr>
        <w:rPr>
          <w:rFonts w:ascii="Times New Roman" w:cs="Times New Roman" w:eastAsia="Times New Roman" w:hAnsi="Times New Roman"/>
          <w:sz w:val="20"/>
          <w:szCs w:val="20"/>
          <w:u w:val="single" w:color="auto"/>
          <w:color w:val="00171E"/>
        </w:rPr>
      </w:pPr>
      <w:r>
        <w:rPr>
          <w:rFonts w:ascii="Times New Roman" w:cs="Times New Roman" w:eastAsia="Times New Roman" w:hAnsi="Times New Roman"/>
          <w:sz w:val="20"/>
          <w:szCs w:val="20"/>
          <w:u w:val="single" w:color="auto"/>
          <w:color w:val="00171E"/>
        </w:rPr>
        <w:t>Flexible Time Off and Benefits</w:t>
      </w:r>
      <w:r>
        <w:rPr>
          <w:rFonts w:ascii="Times New Roman" w:cs="Times New Roman" w:eastAsia="Times New Roman" w:hAnsi="Times New Roman"/>
          <w:sz w:val="20"/>
          <w:szCs w:val="20"/>
          <w:color w:val="00171E"/>
        </w:rPr>
        <w:t>. Executive will be allowed to use flexible time off for vacation, illness and holidays pursuant to the Company’s policies that apply to executive officers of the Company. In addition, Executive will be entitled to participate in any plans regarding benefits of employment, including pension, profit sharing, group health, disability insurance and other employee pension and welfare benefit plans now existing or hereafter established to the extent that Executive is then eligible under the terms of such plans and if the other executive officers of the Company generally are eligible to participate in such plan. The Company may, in its sole discretion and from time to time, establish additional senior management benefit plans as it deems appropriate. Executive understands that any such plans may be modified or eliminated in the Company’s sole discretion in accordance with applicable law, provided that no such plan modification or elimination shall result in Executive becoming unvested, or being required to revest, in any of Executive’s benefits that already are then vested.</w:t>
      </w:r>
    </w:p>
    <w:p>
      <w:pPr>
        <w:spacing w:after="0" w:line="185" w:lineRule="exact"/>
        <w:rPr>
          <w:rFonts w:ascii="Times New Roman" w:cs="Times New Roman" w:eastAsia="Times New Roman" w:hAnsi="Times New Roman"/>
          <w:sz w:val="20"/>
          <w:szCs w:val="20"/>
          <w:u w:val="single" w:color="auto"/>
          <w:color w:val="00171E"/>
        </w:rPr>
      </w:pPr>
    </w:p>
    <w:p>
      <w:pPr>
        <w:jc w:val="both"/>
        <w:ind w:firstLine="1505"/>
        <w:spacing w:after="0" w:line="249" w:lineRule="auto"/>
        <w:tabs>
          <w:tab w:leader="none" w:pos="2036" w:val="left"/>
        </w:tabs>
        <w:numPr>
          <w:ilvl w:val="0"/>
          <w:numId w:val="61"/>
        </w:numPr>
        <w:rPr>
          <w:rFonts w:ascii="Times New Roman" w:cs="Times New Roman" w:eastAsia="Times New Roman" w:hAnsi="Times New Roman"/>
          <w:sz w:val="20"/>
          <w:szCs w:val="20"/>
          <w:u w:val="single" w:color="auto"/>
          <w:color w:val="00171E"/>
        </w:rPr>
      </w:pPr>
      <w:r>
        <w:rPr>
          <w:rFonts w:ascii="Times New Roman" w:cs="Times New Roman" w:eastAsia="Times New Roman" w:hAnsi="Times New Roman"/>
          <w:sz w:val="20"/>
          <w:szCs w:val="20"/>
          <w:u w:val="single" w:color="auto"/>
          <w:color w:val="00171E"/>
        </w:rPr>
        <w:t>Reimbursement of Business Expenses</w:t>
      </w:r>
      <w:r>
        <w:rPr>
          <w:rFonts w:ascii="Times New Roman" w:cs="Times New Roman" w:eastAsia="Times New Roman" w:hAnsi="Times New Roman"/>
          <w:sz w:val="20"/>
          <w:szCs w:val="20"/>
          <w:color w:val="00171E"/>
        </w:rPr>
        <w:t>. The Company will promptly reimburse to Executive his/her reasonable, customary and documented out-of-pocket reasonable and necessary business expenses in connection with the performance of his/her duties under this Agreement, and in accordance with the policies and procedures established by the Company; provided that each reimbursement shall be requested within two (2) months after being incurred.</w:t>
      </w:r>
    </w:p>
    <w:p>
      <w:pPr>
        <w:spacing w:after="0" w:line="179" w:lineRule="exact"/>
        <w:rPr>
          <w:rFonts w:ascii="Times New Roman" w:cs="Times New Roman" w:eastAsia="Times New Roman" w:hAnsi="Times New Roman"/>
          <w:sz w:val="20"/>
          <w:szCs w:val="20"/>
          <w:u w:val="single" w:color="auto"/>
          <w:color w:val="00171E"/>
        </w:rPr>
      </w:pPr>
    </w:p>
    <w:p>
      <w:pPr>
        <w:jc w:val="both"/>
        <w:ind w:firstLine="1505"/>
        <w:spacing w:after="0" w:line="242" w:lineRule="auto"/>
        <w:tabs>
          <w:tab w:leader="none" w:pos="2036" w:val="left"/>
        </w:tabs>
        <w:numPr>
          <w:ilvl w:val="0"/>
          <w:numId w:val="61"/>
        </w:numPr>
        <w:rPr>
          <w:rFonts w:ascii="Times New Roman" w:cs="Times New Roman" w:eastAsia="Times New Roman" w:hAnsi="Times New Roman"/>
          <w:sz w:val="20"/>
          <w:szCs w:val="20"/>
          <w:u w:val="single" w:color="auto"/>
          <w:color w:val="00171E"/>
        </w:rPr>
      </w:pPr>
      <w:r>
        <w:rPr>
          <w:rFonts w:ascii="Times New Roman" w:cs="Times New Roman" w:eastAsia="Times New Roman" w:hAnsi="Times New Roman"/>
          <w:sz w:val="20"/>
          <w:szCs w:val="20"/>
          <w:u w:val="single" w:color="auto"/>
          <w:color w:val="00171E"/>
        </w:rPr>
        <w:t>Sarbanes-Oxley Act Loan Prohibition and Company Compensation-Related Polices</w:t>
      </w:r>
      <w:r>
        <w:rPr>
          <w:rFonts w:ascii="Times New Roman" w:cs="Times New Roman" w:eastAsia="Times New Roman" w:hAnsi="Times New Roman"/>
          <w:sz w:val="20"/>
          <w:szCs w:val="20"/>
          <w:color w:val="00171E"/>
        </w:rPr>
        <w:t>. To the extent that any Company benefit, program, practice, arrangement or this Agreement would or might otherwise result in Executive’s receipt of an illegal loan (the “</w:t>
      </w:r>
      <w:r>
        <w:rPr>
          <w:rFonts w:ascii="Times New Roman" w:cs="Times New Roman" w:eastAsia="Times New Roman" w:hAnsi="Times New Roman"/>
          <w:sz w:val="20"/>
          <w:szCs w:val="20"/>
          <w:u w:val="single" w:color="auto"/>
          <w:color w:val="00171E"/>
        </w:rPr>
        <w:t>Loan</w:t>
      </w:r>
      <w:r>
        <w:rPr>
          <w:rFonts w:ascii="Times New Roman" w:cs="Times New Roman" w:eastAsia="Times New Roman" w:hAnsi="Times New Roman"/>
          <w:sz w:val="20"/>
          <w:szCs w:val="20"/>
          <w:color w:val="00171E"/>
        </w:rPr>
        <w:t>”), the Company shall use commercially reasonable efforts to provide Executive with a substitute for the Loan that is lawful and of at least equal value to Executive. If this cannot be done, or if doing so would be significantly more expensive to the Company than making the Loan, in each case as determined by the Company in its sole discretion, the Company need not make the Loan to Executive or provide him/her a substitute for it. Further, Executive acknowledges that any bonus or equity award provided for in this Agreement or otherwise awarded to him/her shall be subject to the Company’s policies regarding recoupment and clawback and, pursuant to the Company’s Compensation Recovery Policy (the “Clawback Policy”), any of Executive’s “Incentive-Based Compensation” as defined therein shall be subject to the Clawback Policy, in each case as such policies may be amended from time to time, and Executive agrees that he/she will be subject to, and shall comply with, the Company’s stock ownership requirements which are set forth in its Amended and Restated Corporate Governance Guidelines, as such requirements may be amended from time to time, and the Company’s Insider Trading Policy, as amended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132320" cy="171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96"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6"/>
          <w:szCs w:val="16"/>
          <w:b w:val="1"/>
          <w:bCs w:val="1"/>
          <w:color w:val="auto"/>
        </w:rPr>
        <w:t>E</w:t>
      </w:r>
      <w:r>
        <w:rPr>
          <w:rFonts w:ascii="Times New Roman" w:cs="Times New Roman" w:eastAsia="Times New Roman" w:hAnsi="Times New Roman"/>
          <w:sz w:val="10"/>
          <w:szCs w:val="10"/>
          <w:b w:val="1"/>
          <w:bCs w:val="1"/>
          <w:color w:val="auto"/>
        </w:rPr>
        <w:t>xecutive</w:t>
      </w:r>
      <w:r>
        <w:rPr>
          <w:rFonts w:ascii="Times New Roman" w:cs="Times New Roman" w:eastAsia="Times New Roman" w:hAnsi="Times New Roman"/>
          <w:sz w:val="16"/>
          <w:szCs w:val="16"/>
          <w:b w:val="1"/>
          <w:bCs w:val="1"/>
          <w:color w:val="auto"/>
        </w:rPr>
        <w:t xml:space="preserve"> E</w:t>
      </w:r>
      <w:r>
        <w:rPr>
          <w:rFonts w:ascii="Times New Roman" w:cs="Times New Roman" w:eastAsia="Times New Roman" w:hAnsi="Times New Roman"/>
          <w:sz w:val="10"/>
          <w:szCs w:val="10"/>
          <w:b w:val="1"/>
          <w:bCs w:val="1"/>
          <w:color w:val="auto"/>
        </w:rPr>
        <w:t>mployment</w:t>
      </w:r>
      <w:r>
        <w:rPr>
          <w:rFonts w:ascii="Times New Roman" w:cs="Times New Roman" w:eastAsia="Times New Roman" w:hAnsi="Times New Roman"/>
          <w:sz w:val="16"/>
          <w:szCs w:val="16"/>
          <w:b w:val="1"/>
          <w:bCs w:val="1"/>
          <w:color w:val="auto"/>
        </w:rPr>
        <w:t xml:space="preserve"> A</w:t>
      </w:r>
      <w:r>
        <w:rPr>
          <w:rFonts w:ascii="Times New Roman" w:cs="Times New Roman" w:eastAsia="Times New Roman" w:hAnsi="Times New Roman"/>
          <w:sz w:val="10"/>
          <w:szCs w:val="10"/>
          <w:b w:val="1"/>
          <w:bCs w:val="1"/>
          <w:color w:val="auto"/>
        </w:rPr>
        <w:t>gmt</w:t>
      </w:r>
      <w:r>
        <w:rPr>
          <w:rFonts w:ascii="Times New Roman" w:cs="Times New Roman" w:eastAsia="Times New Roman" w:hAnsi="Times New Roman"/>
          <w:sz w:val="16"/>
          <w:szCs w:val="16"/>
          <w:b w:val="1"/>
          <w:bCs w:val="1"/>
          <w:color w:val="auto"/>
        </w:rPr>
        <w:t xml:space="preserve"> S</w:t>
      </w:r>
      <w:r>
        <w:rPr>
          <w:rFonts w:ascii="Times New Roman" w:cs="Times New Roman" w:eastAsia="Times New Roman" w:hAnsi="Times New Roman"/>
          <w:sz w:val="10"/>
          <w:szCs w:val="10"/>
          <w:b w:val="1"/>
          <w:bCs w:val="1"/>
          <w:color w:val="auto"/>
        </w:rPr>
        <w:t>td</w:t>
      </w:r>
      <w:r>
        <w:rPr>
          <w:rFonts w:ascii="Times New Roman" w:cs="Times New Roman" w:eastAsia="Times New Roman" w:hAnsi="Times New Roman"/>
          <w:sz w:val="16"/>
          <w:szCs w:val="16"/>
          <w:b w:val="1"/>
          <w:bCs w:val="1"/>
          <w:color w:val="auto"/>
        </w:rPr>
        <w:t xml:space="preserve"> 11.1.24</w:t>
      </w:r>
      <w:r>
        <w:rPr>
          <w:sz w:val="20"/>
          <w:szCs w:val="20"/>
          <w:color w:val="auto"/>
        </w:rPr>
        <w:tab/>
      </w:r>
      <w:r>
        <w:rPr>
          <w:rFonts w:ascii="Times New Roman" w:cs="Times New Roman" w:eastAsia="Times New Roman" w:hAnsi="Times New Roman"/>
          <w:sz w:val="16"/>
          <w:szCs w:val="16"/>
          <w:b w:val="1"/>
          <w:bCs w:val="1"/>
          <w:color w:val="auto"/>
        </w:rPr>
        <w:t>A</w:t>
      </w:r>
      <w:r>
        <w:rPr>
          <w:rFonts w:ascii="Times New Roman" w:cs="Times New Roman" w:eastAsia="Times New Roman" w:hAnsi="Times New Roman"/>
          <w:sz w:val="10"/>
          <w:szCs w:val="10"/>
          <w:b w:val="1"/>
          <w:bCs w:val="1"/>
          <w:color w:val="auto"/>
        </w:rPr>
        <w:t>ccuray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2" w:name="page83"/>
    <w:bookmarkEnd w:id="82"/>
    <w:p>
      <w:pPr>
        <w:ind w:left="6660"/>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NUMPAGES \* Arabic \* MERGEFORMAT 31</w:t>
      </w:r>
    </w:p>
    <w:p>
      <w:pPr>
        <w:spacing w:after="0" w:line="200" w:lineRule="exact"/>
        <w:rPr>
          <w:sz w:val="20"/>
          <w:szCs w:val="20"/>
          <w:color w:val="auto"/>
        </w:rPr>
      </w:pPr>
    </w:p>
    <w:p>
      <w:pPr>
        <w:spacing w:after="0" w:line="237" w:lineRule="exact"/>
        <w:rPr>
          <w:sz w:val="20"/>
          <w:szCs w:val="20"/>
          <w:color w:val="auto"/>
        </w:rPr>
      </w:pPr>
    </w:p>
    <w:p>
      <w:pPr>
        <w:ind w:left="1020" w:hanging="263"/>
        <w:spacing w:after="0"/>
        <w:tabs>
          <w:tab w:leader="none" w:pos="1020" w:val="left"/>
        </w:tabs>
        <w:numPr>
          <w:ilvl w:val="0"/>
          <w:numId w:val="62"/>
        </w:numPr>
        <w:rPr>
          <w:rFonts w:ascii="Times New Roman" w:cs="Times New Roman" w:eastAsia="Times New Roman" w:hAnsi="Times New Roman"/>
          <w:sz w:val="20"/>
          <w:szCs w:val="20"/>
          <w:b w:val="1"/>
          <w:bCs w:val="1"/>
          <w:color w:val="00171E"/>
        </w:rPr>
      </w:pPr>
      <w:r>
        <w:rPr>
          <w:rFonts w:ascii="Times New Roman" w:cs="Times New Roman" w:eastAsia="Times New Roman" w:hAnsi="Times New Roman"/>
          <w:sz w:val="20"/>
          <w:szCs w:val="20"/>
          <w:b w:val="1"/>
          <w:bCs w:val="1"/>
          <w:color w:val="00171E"/>
        </w:rPr>
        <w:t>Termination of Employment.</w:t>
      </w:r>
    </w:p>
    <w:p>
      <w:pPr>
        <w:spacing w:after="0" w:line="219" w:lineRule="exact"/>
        <w:rPr>
          <w:rFonts w:ascii="Times New Roman" w:cs="Times New Roman" w:eastAsia="Times New Roman" w:hAnsi="Times New Roman"/>
          <w:sz w:val="20"/>
          <w:szCs w:val="20"/>
          <w:b w:val="1"/>
          <w:bCs w:val="1"/>
          <w:color w:val="00171E"/>
        </w:rPr>
      </w:pPr>
    </w:p>
    <w:p>
      <w:pPr>
        <w:jc w:val="both"/>
        <w:ind w:firstLine="1505"/>
        <w:spacing w:after="0" w:line="246" w:lineRule="auto"/>
        <w:tabs>
          <w:tab w:leader="none" w:pos="2036" w:val="left"/>
        </w:tabs>
        <w:numPr>
          <w:ilvl w:val="1"/>
          <w:numId w:val="62"/>
        </w:numPr>
        <w:rPr>
          <w:rFonts w:ascii="Times New Roman" w:cs="Times New Roman" w:eastAsia="Times New Roman" w:hAnsi="Times New Roman"/>
          <w:sz w:val="20"/>
          <w:szCs w:val="20"/>
          <w:u w:val="single" w:color="auto"/>
          <w:color w:val="00171E"/>
        </w:rPr>
      </w:pPr>
      <w:r>
        <w:rPr>
          <w:rFonts w:ascii="Times New Roman" w:cs="Times New Roman" w:eastAsia="Times New Roman" w:hAnsi="Times New Roman"/>
          <w:sz w:val="20"/>
          <w:szCs w:val="20"/>
          <w:u w:val="single" w:color="auto"/>
          <w:color w:val="00171E"/>
        </w:rPr>
        <w:t>By Company Without Cause</w:t>
      </w:r>
      <w:r>
        <w:rPr>
          <w:rFonts w:ascii="Times New Roman" w:cs="Times New Roman" w:eastAsia="Times New Roman" w:hAnsi="Times New Roman"/>
          <w:sz w:val="20"/>
          <w:szCs w:val="20"/>
          <w:color w:val="00171E"/>
        </w:rPr>
        <w:t xml:space="preserve">. Subject to the last paragraph of this </w:t>
      </w:r>
      <w:r>
        <w:rPr>
          <w:rFonts w:ascii="Times New Roman" w:cs="Times New Roman" w:eastAsia="Times New Roman" w:hAnsi="Times New Roman"/>
          <w:sz w:val="20"/>
          <w:szCs w:val="20"/>
          <w:u w:val="single" w:color="auto"/>
          <w:color w:val="00171E"/>
        </w:rPr>
        <w:t>Section 5(a)</w:t>
      </w:r>
      <w:r>
        <w:rPr>
          <w:rFonts w:ascii="Times New Roman" w:cs="Times New Roman" w:eastAsia="Times New Roman" w:hAnsi="Times New Roman"/>
          <w:sz w:val="20"/>
          <w:szCs w:val="20"/>
          <w:color w:val="00171E"/>
        </w:rPr>
        <w:t>, the Company may terminate Executive’s employment without Cause (as defined below) (excluding due to Executive’s death or Incapacity (as defined below)) effective on thirty (30) days’ written notice (such thirty (30)-day period, the “</w:t>
      </w:r>
      <w:r>
        <w:rPr>
          <w:rFonts w:ascii="Times New Roman" w:cs="Times New Roman" w:eastAsia="Times New Roman" w:hAnsi="Times New Roman"/>
          <w:sz w:val="20"/>
          <w:szCs w:val="20"/>
          <w:u w:val="single" w:color="auto"/>
          <w:color w:val="00171E"/>
        </w:rPr>
        <w:t>Notice Period</w:t>
      </w:r>
      <w:r>
        <w:rPr>
          <w:rFonts w:ascii="Times New Roman" w:cs="Times New Roman" w:eastAsia="Times New Roman" w:hAnsi="Times New Roman"/>
          <w:sz w:val="20"/>
          <w:szCs w:val="20"/>
          <w:color w:val="00171E"/>
        </w:rPr>
        <w:t>”, and such notice, the “</w:t>
      </w:r>
      <w:r>
        <w:rPr>
          <w:rFonts w:ascii="Times New Roman" w:cs="Times New Roman" w:eastAsia="Times New Roman" w:hAnsi="Times New Roman"/>
          <w:sz w:val="20"/>
          <w:szCs w:val="20"/>
          <w:u w:val="single" w:color="auto"/>
          <w:color w:val="00171E"/>
        </w:rPr>
        <w:t>Termination Notice</w:t>
      </w:r>
      <w:r>
        <w:rPr>
          <w:rFonts w:ascii="Times New Roman" w:cs="Times New Roman" w:eastAsia="Times New Roman" w:hAnsi="Times New Roman"/>
          <w:sz w:val="20"/>
          <w:szCs w:val="20"/>
          <w:color w:val="00171E"/>
        </w:rPr>
        <w:t>”), during which notice period Executive may be relieved of his/her duties, placed on paid terminal leave and shall resign from the Board. In such event and subject to the other provisions of this Agreement, Executive will be entitled to:</w:t>
      </w:r>
    </w:p>
    <w:p>
      <w:pPr>
        <w:spacing w:after="0" w:line="184" w:lineRule="exact"/>
        <w:rPr>
          <w:rFonts w:ascii="Times New Roman" w:cs="Times New Roman" w:eastAsia="Times New Roman" w:hAnsi="Times New Roman"/>
          <w:sz w:val="20"/>
          <w:szCs w:val="20"/>
          <w:u w:val="single" w:color="auto"/>
          <w:color w:val="00171E"/>
        </w:rPr>
      </w:pPr>
    </w:p>
    <w:p>
      <w:pPr>
        <w:jc w:val="both"/>
        <w:ind w:firstLine="2254"/>
        <w:spacing w:after="0" w:line="254" w:lineRule="auto"/>
        <w:tabs>
          <w:tab w:leader="none" w:pos="2546" w:val="left"/>
        </w:tabs>
        <w:numPr>
          <w:ilvl w:val="2"/>
          <w:numId w:val="62"/>
        </w:numPr>
        <w:rPr>
          <w:rFonts w:ascii="Times New Roman" w:cs="Times New Roman" w:eastAsia="Times New Roman" w:hAnsi="Times New Roman"/>
          <w:sz w:val="20"/>
          <w:szCs w:val="20"/>
          <w:color w:val="00171E"/>
        </w:rPr>
      </w:pPr>
      <w:r>
        <w:rPr>
          <w:rFonts w:ascii="Times New Roman" w:cs="Times New Roman" w:eastAsia="Times New Roman" w:hAnsi="Times New Roman"/>
          <w:sz w:val="20"/>
          <w:szCs w:val="20"/>
          <w:color w:val="00171E"/>
        </w:rPr>
        <w:t>continued coverage under the Company’s insurance-based benefit plans through the termination date and such other benefits to which he/she may be entitled pursuant to the terms and conditions of the Company’s benefit plans, provided, however, that Executive shall not participate in any severance plan of the Company;</w:t>
      </w:r>
    </w:p>
    <w:p>
      <w:pPr>
        <w:spacing w:after="0" w:line="174" w:lineRule="exact"/>
        <w:rPr>
          <w:rFonts w:ascii="Times New Roman" w:cs="Times New Roman" w:eastAsia="Times New Roman" w:hAnsi="Times New Roman"/>
          <w:sz w:val="20"/>
          <w:szCs w:val="20"/>
          <w:color w:val="00171E"/>
        </w:rPr>
      </w:pPr>
    </w:p>
    <w:p>
      <w:pPr>
        <w:ind w:right="20" w:firstLine="2254"/>
        <w:spacing w:after="0" w:line="269" w:lineRule="auto"/>
        <w:tabs>
          <w:tab w:leader="none" w:pos="2546" w:val="left"/>
        </w:tabs>
        <w:numPr>
          <w:ilvl w:val="2"/>
          <w:numId w:val="62"/>
        </w:numPr>
        <w:rPr>
          <w:rFonts w:ascii="Times New Roman" w:cs="Times New Roman" w:eastAsia="Times New Roman" w:hAnsi="Times New Roman"/>
          <w:sz w:val="20"/>
          <w:szCs w:val="20"/>
          <w:color w:val="00171E"/>
        </w:rPr>
      </w:pPr>
      <w:r>
        <w:rPr>
          <w:rFonts w:ascii="Times New Roman" w:cs="Times New Roman" w:eastAsia="Times New Roman" w:hAnsi="Times New Roman"/>
          <w:sz w:val="20"/>
          <w:szCs w:val="20"/>
          <w:color w:val="00171E"/>
        </w:rPr>
        <w:t>payment of all earned but unpaid compensation (including any accrued unpaid vacation, as applicable) through the effective date of termination, payable on or before the termination date; and</w:t>
      </w:r>
    </w:p>
    <w:p>
      <w:pPr>
        <w:spacing w:after="0" w:line="159" w:lineRule="exact"/>
        <w:rPr>
          <w:sz w:val="20"/>
          <w:szCs w:val="20"/>
          <w:color w:val="auto"/>
        </w:rPr>
      </w:pPr>
    </w:p>
    <w:p>
      <w:pPr>
        <w:jc w:val="both"/>
        <w:ind w:firstLine="2246"/>
        <w:spacing w:after="0" w:line="269" w:lineRule="auto"/>
        <w:rPr>
          <w:sz w:val="20"/>
          <w:szCs w:val="20"/>
          <w:color w:val="auto"/>
        </w:rPr>
      </w:pPr>
      <w:r>
        <w:rPr>
          <w:rFonts w:ascii="Times New Roman" w:cs="Times New Roman" w:eastAsia="Times New Roman" w:hAnsi="Times New Roman"/>
          <w:sz w:val="20"/>
          <w:szCs w:val="20"/>
          <w:color w:val="00171E"/>
        </w:rPr>
        <w:t xml:space="preserve">(iii)reimbursement of expenses incurred on or before the termination date in accordance with </w:t>
      </w:r>
      <w:r>
        <w:rPr>
          <w:rFonts w:ascii="Times New Roman" w:cs="Times New Roman" w:eastAsia="Times New Roman" w:hAnsi="Times New Roman"/>
          <w:sz w:val="20"/>
          <w:szCs w:val="20"/>
          <w:u w:val="single" w:color="auto"/>
          <w:color w:val="00171E"/>
        </w:rPr>
        <w:t>Section 4(e)</w:t>
      </w:r>
      <w:r>
        <w:rPr>
          <w:rFonts w:ascii="Times New Roman" w:cs="Times New Roman" w:eastAsia="Times New Roman" w:hAnsi="Times New Roman"/>
          <w:sz w:val="20"/>
          <w:szCs w:val="20"/>
          <w:color w:val="00171E"/>
        </w:rPr>
        <w:t>, above, if a request for reimbursement of the expenses was timely submitted to the Company; plus</w:t>
      </w:r>
    </w:p>
    <w:p>
      <w:pPr>
        <w:spacing w:after="0" w:line="159" w:lineRule="exact"/>
        <w:rPr>
          <w:sz w:val="20"/>
          <w:szCs w:val="20"/>
          <w:color w:val="auto"/>
        </w:rPr>
      </w:pPr>
    </w:p>
    <w:p>
      <w:pPr>
        <w:jc w:val="both"/>
        <w:ind w:firstLine="2246"/>
        <w:spacing w:after="0" w:line="245" w:lineRule="auto"/>
        <w:rPr>
          <w:sz w:val="20"/>
          <w:szCs w:val="20"/>
          <w:color w:val="auto"/>
        </w:rPr>
      </w:pPr>
      <w:r>
        <w:rPr>
          <w:rFonts w:ascii="Times New Roman" w:cs="Times New Roman" w:eastAsia="Times New Roman" w:hAnsi="Times New Roman"/>
          <w:sz w:val="20"/>
          <w:szCs w:val="20"/>
          <w:color w:val="00171E"/>
        </w:rPr>
        <w:t>(iv)payment of the equivalent of the Base Salary, as then in effect (provided that if there has been any reduction in the Base Salary that would otherwise constitute Good Reason, then the rate in effect prior to such reduction), that he/she would have earned over the next twelve (12) months following the termination date (less necessary withholdings and authorized deductions) (the “</w:t>
      </w:r>
      <w:r>
        <w:rPr>
          <w:rFonts w:ascii="Times New Roman" w:cs="Times New Roman" w:eastAsia="Times New Roman" w:hAnsi="Times New Roman"/>
          <w:sz w:val="20"/>
          <w:szCs w:val="20"/>
          <w:u w:val="single" w:color="auto"/>
          <w:color w:val="00171E"/>
        </w:rPr>
        <w:t>Severance Payment</w:t>
      </w:r>
      <w:r>
        <w:rPr>
          <w:rFonts w:ascii="Times New Roman" w:cs="Times New Roman" w:eastAsia="Times New Roman" w:hAnsi="Times New Roman"/>
          <w:sz w:val="20"/>
          <w:szCs w:val="20"/>
          <w:color w:val="00171E"/>
        </w:rPr>
        <w:t>”), payable in a lump sum on the first regularly scheduled payroll date following the date the Release becomes effective and irrevocable (the “</w:t>
      </w:r>
      <w:r>
        <w:rPr>
          <w:rFonts w:ascii="Times New Roman" w:cs="Times New Roman" w:eastAsia="Times New Roman" w:hAnsi="Times New Roman"/>
          <w:sz w:val="20"/>
          <w:szCs w:val="20"/>
          <w:u w:val="single" w:color="auto"/>
          <w:color w:val="00171E"/>
        </w:rPr>
        <w:t>Release Effective Date</w:t>
      </w:r>
      <w:r>
        <w:rPr>
          <w:rFonts w:ascii="Times New Roman" w:cs="Times New Roman" w:eastAsia="Times New Roman" w:hAnsi="Times New Roman"/>
          <w:sz w:val="20"/>
          <w:szCs w:val="20"/>
          <w:color w:val="00171E"/>
        </w:rPr>
        <w:t xml:space="preserve">”), but (1) in any event within 30 days after the Release Effective Date and (2) subject to </w:t>
      </w:r>
      <w:r>
        <w:rPr>
          <w:rFonts w:ascii="Times New Roman" w:cs="Times New Roman" w:eastAsia="Times New Roman" w:hAnsi="Times New Roman"/>
          <w:sz w:val="20"/>
          <w:szCs w:val="20"/>
          <w:u w:val="single" w:color="auto"/>
          <w:color w:val="00171E"/>
        </w:rPr>
        <w:t>Section</w:t>
      </w:r>
      <w:r>
        <w:rPr>
          <w:rFonts w:ascii="Times New Roman" w:cs="Times New Roman" w:eastAsia="Times New Roman" w:hAnsi="Times New Roman"/>
          <w:sz w:val="20"/>
          <w:szCs w:val="20"/>
          <w:color w:val="00171E"/>
        </w:rPr>
        <w:t xml:space="preserve"> </w:t>
      </w:r>
      <w:r>
        <w:rPr>
          <w:rFonts w:ascii="Times New Roman" w:cs="Times New Roman" w:eastAsia="Times New Roman" w:hAnsi="Times New Roman"/>
          <w:sz w:val="20"/>
          <w:szCs w:val="20"/>
          <w:u w:val="single" w:color="auto"/>
          <w:color w:val="00171E"/>
        </w:rPr>
        <w:t>16</w:t>
      </w:r>
      <w:r>
        <w:rPr>
          <w:rFonts w:ascii="Times New Roman" w:cs="Times New Roman" w:eastAsia="Times New Roman" w:hAnsi="Times New Roman"/>
          <w:sz w:val="20"/>
          <w:szCs w:val="20"/>
          <w:color w:val="00171E"/>
        </w:rPr>
        <w:t>, below;</w:t>
      </w:r>
    </w:p>
    <w:p>
      <w:pPr>
        <w:spacing w:after="0" w:line="184" w:lineRule="exact"/>
        <w:rPr>
          <w:sz w:val="20"/>
          <w:szCs w:val="20"/>
          <w:color w:val="auto"/>
        </w:rPr>
      </w:pPr>
    </w:p>
    <w:p>
      <w:pPr>
        <w:jc w:val="both"/>
        <w:ind w:firstLine="2254"/>
        <w:spacing w:after="0" w:line="255" w:lineRule="auto"/>
        <w:tabs>
          <w:tab w:leader="none" w:pos="2546" w:val="left"/>
        </w:tabs>
        <w:numPr>
          <w:ilvl w:val="0"/>
          <w:numId w:val="63"/>
        </w:numPr>
        <w:rPr>
          <w:rFonts w:ascii="Times New Roman" w:cs="Times New Roman" w:eastAsia="Times New Roman" w:hAnsi="Times New Roman"/>
          <w:sz w:val="19"/>
          <w:szCs w:val="19"/>
          <w:color w:val="00171E"/>
        </w:rPr>
      </w:pPr>
      <w:r>
        <w:rPr>
          <w:rFonts w:ascii="Times New Roman" w:cs="Times New Roman" w:eastAsia="Times New Roman" w:hAnsi="Times New Roman"/>
          <w:sz w:val="19"/>
          <w:szCs w:val="19"/>
          <w:color w:val="00171E"/>
        </w:rPr>
        <w:t>either (1) if Executive’s termination date occurs on or following the date on which bonus payments to similarly situated executives are made under the Bonus Plan for the fiscal year prior to the fiscal year in which Executive’s termination occurs (the “</w:t>
      </w:r>
      <w:r>
        <w:rPr>
          <w:rFonts w:ascii="Times New Roman" w:cs="Times New Roman" w:eastAsia="Times New Roman" w:hAnsi="Times New Roman"/>
          <w:sz w:val="19"/>
          <w:szCs w:val="19"/>
          <w:u w:val="single" w:color="auto"/>
          <w:color w:val="00171E"/>
        </w:rPr>
        <w:t>Prior Fiscal Year</w:t>
      </w:r>
      <w:r>
        <w:rPr>
          <w:rFonts w:ascii="Times New Roman" w:cs="Times New Roman" w:eastAsia="Times New Roman" w:hAnsi="Times New Roman"/>
          <w:sz w:val="19"/>
          <w:szCs w:val="19"/>
          <w:color w:val="00171E"/>
        </w:rPr>
        <w:t>”), then payment of a prorated portion of the actual bonus Executive would have otherwise received for the fiscal year during which the termination occurs, as if Executive had remained employed by the Company through the date that would have otherwise been required to earn the bonus, but without the Board or any committee of the Board exercising any negative discretion to reduce the amount of the award, calculated by dividing the number of days from the start of the fiscal year through the termination date by 365 and multiplying the amount of such actual bonus Executive would have otherwise received by this percentage (but not by more than 100%), and paid at the same time as bonuses are paid to other Company executives that are similarly situated to Executive but in any case in the same calendar year in which the performance period ends; provided, however, that if the termination date is after the seventh month of the fiscal year, the actual bonus will not be prorated and Executive will receive 100% of such actual bonus Executive would have otherwise received for that fiscal year (without the Board or any committee of the Board exercising any negative discretion) at the same time as bonuses are paid to other Company executives that are similarly situated to Executive but in any case in the same calendar year in which the performance period ends, or (2) if Executive’s termination date occurs prior to the date on which bonus payments to similarly situated Company executives are made under the Bonus Plan for the Prior Fiscal Year, then payment of the actual bonus Executive would have otherwise received under the Bonus Plan for the Prior Fiscal Year, as if Executive had remained employed by the Company through the date that would have otherwise been required to earn the bonus, but without the Board or any committee of the Board exercising any negative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171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2"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6"/>
          <w:szCs w:val="16"/>
          <w:b w:val="1"/>
          <w:bCs w:val="1"/>
          <w:color w:val="auto"/>
        </w:rPr>
        <w:t>E</w:t>
      </w:r>
      <w:r>
        <w:rPr>
          <w:rFonts w:ascii="Times New Roman" w:cs="Times New Roman" w:eastAsia="Times New Roman" w:hAnsi="Times New Roman"/>
          <w:sz w:val="10"/>
          <w:szCs w:val="10"/>
          <w:b w:val="1"/>
          <w:bCs w:val="1"/>
          <w:color w:val="auto"/>
        </w:rPr>
        <w:t>xecutive</w:t>
      </w:r>
      <w:r>
        <w:rPr>
          <w:rFonts w:ascii="Times New Roman" w:cs="Times New Roman" w:eastAsia="Times New Roman" w:hAnsi="Times New Roman"/>
          <w:sz w:val="16"/>
          <w:szCs w:val="16"/>
          <w:b w:val="1"/>
          <w:bCs w:val="1"/>
          <w:color w:val="auto"/>
        </w:rPr>
        <w:t xml:space="preserve"> E</w:t>
      </w:r>
      <w:r>
        <w:rPr>
          <w:rFonts w:ascii="Times New Roman" w:cs="Times New Roman" w:eastAsia="Times New Roman" w:hAnsi="Times New Roman"/>
          <w:sz w:val="10"/>
          <w:szCs w:val="10"/>
          <w:b w:val="1"/>
          <w:bCs w:val="1"/>
          <w:color w:val="auto"/>
        </w:rPr>
        <w:t>mployment</w:t>
      </w:r>
      <w:r>
        <w:rPr>
          <w:rFonts w:ascii="Times New Roman" w:cs="Times New Roman" w:eastAsia="Times New Roman" w:hAnsi="Times New Roman"/>
          <w:sz w:val="16"/>
          <w:szCs w:val="16"/>
          <w:b w:val="1"/>
          <w:bCs w:val="1"/>
          <w:color w:val="auto"/>
        </w:rPr>
        <w:t xml:space="preserve"> A</w:t>
      </w:r>
      <w:r>
        <w:rPr>
          <w:rFonts w:ascii="Times New Roman" w:cs="Times New Roman" w:eastAsia="Times New Roman" w:hAnsi="Times New Roman"/>
          <w:sz w:val="10"/>
          <w:szCs w:val="10"/>
          <w:b w:val="1"/>
          <w:bCs w:val="1"/>
          <w:color w:val="auto"/>
        </w:rPr>
        <w:t>gmt</w:t>
      </w:r>
      <w:r>
        <w:rPr>
          <w:rFonts w:ascii="Times New Roman" w:cs="Times New Roman" w:eastAsia="Times New Roman" w:hAnsi="Times New Roman"/>
          <w:sz w:val="16"/>
          <w:szCs w:val="16"/>
          <w:b w:val="1"/>
          <w:bCs w:val="1"/>
          <w:color w:val="auto"/>
        </w:rPr>
        <w:t xml:space="preserve"> S</w:t>
      </w:r>
      <w:r>
        <w:rPr>
          <w:rFonts w:ascii="Times New Roman" w:cs="Times New Roman" w:eastAsia="Times New Roman" w:hAnsi="Times New Roman"/>
          <w:sz w:val="10"/>
          <w:szCs w:val="10"/>
          <w:b w:val="1"/>
          <w:bCs w:val="1"/>
          <w:color w:val="auto"/>
        </w:rPr>
        <w:t>td</w:t>
      </w:r>
      <w:r>
        <w:rPr>
          <w:rFonts w:ascii="Times New Roman" w:cs="Times New Roman" w:eastAsia="Times New Roman" w:hAnsi="Times New Roman"/>
          <w:sz w:val="16"/>
          <w:szCs w:val="16"/>
          <w:b w:val="1"/>
          <w:bCs w:val="1"/>
          <w:color w:val="auto"/>
        </w:rPr>
        <w:t xml:space="preserve"> 11.1.24</w:t>
      </w:r>
      <w:r>
        <w:rPr>
          <w:sz w:val="20"/>
          <w:szCs w:val="20"/>
          <w:color w:val="auto"/>
        </w:rPr>
        <w:tab/>
      </w:r>
      <w:r>
        <w:rPr>
          <w:rFonts w:ascii="Times New Roman" w:cs="Times New Roman" w:eastAsia="Times New Roman" w:hAnsi="Times New Roman"/>
          <w:sz w:val="16"/>
          <w:szCs w:val="16"/>
          <w:b w:val="1"/>
          <w:bCs w:val="1"/>
          <w:color w:val="auto"/>
        </w:rPr>
        <w:t>A</w:t>
      </w:r>
      <w:r>
        <w:rPr>
          <w:rFonts w:ascii="Times New Roman" w:cs="Times New Roman" w:eastAsia="Times New Roman" w:hAnsi="Times New Roman"/>
          <w:sz w:val="10"/>
          <w:szCs w:val="10"/>
          <w:b w:val="1"/>
          <w:bCs w:val="1"/>
          <w:color w:val="auto"/>
        </w:rPr>
        <w:t>ccuray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3" w:name="page84"/>
    <w:bookmarkEnd w:id="83"/>
    <w:p>
      <w:pPr>
        <w:ind w:left="6660"/>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5</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NUMPAGES \* Arabic \* MERGEFORMAT 31</w:t>
      </w:r>
    </w:p>
    <w:p>
      <w:pPr>
        <w:spacing w:after="0" w:line="200" w:lineRule="exact"/>
        <w:rPr>
          <w:sz w:val="20"/>
          <w:szCs w:val="20"/>
          <w:color w:val="auto"/>
        </w:rPr>
      </w:pPr>
    </w:p>
    <w:p>
      <w:pPr>
        <w:spacing w:after="0" w:line="24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00171E"/>
        </w:rPr>
        <w:t>discretion to reduce the amount of the award, paid at the same time as bonuses are paid to other Company executives that are similarly situated to Executive but in any case in the same calendar year in which the applicable fiscal year ends;</w:t>
      </w:r>
    </w:p>
    <w:p>
      <w:pPr>
        <w:spacing w:after="0" w:line="159" w:lineRule="exact"/>
        <w:rPr>
          <w:sz w:val="20"/>
          <w:szCs w:val="20"/>
          <w:color w:val="auto"/>
        </w:rPr>
      </w:pPr>
    </w:p>
    <w:p>
      <w:pPr>
        <w:jc w:val="both"/>
        <w:ind w:firstLine="2246"/>
        <w:spacing w:after="0" w:line="243" w:lineRule="auto"/>
        <w:rPr>
          <w:sz w:val="20"/>
          <w:szCs w:val="20"/>
          <w:color w:val="auto"/>
        </w:rPr>
      </w:pPr>
      <w:r>
        <w:rPr>
          <w:rFonts w:ascii="Times New Roman" w:cs="Times New Roman" w:eastAsia="Times New Roman" w:hAnsi="Times New Roman"/>
          <w:sz w:val="20"/>
          <w:szCs w:val="20"/>
          <w:color w:val="00171E"/>
        </w:rPr>
        <w:t xml:space="preserve">(vi)subject to </w:t>
      </w:r>
      <w:r>
        <w:rPr>
          <w:rFonts w:ascii="Times New Roman" w:cs="Times New Roman" w:eastAsia="Times New Roman" w:hAnsi="Times New Roman"/>
          <w:sz w:val="20"/>
          <w:szCs w:val="20"/>
          <w:u w:val="single" w:color="auto"/>
          <w:color w:val="00171E"/>
        </w:rPr>
        <w:t>Section 5(g)</w:t>
      </w:r>
      <w:r>
        <w:rPr>
          <w:rFonts w:ascii="Times New Roman" w:cs="Times New Roman" w:eastAsia="Times New Roman" w:hAnsi="Times New Roman"/>
          <w:sz w:val="20"/>
          <w:szCs w:val="20"/>
          <w:color w:val="00171E"/>
        </w:rPr>
        <w:t>, reimbursement of insurance premiums payable to retain group health coverage as of the termination date for himself/herself and his/her eligible dependents pursuant to the Consolidated Omnibus Budget Reconciliation Act of 1986, as amended (“</w:t>
      </w:r>
      <w:r>
        <w:rPr>
          <w:rFonts w:ascii="Times New Roman" w:cs="Times New Roman" w:eastAsia="Times New Roman" w:hAnsi="Times New Roman"/>
          <w:sz w:val="20"/>
          <w:szCs w:val="20"/>
          <w:u w:val="single" w:color="auto"/>
          <w:color w:val="00171E"/>
        </w:rPr>
        <w:t>COBRA</w:t>
      </w:r>
      <w:r>
        <w:rPr>
          <w:rFonts w:ascii="Times New Roman" w:cs="Times New Roman" w:eastAsia="Times New Roman" w:hAnsi="Times New Roman"/>
          <w:sz w:val="20"/>
          <w:szCs w:val="20"/>
          <w:color w:val="00171E"/>
        </w:rPr>
        <w:t xml:space="preserve">”), for twelve (12) months from the date Executive becomes COBRA eligible or the maximum period of COBRA coverage, whichever is less; provided that Executive must submit a reimbursement request in accordance with Company policy within thirty (30) days of paying such insurance premiums. The Company will reimburse Executive within thirty (30) days of receiving a properly submitted request. In addition, if Executive accepts other employment within such twelve (12) months, the Company’s obligation under this </w:t>
      </w:r>
      <w:r>
        <w:rPr>
          <w:rFonts w:ascii="Times New Roman" w:cs="Times New Roman" w:eastAsia="Times New Roman" w:hAnsi="Times New Roman"/>
          <w:sz w:val="20"/>
          <w:szCs w:val="20"/>
          <w:u w:val="single" w:color="auto"/>
          <w:color w:val="00171E"/>
        </w:rPr>
        <w:t>Section 5(a)(vi)</w:t>
      </w:r>
      <w:r>
        <w:rPr>
          <w:rFonts w:ascii="Times New Roman" w:cs="Times New Roman" w:eastAsia="Times New Roman" w:hAnsi="Times New Roman"/>
          <w:sz w:val="20"/>
          <w:szCs w:val="20"/>
          <w:color w:val="00171E"/>
        </w:rPr>
        <w:t xml:space="preserve"> will be extinguished as of the date Executive becomes eligible to be covered under the group health plan of Executive’s new employer; and</w:t>
      </w:r>
    </w:p>
    <w:p>
      <w:pPr>
        <w:spacing w:after="0" w:line="189" w:lineRule="exact"/>
        <w:rPr>
          <w:sz w:val="20"/>
          <w:szCs w:val="20"/>
          <w:color w:val="auto"/>
        </w:rPr>
      </w:pPr>
    </w:p>
    <w:p>
      <w:pPr>
        <w:jc w:val="both"/>
        <w:ind w:firstLine="2246"/>
        <w:spacing w:after="0" w:line="254" w:lineRule="auto"/>
        <w:rPr>
          <w:sz w:val="20"/>
          <w:szCs w:val="20"/>
          <w:color w:val="auto"/>
        </w:rPr>
      </w:pPr>
      <w:r>
        <w:rPr>
          <w:rFonts w:ascii="Times New Roman" w:cs="Times New Roman" w:eastAsia="Times New Roman" w:hAnsi="Times New Roman"/>
          <w:sz w:val="20"/>
          <w:szCs w:val="20"/>
          <w:color w:val="00171E"/>
        </w:rPr>
        <w:t>(vii)payment for executive outplacement assistance services with the Company’s then current outplacement services vendor and in accordance with the Company’s then current policies and practices with respect to outplacement assistance for other executives of the Company for up to twelve (12) months after the termination date.</w:t>
      </w:r>
    </w:p>
    <w:p>
      <w:pPr>
        <w:spacing w:after="0" w:line="174"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00171E"/>
        </w:rPr>
        <w:t xml:space="preserve">The payments and benefits set forth in </w:t>
      </w:r>
      <w:r>
        <w:rPr>
          <w:rFonts w:ascii="Times New Roman" w:cs="Times New Roman" w:eastAsia="Times New Roman" w:hAnsi="Times New Roman"/>
          <w:sz w:val="20"/>
          <w:szCs w:val="20"/>
          <w:u w:val="single" w:color="auto"/>
          <w:color w:val="00171E"/>
        </w:rPr>
        <w:t>Sections 5(a)(i)-(iii)</w:t>
      </w:r>
      <w:r>
        <w:rPr>
          <w:rFonts w:ascii="Times New Roman" w:cs="Times New Roman" w:eastAsia="Times New Roman" w:hAnsi="Times New Roman"/>
          <w:sz w:val="20"/>
          <w:szCs w:val="20"/>
          <w:color w:val="00171E"/>
        </w:rPr>
        <w:t xml:space="preserve"> shall be referred to as the “</w:t>
      </w:r>
      <w:r>
        <w:rPr>
          <w:rFonts w:ascii="Times New Roman" w:cs="Times New Roman" w:eastAsia="Times New Roman" w:hAnsi="Times New Roman"/>
          <w:sz w:val="20"/>
          <w:szCs w:val="20"/>
          <w:u w:val="single" w:color="auto"/>
          <w:color w:val="00171E"/>
        </w:rPr>
        <w:t>Accrued Benefits</w:t>
      </w:r>
      <w:r>
        <w:rPr>
          <w:rFonts w:ascii="Times New Roman" w:cs="Times New Roman" w:eastAsia="Times New Roman" w:hAnsi="Times New Roman"/>
          <w:sz w:val="20"/>
          <w:szCs w:val="20"/>
          <w:color w:val="00171E"/>
        </w:rPr>
        <w:t xml:space="preserve">”, and the payments and benefits set forth in </w:t>
      </w:r>
      <w:r>
        <w:rPr>
          <w:rFonts w:ascii="Times New Roman" w:cs="Times New Roman" w:eastAsia="Times New Roman" w:hAnsi="Times New Roman"/>
          <w:sz w:val="20"/>
          <w:szCs w:val="20"/>
          <w:u w:val="single" w:color="auto"/>
          <w:color w:val="00171E"/>
        </w:rPr>
        <w:t>Sections 5(a)(iv)-(vii)</w:t>
      </w:r>
      <w:r>
        <w:rPr>
          <w:rFonts w:ascii="Times New Roman" w:cs="Times New Roman" w:eastAsia="Times New Roman" w:hAnsi="Times New Roman"/>
          <w:sz w:val="20"/>
          <w:szCs w:val="20"/>
          <w:color w:val="00171E"/>
        </w:rPr>
        <w:t xml:space="preserve"> shall be referred to as the “</w:t>
      </w:r>
      <w:r>
        <w:rPr>
          <w:rFonts w:ascii="Times New Roman" w:cs="Times New Roman" w:eastAsia="Times New Roman" w:hAnsi="Times New Roman"/>
          <w:sz w:val="20"/>
          <w:szCs w:val="20"/>
          <w:u w:val="single" w:color="auto"/>
          <w:color w:val="00171E"/>
        </w:rPr>
        <w:t>Severance Benefits</w:t>
      </w:r>
      <w:r>
        <w:rPr>
          <w:rFonts w:ascii="Times New Roman" w:cs="Times New Roman" w:eastAsia="Times New Roman" w:hAnsi="Times New Roman"/>
          <w:sz w:val="20"/>
          <w:szCs w:val="20"/>
          <w:color w:val="00171E"/>
        </w:rPr>
        <w:t xml:space="preserve">”. Executive shall not receive the Severance Benefits, the “Enhanced Severance Benefits” as provided in </w:t>
      </w:r>
      <w:r>
        <w:rPr>
          <w:rFonts w:ascii="Times New Roman" w:cs="Times New Roman" w:eastAsia="Times New Roman" w:hAnsi="Times New Roman"/>
          <w:sz w:val="20"/>
          <w:szCs w:val="20"/>
          <w:u w:val="single" w:color="auto"/>
          <w:color w:val="00171E"/>
        </w:rPr>
        <w:t>Section 5(e)</w:t>
      </w:r>
      <w:r>
        <w:rPr>
          <w:rFonts w:ascii="Times New Roman" w:cs="Times New Roman" w:eastAsia="Times New Roman" w:hAnsi="Times New Roman"/>
          <w:sz w:val="20"/>
          <w:szCs w:val="20"/>
          <w:color w:val="00171E"/>
        </w:rPr>
        <w:t>, or the Termination Notice Replacement Payment (as defined below) unless Executive executes a separation agreement and general release in a form reasonably acceptable to the Company (the “</w:t>
      </w:r>
      <w:r>
        <w:rPr>
          <w:rFonts w:ascii="Times New Roman" w:cs="Times New Roman" w:eastAsia="Times New Roman" w:hAnsi="Times New Roman"/>
          <w:sz w:val="20"/>
          <w:szCs w:val="20"/>
          <w:u w:val="single" w:color="auto"/>
          <w:color w:val="00171E"/>
        </w:rPr>
        <w:t>Release</w:t>
      </w:r>
      <w:r>
        <w:rPr>
          <w:rFonts w:ascii="Times New Roman" w:cs="Times New Roman" w:eastAsia="Times New Roman" w:hAnsi="Times New Roman"/>
          <w:sz w:val="20"/>
          <w:szCs w:val="20"/>
          <w:color w:val="00171E"/>
        </w:rPr>
        <w:t xml:space="preserve">”), and the same becomes effective and irrevocable pursuant to its terms within the 60-day period following the termination of his/her employment. Notwithstanding the foregoing paragraphs of this </w:t>
      </w:r>
      <w:r>
        <w:rPr>
          <w:rFonts w:ascii="Times New Roman" w:cs="Times New Roman" w:eastAsia="Times New Roman" w:hAnsi="Times New Roman"/>
          <w:sz w:val="20"/>
          <w:szCs w:val="20"/>
          <w:u w:val="single" w:color="auto"/>
          <w:color w:val="00171E"/>
        </w:rPr>
        <w:t>Section 5(a)</w:t>
      </w:r>
      <w:r>
        <w:rPr>
          <w:rFonts w:ascii="Times New Roman" w:cs="Times New Roman" w:eastAsia="Times New Roman" w:hAnsi="Times New Roman"/>
          <w:sz w:val="20"/>
          <w:szCs w:val="20"/>
          <w:color w:val="00171E"/>
        </w:rPr>
        <w:t>, the Company may terminate Executive’s employment prior to the expiration of the Notice Period, and in the case of such termination, the Company shall pay Executive the equivalent of the Base Salary he/she would have earned over the remainder of the Notice Period (less necessary withholdings and authorized deductions) at his/her then current Base Salary rate (the “</w:t>
      </w:r>
      <w:r>
        <w:rPr>
          <w:rFonts w:ascii="Times New Roman" w:cs="Times New Roman" w:eastAsia="Times New Roman" w:hAnsi="Times New Roman"/>
          <w:sz w:val="20"/>
          <w:szCs w:val="20"/>
          <w:u w:val="single" w:color="auto"/>
          <w:color w:val="00171E"/>
        </w:rPr>
        <w:t>Termination Notice Replacement Payment</w:t>
      </w:r>
      <w:r>
        <w:rPr>
          <w:rFonts w:ascii="Times New Roman" w:cs="Times New Roman" w:eastAsia="Times New Roman" w:hAnsi="Times New Roman"/>
          <w:sz w:val="20"/>
          <w:szCs w:val="20"/>
          <w:color w:val="00171E"/>
        </w:rPr>
        <w:t>”), subject to Executive satisfying the requirements of the previous sentence. Any such Termination Notice Replacement will be paid in a lump sum at the same time as the Severance Payment.</w:t>
      </w:r>
    </w:p>
    <w:p>
      <w:pPr>
        <w:spacing w:after="0" w:line="192" w:lineRule="exact"/>
        <w:rPr>
          <w:sz w:val="20"/>
          <w:szCs w:val="20"/>
          <w:color w:val="auto"/>
        </w:rPr>
      </w:pPr>
    </w:p>
    <w:p>
      <w:pPr>
        <w:jc w:val="both"/>
        <w:ind w:firstLine="1505"/>
        <w:spacing w:after="0" w:line="241" w:lineRule="auto"/>
        <w:tabs>
          <w:tab w:leader="none" w:pos="2036" w:val="left"/>
        </w:tabs>
        <w:numPr>
          <w:ilvl w:val="0"/>
          <w:numId w:val="64"/>
        </w:numPr>
        <w:rPr>
          <w:rFonts w:ascii="Times New Roman" w:cs="Times New Roman" w:eastAsia="Times New Roman" w:hAnsi="Times New Roman"/>
          <w:sz w:val="20"/>
          <w:szCs w:val="20"/>
          <w:u w:val="single" w:color="auto"/>
          <w:color w:val="00171E"/>
        </w:rPr>
      </w:pPr>
      <w:r>
        <w:rPr>
          <w:rFonts w:ascii="Times New Roman" w:cs="Times New Roman" w:eastAsia="Times New Roman" w:hAnsi="Times New Roman"/>
          <w:sz w:val="20"/>
          <w:szCs w:val="20"/>
          <w:u w:val="single" w:color="auto"/>
          <w:color w:val="00171E"/>
        </w:rPr>
        <w:t>By Company With Cause</w:t>
      </w:r>
      <w:r>
        <w:rPr>
          <w:rFonts w:ascii="Times New Roman" w:cs="Times New Roman" w:eastAsia="Times New Roman" w:hAnsi="Times New Roman"/>
          <w:sz w:val="20"/>
          <w:szCs w:val="20"/>
          <w:color w:val="00171E"/>
        </w:rPr>
        <w:t>. The Company may terminate Executive’s employment at any time and without prior notice, written or otherwise, for Cause. As used in this Agreement, “</w:t>
      </w:r>
      <w:r>
        <w:rPr>
          <w:rFonts w:ascii="Times New Roman" w:cs="Times New Roman" w:eastAsia="Times New Roman" w:hAnsi="Times New Roman"/>
          <w:sz w:val="20"/>
          <w:szCs w:val="20"/>
          <w:u w:val="single" w:color="auto"/>
          <w:color w:val="00171E"/>
        </w:rPr>
        <w:t>Cause</w:t>
      </w:r>
      <w:r>
        <w:rPr>
          <w:rFonts w:ascii="Times New Roman" w:cs="Times New Roman" w:eastAsia="Times New Roman" w:hAnsi="Times New Roman"/>
          <w:sz w:val="20"/>
          <w:szCs w:val="20"/>
          <w:color w:val="00171E"/>
        </w:rPr>
        <w:t xml:space="preserve">” shall mean any of the following conduct by Executive: (i) material breach of this Agreement, or a material violation of a Company policy or of a law, rule or regulation applicable to the Company or its operations; (ii) demonstrated and material neglect of duties, or failure or refusal to perform the material duties of his/her position, or the failure to follow the reasonable and lawful instructions of the Board; (iii) gross misconduct or dishonesty, self-dealing, fraud or similar conduct that the Board reasonably determines has caused, is causing or reasonably is likely to cause harm to the Company; or (iv) conviction of or plea of guilty or </w:t>
      </w:r>
      <w:r>
        <w:rPr>
          <w:rFonts w:ascii="Times New Roman" w:cs="Times New Roman" w:eastAsia="Times New Roman" w:hAnsi="Times New Roman"/>
          <w:sz w:val="20"/>
          <w:szCs w:val="20"/>
          <w:i w:val="1"/>
          <w:iCs w:val="1"/>
          <w:color w:val="00171E"/>
        </w:rPr>
        <w:t>nolo contendere</w:t>
      </w:r>
      <w:r>
        <w:rPr>
          <w:rFonts w:ascii="Times New Roman" w:cs="Times New Roman" w:eastAsia="Times New Roman" w:hAnsi="Times New Roman"/>
          <w:sz w:val="20"/>
          <w:szCs w:val="20"/>
          <w:color w:val="00171E"/>
        </w:rPr>
        <w:t xml:space="preserve"> to a felony (other than a traffic offense that is not punishable by a sentence of incarceration) or any crime involving fraud, embezzlement, or any other act of moral turpitude. A termination for Cause pursuant to </w:t>
      </w:r>
      <w:r>
        <w:rPr>
          <w:rFonts w:ascii="Times New Roman" w:cs="Times New Roman" w:eastAsia="Times New Roman" w:hAnsi="Times New Roman"/>
          <w:sz w:val="20"/>
          <w:szCs w:val="20"/>
          <w:u w:val="single" w:color="auto"/>
          <w:color w:val="00171E"/>
        </w:rPr>
        <w:t>Section 5(b)(ii)</w:t>
      </w:r>
      <w:r>
        <w:rPr>
          <w:rFonts w:ascii="Times New Roman" w:cs="Times New Roman" w:eastAsia="Times New Roman" w:hAnsi="Times New Roman"/>
          <w:sz w:val="20"/>
          <w:szCs w:val="20"/>
          <w:color w:val="00171E"/>
        </w:rPr>
        <w:t xml:space="preserve"> shall be effective only if such failure continues after Executive has been given written notice thereof and fifteen (15) business days thereafter in which to present his/her position to the Board or to cure the same, unless the Board reasonably determines that the reason(s) for termination are not capable of being cured. In the event of termination for Cause, Executive will be entitled only to the Accrued Benefits through the termination date, which will be the date on which the notice is given, and the Company will have no further obligation to pay any compensation of any kind (including without limitation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7132320" cy="171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6"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6"/>
          <w:szCs w:val="16"/>
          <w:b w:val="1"/>
          <w:bCs w:val="1"/>
          <w:color w:val="auto"/>
        </w:rPr>
        <w:t>E</w:t>
      </w:r>
      <w:r>
        <w:rPr>
          <w:rFonts w:ascii="Times New Roman" w:cs="Times New Roman" w:eastAsia="Times New Roman" w:hAnsi="Times New Roman"/>
          <w:sz w:val="10"/>
          <w:szCs w:val="10"/>
          <w:b w:val="1"/>
          <w:bCs w:val="1"/>
          <w:color w:val="auto"/>
        </w:rPr>
        <w:t>xecutive</w:t>
      </w:r>
      <w:r>
        <w:rPr>
          <w:rFonts w:ascii="Times New Roman" w:cs="Times New Roman" w:eastAsia="Times New Roman" w:hAnsi="Times New Roman"/>
          <w:sz w:val="16"/>
          <w:szCs w:val="16"/>
          <w:b w:val="1"/>
          <w:bCs w:val="1"/>
          <w:color w:val="auto"/>
        </w:rPr>
        <w:t xml:space="preserve"> E</w:t>
      </w:r>
      <w:r>
        <w:rPr>
          <w:rFonts w:ascii="Times New Roman" w:cs="Times New Roman" w:eastAsia="Times New Roman" w:hAnsi="Times New Roman"/>
          <w:sz w:val="10"/>
          <w:szCs w:val="10"/>
          <w:b w:val="1"/>
          <w:bCs w:val="1"/>
          <w:color w:val="auto"/>
        </w:rPr>
        <w:t>mployment</w:t>
      </w:r>
      <w:r>
        <w:rPr>
          <w:rFonts w:ascii="Times New Roman" w:cs="Times New Roman" w:eastAsia="Times New Roman" w:hAnsi="Times New Roman"/>
          <w:sz w:val="16"/>
          <w:szCs w:val="16"/>
          <w:b w:val="1"/>
          <w:bCs w:val="1"/>
          <w:color w:val="auto"/>
        </w:rPr>
        <w:t xml:space="preserve"> A</w:t>
      </w:r>
      <w:r>
        <w:rPr>
          <w:rFonts w:ascii="Times New Roman" w:cs="Times New Roman" w:eastAsia="Times New Roman" w:hAnsi="Times New Roman"/>
          <w:sz w:val="10"/>
          <w:szCs w:val="10"/>
          <w:b w:val="1"/>
          <w:bCs w:val="1"/>
          <w:color w:val="auto"/>
        </w:rPr>
        <w:t>gmt</w:t>
      </w:r>
      <w:r>
        <w:rPr>
          <w:rFonts w:ascii="Times New Roman" w:cs="Times New Roman" w:eastAsia="Times New Roman" w:hAnsi="Times New Roman"/>
          <w:sz w:val="16"/>
          <w:szCs w:val="16"/>
          <w:b w:val="1"/>
          <w:bCs w:val="1"/>
          <w:color w:val="auto"/>
        </w:rPr>
        <w:t xml:space="preserve"> S</w:t>
      </w:r>
      <w:r>
        <w:rPr>
          <w:rFonts w:ascii="Times New Roman" w:cs="Times New Roman" w:eastAsia="Times New Roman" w:hAnsi="Times New Roman"/>
          <w:sz w:val="10"/>
          <w:szCs w:val="10"/>
          <w:b w:val="1"/>
          <w:bCs w:val="1"/>
          <w:color w:val="auto"/>
        </w:rPr>
        <w:t>td</w:t>
      </w:r>
      <w:r>
        <w:rPr>
          <w:rFonts w:ascii="Times New Roman" w:cs="Times New Roman" w:eastAsia="Times New Roman" w:hAnsi="Times New Roman"/>
          <w:sz w:val="16"/>
          <w:szCs w:val="16"/>
          <w:b w:val="1"/>
          <w:bCs w:val="1"/>
          <w:color w:val="auto"/>
        </w:rPr>
        <w:t xml:space="preserve"> 11.1.24</w:t>
      </w:r>
      <w:r>
        <w:rPr>
          <w:sz w:val="20"/>
          <w:szCs w:val="20"/>
          <w:color w:val="auto"/>
        </w:rPr>
        <w:tab/>
      </w:r>
      <w:r>
        <w:rPr>
          <w:rFonts w:ascii="Times New Roman" w:cs="Times New Roman" w:eastAsia="Times New Roman" w:hAnsi="Times New Roman"/>
          <w:sz w:val="16"/>
          <w:szCs w:val="16"/>
          <w:b w:val="1"/>
          <w:bCs w:val="1"/>
          <w:color w:val="auto"/>
        </w:rPr>
        <w:t>A</w:t>
      </w:r>
      <w:r>
        <w:rPr>
          <w:rFonts w:ascii="Times New Roman" w:cs="Times New Roman" w:eastAsia="Times New Roman" w:hAnsi="Times New Roman"/>
          <w:sz w:val="10"/>
          <w:szCs w:val="10"/>
          <w:b w:val="1"/>
          <w:bCs w:val="1"/>
          <w:color w:val="auto"/>
        </w:rPr>
        <w:t>ccuray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4" w:name="page85"/>
    <w:bookmarkEnd w:id="84"/>
    <w:p>
      <w:pPr>
        <w:ind w:left="6660"/>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6</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NUMPAGES \* Arabic \* MERGEFORMAT 31</w:t>
      </w:r>
    </w:p>
    <w:p>
      <w:pPr>
        <w:spacing w:after="0" w:line="200" w:lineRule="exact"/>
        <w:rPr>
          <w:sz w:val="20"/>
          <w:szCs w:val="20"/>
          <w:color w:val="auto"/>
        </w:rPr>
      </w:pPr>
    </w:p>
    <w:p>
      <w:pPr>
        <w:spacing w:after="0" w:line="24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00171E"/>
        </w:rPr>
        <w:t>any bonus or portion of a bonus that otherwise may have become due and payable to Executive with respect to the year in which such termination date occurs but for Executive’s termination prior to the payment date), or severance payment of any kind nor to make any payment in lieu of notice.</w:t>
      </w:r>
    </w:p>
    <w:p>
      <w:pPr>
        <w:spacing w:after="0" w:line="174" w:lineRule="exact"/>
        <w:rPr>
          <w:sz w:val="20"/>
          <w:szCs w:val="20"/>
          <w:color w:val="auto"/>
        </w:rPr>
      </w:pPr>
    </w:p>
    <w:p>
      <w:pPr>
        <w:ind w:left="2040" w:hanging="535"/>
        <w:spacing w:after="0"/>
        <w:tabs>
          <w:tab w:leader="none" w:pos="2040" w:val="left"/>
        </w:tabs>
        <w:numPr>
          <w:ilvl w:val="0"/>
          <w:numId w:val="65"/>
        </w:numPr>
        <w:rPr>
          <w:rFonts w:ascii="Times New Roman" w:cs="Times New Roman" w:eastAsia="Times New Roman" w:hAnsi="Times New Roman"/>
          <w:sz w:val="20"/>
          <w:szCs w:val="20"/>
          <w:u w:val="single" w:color="auto"/>
          <w:color w:val="00171E"/>
        </w:rPr>
      </w:pPr>
      <w:r>
        <w:rPr>
          <w:rFonts w:ascii="Times New Roman" w:cs="Times New Roman" w:eastAsia="Times New Roman" w:hAnsi="Times New Roman"/>
          <w:sz w:val="20"/>
          <w:szCs w:val="20"/>
          <w:u w:val="single" w:color="auto"/>
          <w:color w:val="00171E"/>
        </w:rPr>
        <w:t>Incapacity or Death</w:t>
      </w:r>
      <w:r>
        <w:rPr>
          <w:rFonts w:ascii="Times New Roman" w:cs="Times New Roman" w:eastAsia="Times New Roman" w:hAnsi="Times New Roman"/>
          <w:sz w:val="20"/>
          <w:szCs w:val="20"/>
          <w:color w:val="00171E"/>
        </w:rPr>
        <w:t>.</w:t>
      </w:r>
    </w:p>
    <w:p>
      <w:pPr>
        <w:spacing w:after="0" w:line="215" w:lineRule="exact"/>
        <w:rPr>
          <w:rFonts w:ascii="Times New Roman" w:cs="Times New Roman" w:eastAsia="Times New Roman" w:hAnsi="Times New Roman"/>
          <w:sz w:val="20"/>
          <w:szCs w:val="20"/>
          <w:u w:val="single" w:color="auto"/>
          <w:color w:val="00171E"/>
        </w:rPr>
      </w:pPr>
    </w:p>
    <w:p>
      <w:pPr>
        <w:jc w:val="both"/>
        <w:ind w:firstLine="2254"/>
        <w:spacing w:after="0" w:line="246" w:lineRule="auto"/>
        <w:tabs>
          <w:tab w:leader="none" w:pos="2546" w:val="left"/>
        </w:tabs>
        <w:numPr>
          <w:ilvl w:val="1"/>
          <w:numId w:val="65"/>
        </w:numPr>
        <w:rPr>
          <w:rFonts w:ascii="Times New Roman" w:cs="Times New Roman" w:eastAsia="Times New Roman" w:hAnsi="Times New Roman"/>
          <w:sz w:val="20"/>
          <w:szCs w:val="20"/>
          <w:color w:val="00171E"/>
        </w:rPr>
      </w:pPr>
      <w:r>
        <w:rPr>
          <w:rFonts w:ascii="Times New Roman" w:cs="Times New Roman" w:eastAsia="Times New Roman" w:hAnsi="Times New Roman"/>
          <w:sz w:val="20"/>
          <w:szCs w:val="20"/>
          <w:color w:val="00171E"/>
        </w:rPr>
        <w:t>If Executive becomes unable, due to physical or mental illness or injury, to perform the essential duties of his/her position for more than twelve (12) consecutive weeks in any twelve (12) month period during this Agreement with or without reasonable accommodation (“</w:t>
      </w:r>
      <w:r>
        <w:rPr>
          <w:rFonts w:ascii="Times New Roman" w:cs="Times New Roman" w:eastAsia="Times New Roman" w:hAnsi="Times New Roman"/>
          <w:sz w:val="20"/>
          <w:szCs w:val="20"/>
          <w:u w:val="single" w:color="auto"/>
          <w:color w:val="00171E"/>
        </w:rPr>
        <w:t>Incapacity</w:t>
      </w:r>
      <w:r>
        <w:rPr>
          <w:rFonts w:ascii="Times New Roman" w:cs="Times New Roman" w:eastAsia="Times New Roman" w:hAnsi="Times New Roman"/>
          <w:sz w:val="20"/>
          <w:szCs w:val="20"/>
          <w:color w:val="00171E"/>
        </w:rPr>
        <w:t>”), the Company has the right to terminate Executive’s employment on fifteen (15) days’ written notice. Further, Executive’s employment pursuant to this Agreement shall be immediately terminated without notice by the Company upon the death of Executive.</w:t>
      </w:r>
    </w:p>
    <w:p>
      <w:pPr>
        <w:spacing w:after="0" w:line="184" w:lineRule="exact"/>
        <w:rPr>
          <w:rFonts w:ascii="Times New Roman" w:cs="Times New Roman" w:eastAsia="Times New Roman" w:hAnsi="Times New Roman"/>
          <w:sz w:val="20"/>
          <w:szCs w:val="20"/>
          <w:color w:val="00171E"/>
        </w:rPr>
      </w:pPr>
    </w:p>
    <w:p>
      <w:pPr>
        <w:jc w:val="both"/>
        <w:ind w:firstLine="2254"/>
        <w:spacing w:after="0" w:line="255" w:lineRule="auto"/>
        <w:tabs>
          <w:tab w:leader="none" w:pos="2546" w:val="left"/>
        </w:tabs>
        <w:numPr>
          <w:ilvl w:val="1"/>
          <w:numId w:val="65"/>
        </w:numPr>
        <w:rPr>
          <w:rFonts w:ascii="Times New Roman" w:cs="Times New Roman" w:eastAsia="Times New Roman" w:hAnsi="Times New Roman"/>
          <w:sz w:val="19"/>
          <w:szCs w:val="19"/>
          <w:color w:val="00171E"/>
        </w:rPr>
      </w:pPr>
      <w:r>
        <w:rPr>
          <w:rFonts w:ascii="Times New Roman" w:cs="Times New Roman" w:eastAsia="Times New Roman" w:hAnsi="Times New Roman"/>
          <w:sz w:val="19"/>
          <w:szCs w:val="19"/>
          <w:color w:val="00171E"/>
        </w:rPr>
        <w:t>In the event of termination for Incapacity or if Executive dies while actively employed pursuant to this Agreement, (i) Executive will be entitled to receive the Accrued Benefits, (ii) any unvested equity awards previously granted to Executive that are scheduled to vest based solely on the achievement of service-based conditions (“</w:t>
      </w:r>
      <w:r>
        <w:rPr>
          <w:rFonts w:ascii="Times New Roman" w:cs="Times New Roman" w:eastAsia="Times New Roman" w:hAnsi="Times New Roman"/>
          <w:sz w:val="19"/>
          <w:szCs w:val="19"/>
          <w:u w:val="single" w:color="auto"/>
          <w:color w:val="00171E"/>
        </w:rPr>
        <w:t>Time-based Equity Awards</w:t>
      </w:r>
      <w:r>
        <w:rPr>
          <w:rFonts w:ascii="Times New Roman" w:cs="Times New Roman" w:eastAsia="Times New Roman" w:hAnsi="Times New Roman"/>
          <w:sz w:val="19"/>
          <w:szCs w:val="19"/>
          <w:color w:val="00171E"/>
        </w:rPr>
        <w:t xml:space="preserve">”) shall become immediately vested to the extent that such Time-based Equity Awards would have vested within twelve (12) months after the date of termination had such Time-based Equity Awards had vesting schedules that provided for pro-rata vesting on a monthly basis over the entirety of the vesting schedule (and, for clarity, any reference to the vesting date for purposes of settlement timing applicable to any restricted stock units or similar full-value awards that accelerate vesting under this </w:t>
      </w:r>
      <w:r>
        <w:rPr>
          <w:rFonts w:ascii="Times New Roman" w:cs="Times New Roman" w:eastAsia="Times New Roman" w:hAnsi="Times New Roman"/>
          <w:sz w:val="19"/>
          <w:szCs w:val="19"/>
          <w:u w:val="single" w:color="auto"/>
          <w:color w:val="00171E"/>
        </w:rPr>
        <w:t>Section 5(c)(ii)</w:t>
      </w:r>
      <w:r>
        <w:rPr>
          <w:rFonts w:ascii="Times New Roman" w:cs="Times New Roman" w:eastAsia="Times New Roman" w:hAnsi="Times New Roman"/>
          <w:sz w:val="19"/>
          <w:szCs w:val="19"/>
          <w:color w:val="00171E"/>
        </w:rPr>
        <w:t xml:space="preserve"> refers to the date that such award no longer is subject to a substantial risk of forfeiture), and (iii) with respect to any equity awards that are scheduled to vest based on the achievement of performance-based conditions (which may include additional service-based conditions) (“</w:t>
      </w:r>
      <w:r>
        <w:rPr>
          <w:rFonts w:ascii="Times New Roman" w:cs="Times New Roman" w:eastAsia="Times New Roman" w:hAnsi="Times New Roman"/>
          <w:sz w:val="19"/>
          <w:szCs w:val="19"/>
          <w:u w:val="single" w:color="auto"/>
          <w:color w:val="00171E"/>
        </w:rPr>
        <w:t>Performance-based Equity Awards</w:t>
      </w:r>
      <w:r>
        <w:rPr>
          <w:rFonts w:ascii="Times New Roman" w:cs="Times New Roman" w:eastAsia="Times New Roman" w:hAnsi="Times New Roman"/>
          <w:sz w:val="19"/>
          <w:szCs w:val="19"/>
          <w:color w:val="00171E"/>
        </w:rPr>
        <w:t>”) for which the performance period is scheduled to end within twelve (12) months after the date of termination, each such Performance-based Equity Award will remain outstanding until the date the Board or Compensation Committee of the Board (the “</w:t>
      </w:r>
      <w:r>
        <w:rPr>
          <w:rFonts w:ascii="Times New Roman" w:cs="Times New Roman" w:eastAsia="Times New Roman" w:hAnsi="Times New Roman"/>
          <w:sz w:val="19"/>
          <w:szCs w:val="19"/>
          <w:u w:val="single" w:color="auto"/>
          <w:color w:val="00171E"/>
        </w:rPr>
        <w:t>Compensation Committee</w:t>
      </w:r>
      <w:r>
        <w:rPr>
          <w:rFonts w:ascii="Times New Roman" w:cs="Times New Roman" w:eastAsia="Times New Roman" w:hAnsi="Times New Roman"/>
          <w:sz w:val="19"/>
          <w:szCs w:val="19"/>
          <w:color w:val="00171E"/>
        </w:rPr>
        <w:t>”) determines whether the applicable performance condition is achieved (provided that in no event will such Performance-based Equity Award remain outstanding beyond the Performance-based Equity Award’s maximum term to expiration), will vest in accordance with its terms to the extent such performance condition is achieved, and will be settled in the same calendar year as the calendar year in which the performance period ends.</w:t>
      </w:r>
    </w:p>
    <w:p>
      <w:pPr>
        <w:spacing w:after="0" w:line="179" w:lineRule="exact"/>
        <w:rPr>
          <w:rFonts w:ascii="Times New Roman" w:cs="Times New Roman" w:eastAsia="Times New Roman" w:hAnsi="Times New Roman"/>
          <w:sz w:val="19"/>
          <w:szCs w:val="19"/>
          <w:color w:val="00171E"/>
        </w:rPr>
      </w:pPr>
    </w:p>
    <w:p>
      <w:pPr>
        <w:jc w:val="both"/>
        <w:ind w:firstLine="1505"/>
        <w:spacing w:after="0" w:line="241" w:lineRule="auto"/>
        <w:tabs>
          <w:tab w:leader="none" w:pos="2036" w:val="left"/>
        </w:tabs>
        <w:numPr>
          <w:ilvl w:val="0"/>
          <w:numId w:val="65"/>
        </w:numPr>
        <w:rPr>
          <w:rFonts w:ascii="Times New Roman" w:cs="Times New Roman" w:eastAsia="Times New Roman" w:hAnsi="Times New Roman"/>
          <w:sz w:val="20"/>
          <w:szCs w:val="20"/>
          <w:u w:val="single" w:color="auto"/>
          <w:color w:val="00171E"/>
        </w:rPr>
      </w:pPr>
      <w:r>
        <w:rPr>
          <w:rFonts w:ascii="Times New Roman" w:cs="Times New Roman" w:eastAsia="Times New Roman" w:hAnsi="Times New Roman"/>
          <w:sz w:val="20"/>
          <w:szCs w:val="20"/>
          <w:u w:val="single" w:color="auto"/>
          <w:color w:val="00171E"/>
        </w:rPr>
        <w:t>Resignation for Good Reason</w:t>
      </w:r>
      <w:r>
        <w:rPr>
          <w:rFonts w:ascii="Times New Roman" w:cs="Times New Roman" w:eastAsia="Times New Roman" w:hAnsi="Times New Roman"/>
          <w:sz w:val="20"/>
          <w:szCs w:val="20"/>
          <w:color w:val="00171E"/>
        </w:rPr>
        <w:t>. Executive may terminate this Agreement for Good Reason (as defined below) by giving written notice to the Company of such termination, subject to Executive complying with the notice, cure period and other requirements set forth within the definition of Good Reason below. As used in this Agreement, “</w:t>
      </w:r>
      <w:r>
        <w:rPr>
          <w:rFonts w:ascii="Times New Roman" w:cs="Times New Roman" w:eastAsia="Times New Roman" w:hAnsi="Times New Roman"/>
          <w:sz w:val="20"/>
          <w:szCs w:val="20"/>
          <w:u w:val="single" w:color="auto"/>
          <w:color w:val="00171E"/>
        </w:rPr>
        <w:t>Good Reason</w:t>
      </w:r>
      <w:r>
        <w:rPr>
          <w:rFonts w:ascii="Times New Roman" w:cs="Times New Roman" w:eastAsia="Times New Roman" w:hAnsi="Times New Roman"/>
          <w:sz w:val="20"/>
          <w:szCs w:val="20"/>
          <w:color w:val="00171E"/>
        </w:rPr>
        <w:t xml:space="preserve">” shall mean the occurrence of any one of the following without Executive’s written consent: (i) a material reduction in Executive’s base compensation (which includes Base Salary, the Executive’s target annual bonus and any other base compensation), (ii) any action or inaction that constitutes a material breach by the Company of this Agreement; (iii) during the Change in Control Period, a material diminution in Executive’s authority, duties or responsibilities such that they are materially inconsistent with Executive’s then position or, outside of the Change in Control Period, a material diminution in Executive’s duties or responsibilities such that they are materially inconsistent with the position for which Executive originally was appointed as President and Chief Executive Officer of the Company); and (iv) a relocation of the Executive’s primary work location to a location that increases Executive’s commute by thirty (30) miles or more, provided that no termination for Good Reason shall be effective until Executive has given the Company written notice (pursuant to </w:t>
      </w:r>
      <w:r>
        <w:rPr>
          <w:rFonts w:ascii="Times New Roman" w:cs="Times New Roman" w:eastAsia="Times New Roman" w:hAnsi="Times New Roman"/>
          <w:sz w:val="20"/>
          <w:szCs w:val="20"/>
          <w:u w:val="single" w:color="auto"/>
          <w:color w:val="00171E"/>
        </w:rPr>
        <w:t>Section 11</w:t>
      </w:r>
      <w:r>
        <w:rPr>
          <w:rFonts w:ascii="Times New Roman" w:cs="Times New Roman" w:eastAsia="Times New Roman" w:hAnsi="Times New Roman"/>
          <w:sz w:val="20"/>
          <w:szCs w:val="20"/>
          <w:color w:val="00171E"/>
        </w:rPr>
        <w:t xml:space="preserve"> below) within sixty (60) days after Executive becomes aware of the initial occurrence of any of the foregoing specifying the event or condition constituting the Good Reason and the specific reasonable cure requested by Executive, and the Company has failed to cure the occurrence within thirty (30) days of receiving written notice from Executive, and Executive resigns within six (6) months after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7132320" cy="171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4"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6"/>
          <w:szCs w:val="16"/>
          <w:b w:val="1"/>
          <w:bCs w:val="1"/>
          <w:color w:val="auto"/>
        </w:rPr>
        <w:t>E</w:t>
      </w:r>
      <w:r>
        <w:rPr>
          <w:rFonts w:ascii="Times New Roman" w:cs="Times New Roman" w:eastAsia="Times New Roman" w:hAnsi="Times New Roman"/>
          <w:sz w:val="10"/>
          <w:szCs w:val="10"/>
          <w:b w:val="1"/>
          <w:bCs w:val="1"/>
          <w:color w:val="auto"/>
        </w:rPr>
        <w:t>xecutive</w:t>
      </w:r>
      <w:r>
        <w:rPr>
          <w:rFonts w:ascii="Times New Roman" w:cs="Times New Roman" w:eastAsia="Times New Roman" w:hAnsi="Times New Roman"/>
          <w:sz w:val="16"/>
          <w:szCs w:val="16"/>
          <w:b w:val="1"/>
          <w:bCs w:val="1"/>
          <w:color w:val="auto"/>
        </w:rPr>
        <w:t xml:space="preserve"> E</w:t>
      </w:r>
      <w:r>
        <w:rPr>
          <w:rFonts w:ascii="Times New Roman" w:cs="Times New Roman" w:eastAsia="Times New Roman" w:hAnsi="Times New Roman"/>
          <w:sz w:val="10"/>
          <w:szCs w:val="10"/>
          <w:b w:val="1"/>
          <w:bCs w:val="1"/>
          <w:color w:val="auto"/>
        </w:rPr>
        <w:t>mployment</w:t>
      </w:r>
      <w:r>
        <w:rPr>
          <w:rFonts w:ascii="Times New Roman" w:cs="Times New Roman" w:eastAsia="Times New Roman" w:hAnsi="Times New Roman"/>
          <w:sz w:val="16"/>
          <w:szCs w:val="16"/>
          <w:b w:val="1"/>
          <w:bCs w:val="1"/>
          <w:color w:val="auto"/>
        </w:rPr>
        <w:t xml:space="preserve"> A</w:t>
      </w:r>
      <w:r>
        <w:rPr>
          <w:rFonts w:ascii="Times New Roman" w:cs="Times New Roman" w:eastAsia="Times New Roman" w:hAnsi="Times New Roman"/>
          <w:sz w:val="10"/>
          <w:szCs w:val="10"/>
          <w:b w:val="1"/>
          <w:bCs w:val="1"/>
          <w:color w:val="auto"/>
        </w:rPr>
        <w:t>gmt</w:t>
      </w:r>
      <w:r>
        <w:rPr>
          <w:rFonts w:ascii="Times New Roman" w:cs="Times New Roman" w:eastAsia="Times New Roman" w:hAnsi="Times New Roman"/>
          <w:sz w:val="16"/>
          <w:szCs w:val="16"/>
          <w:b w:val="1"/>
          <w:bCs w:val="1"/>
          <w:color w:val="auto"/>
        </w:rPr>
        <w:t xml:space="preserve"> S</w:t>
      </w:r>
      <w:r>
        <w:rPr>
          <w:rFonts w:ascii="Times New Roman" w:cs="Times New Roman" w:eastAsia="Times New Roman" w:hAnsi="Times New Roman"/>
          <w:sz w:val="10"/>
          <w:szCs w:val="10"/>
          <w:b w:val="1"/>
          <w:bCs w:val="1"/>
          <w:color w:val="auto"/>
        </w:rPr>
        <w:t>td</w:t>
      </w:r>
      <w:r>
        <w:rPr>
          <w:rFonts w:ascii="Times New Roman" w:cs="Times New Roman" w:eastAsia="Times New Roman" w:hAnsi="Times New Roman"/>
          <w:sz w:val="16"/>
          <w:szCs w:val="16"/>
          <w:b w:val="1"/>
          <w:bCs w:val="1"/>
          <w:color w:val="auto"/>
        </w:rPr>
        <w:t xml:space="preserve"> 11.1.24</w:t>
      </w:r>
      <w:r>
        <w:rPr>
          <w:sz w:val="20"/>
          <w:szCs w:val="20"/>
          <w:color w:val="auto"/>
        </w:rPr>
        <w:tab/>
      </w:r>
      <w:r>
        <w:rPr>
          <w:rFonts w:ascii="Times New Roman" w:cs="Times New Roman" w:eastAsia="Times New Roman" w:hAnsi="Times New Roman"/>
          <w:sz w:val="16"/>
          <w:szCs w:val="16"/>
          <w:b w:val="1"/>
          <w:bCs w:val="1"/>
          <w:color w:val="auto"/>
        </w:rPr>
        <w:t>A</w:t>
      </w:r>
      <w:r>
        <w:rPr>
          <w:rFonts w:ascii="Times New Roman" w:cs="Times New Roman" w:eastAsia="Times New Roman" w:hAnsi="Times New Roman"/>
          <w:sz w:val="10"/>
          <w:szCs w:val="10"/>
          <w:b w:val="1"/>
          <w:bCs w:val="1"/>
          <w:color w:val="auto"/>
        </w:rPr>
        <w:t>ccuray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7</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NUMPAGES \* Arabic \* MERGEFORMAT 31</w:t>
      </w:r>
    </w:p>
    <w:p>
      <w:pPr>
        <w:spacing w:after="0" w:line="200" w:lineRule="exact"/>
        <w:rPr>
          <w:sz w:val="20"/>
          <w:szCs w:val="20"/>
          <w:color w:val="auto"/>
        </w:rPr>
      </w:pPr>
    </w:p>
    <w:p>
      <w:pPr>
        <w:spacing w:after="0" w:line="24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00171E"/>
        </w:rPr>
        <w:t xml:space="preserve">becomes aware of the initial occurrence. To the extent Executive’s principal work location is not the Company’s offices or facilities due to a shelter-in-place order, quarantine order, or similar work-from-home requirement that applies to Executive, Executive’s principal work location, from which a change in location under the foregoing clause (iv) will be measured, will be considered the Company’s office or facility location where Executive’s employment with the Company primarily was or would have been based immediately prior to the commencement of such shelter-in-place order, quarantine order, or similar work-from-home requirement. In the event of a termination for Good Reason, Executive will be entitled to the Accrued Benefits and the Severance Benefits, on the same conditions, form of payment and timing as set forth in </w:t>
      </w:r>
      <w:r>
        <w:rPr>
          <w:rFonts w:ascii="Times New Roman" w:cs="Times New Roman" w:eastAsia="Times New Roman" w:hAnsi="Times New Roman"/>
          <w:sz w:val="20"/>
          <w:szCs w:val="20"/>
          <w:u w:val="single" w:color="auto"/>
          <w:color w:val="00171E"/>
        </w:rPr>
        <w:t>Section 5(a)</w:t>
      </w:r>
      <w:r>
        <w:rPr>
          <w:rFonts w:ascii="Times New Roman" w:cs="Times New Roman" w:eastAsia="Times New Roman" w:hAnsi="Times New Roman"/>
          <w:sz w:val="20"/>
          <w:szCs w:val="20"/>
          <w:color w:val="00171E"/>
        </w:rPr>
        <w:t>.</w:t>
      </w:r>
    </w:p>
    <w:p>
      <w:pPr>
        <w:spacing w:after="0" w:line="186" w:lineRule="exact"/>
        <w:rPr>
          <w:sz w:val="20"/>
          <w:szCs w:val="20"/>
          <w:color w:val="auto"/>
        </w:rPr>
      </w:pPr>
    </w:p>
    <w:p>
      <w:pPr>
        <w:jc w:val="both"/>
        <w:ind w:firstLine="1505"/>
        <w:spacing w:after="0" w:line="254" w:lineRule="auto"/>
        <w:tabs>
          <w:tab w:leader="none" w:pos="2036" w:val="left"/>
        </w:tabs>
        <w:numPr>
          <w:ilvl w:val="0"/>
          <w:numId w:val="66"/>
        </w:numPr>
        <w:rPr>
          <w:rFonts w:ascii="Times New Roman" w:cs="Times New Roman" w:eastAsia="Times New Roman" w:hAnsi="Times New Roman"/>
          <w:sz w:val="19"/>
          <w:szCs w:val="19"/>
          <w:u w:val="single" w:color="auto"/>
          <w:color w:val="00171E"/>
        </w:rPr>
      </w:pPr>
      <w:r>
        <w:rPr>
          <w:rFonts w:ascii="Times New Roman" w:cs="Times New Roman" w:eastAsia="Times New Roman" w:hAnsi="Times New Roman"/>
          <w:sz w:val="19"/>
          <w:szCs w:val="19"/>
          <w:u w:val="single" w:color="auto"/>
          <w:color w:val="00171E"/>
        </w:rPr>
        <w:t>Effect of Change in Control.</w:t>
      </w:r>
      <w:r>
        <w:rPr>
          <w:rFonts w:ascii="Times New Roman" w:cs="Times New Roman" w:eastAsia="Times New Roman" w:hAnsi="Times New Roman"/>
          <w:sz w:val="19"/>
          <w:szCs w:val="19"/>
          <w:color w:val="00171E"/>
        </w:rPr>
        <w:t xml:space="preserve"> If the Company terminates Executive’s employment with the Company without Cause (excluding due to Executive’s death or Incapacity) or if Executive resigns from such employment for Good Reason, and, in each case, such termination occurs during the Change in Control Period (as defined below), Executive will be entitled to the Accrued Benefits, and subject to the same conditions set forth in the final paragraph of </w:t>
      </w:r>
      <w:r>
        <w:rPr>
          <w:rFonts w:ascii="Times New Roman" w:cs="Times New Roman" w:eastAsia="Times New Roman" w:hAnsi="Times New Roman"/>
          <w:sz w:val="19"/>
          <w:szCs w:val="19"/>
          <w:u w:val="single" w:color="auto"/>
          <w:color w:val="00171E"/>
        </w:rPr>
        <w:t>Section 5(a)</w:t>
      </w:r>
      <w:r>
        <w:rPr>
          <w:rFonts w:ascii="Times New Roman" w:cs="Times New Roman" w:eastAsia="Times New Roman" w:hAnsi="Times New Roman"/>
          <w:sz w:val="19"/>
          <w:szCs w:val="19"/>
          <w:color w:val="00171E"/>
        </w:rPr>
        <w:t xml:space="preserve">: (i) two (2) times the Severance Payment set forth in </w:t>
      </w:r>
      <w:r>
        <w:rPr>
          <w:rFonts w:ascii="Times New Roman" w:cs="Times New Roman" w:eastAsia="Times New Roman" w:hAnsi="Times New Roman"/>
          <w:sz w:val="19"/>
          <w:szCs w:val="19"/>
          <w:u w:val="single" w:color="auto"/>
          <w:color w:val="00171E"/>
        </w:rPr>
        <w:t>Section 5(a)(iv)</w:t>
      </w:r>
      <w:r>
        <w:rPr>
          <w:rFonts w:ascii="Times New Roman" w:cs="Times New Roman" w:eastAsia="Times New Roman" w:hAnsi="Times New Roman"/>
          <w:sz w:val="19"/>
          <w:szCs w:val="19"/>
          <w:color w:val="00171E"/>
        </w:rPr>
        <w:t xml:space="preserve">, paid in the same form (i.e., a lump sum) and at the same time as the Severance Payments set forth in </w:t>
      </w:r>
      <w:r>
        <w:rPr>
          <w:rFonts w:ascii="Times New Roman" w:cs="Times New Roman" w:eastAsia="Times New Roman" w:hAnsi="Times New Roman"/>
          <w:sz w:val="19"/>
          <w:szCs w:val="19"/>
          <w:u w:val="single" w:color="auto"/>
          <w:color w:val="00171E"/>
        </w:rPr>
        <w:t>Section 5(a)(iv)</w:t>
      </w:r>
      <w:r>
        <w:rPr>
          <w:rFonts w:ascii="Times New Roman" w:cs="Times New Roman" w:eastAsia="Times New Roman" w:hAnsi="Times New Roman"/>
          <w:sz w:val="19"/>
          <w:szCs w:val="19"/>
          <w:color w:val="00171E"/>
        </w:rPr>
        <w:t xml:space="preserve">, (ii) subject to </w:t>
      </w:r>
      <w:r>
        <w:rPr>
          <w:rFonts w:ascii="Times New Roman" w:cs="Times New Roman" w:eastAsia="Times New Roman" w:hAnsi="Times New Roman"/>
          <w:sz w:val="19"/>
          <w:szCs w:val="19"/>
          <w:u w:val="single" w:color="auto"/>
          <w:color w:val="00171E"/>
        </w:rPr>
        <w:t>Section 5(g)</w:t>
      </w:r>
      <w:r>
        <w:rPr>
          <w:rFonts w:ascii="Times New Roman" w:cs="Times New Roman" w:eastAsia="Times New Roman" w:hAnsi="Times New Roman"/>
          <w:sz w:val="19"/>
          <w:szCs w:val="19"/>
          <w:color w:val="00171E"/>
        </w:rPr>
        <w:t xml:space="preserve">, the reimbursement of health insurance premiums payable to retain group health coverage as of the termination date for Executive and Executive’s eligible dependents for up to twelve (12) months in the same form and at the same time and under the same conditions as provided in </w:t>
      </w:r>
      <w:r>
        <w:rPr>
          <w:rFonts w:ascii="Times New Roman" w:cs="Times New Roman" w:eastAsia="Times New Roman" w:hAnsi="Times New Roman"/>
          <w:sz w:val="19"/>
          <w:szCs w:val="19"/>
          <w:u w:val="single" w:color="auto"/>
          <w:color w:val="00171E"/>
        </w:rPr>
        <w:t>Section 5(a)(vi)</w:t>
      </w:r>
      <w:r>
        <w:rPr>
          <w:rFonts w:ascii="Times New Roman" w:cs="Times New Roman" w:eastAsia="Times New Roman" w:hAnsi="Times New Roman"/>
          <w:sz w:val="19"/>
          <w:szCs w:val="19"/>
          <w:color w:val="00171E"/>
        </w:rPr>
        <w:t xml:space="preserve">, (iii) a taxable monthly payment (which may be used for any purpose) equal to the actual COBRA reimbursement payment that Executive receives under </w:t>
      </w:r>
      <w:r>
        <w:rPr>
          <w:rFonts w:ascii="Times New Roman" w:cs="Times New Roman" w:eastAsia="Times New Roman" w:hAnsi="Times New Roman"/>
          <w:sz w:val="19"/>
          <w:szCs w:val="19"/>
          <w:u w:val="single" w:color="auto"/>
          <w:color w:val="00171E"/>
        </w:rPr>
        <w:t>Section 5(e)(ii)</w:t>
      </w:r>
      <w:r>
        <w:rPr>
          <w:rFonts w:ascii="Times New Roman" w:cs="Times New Roman" w:eastAsia="Times New Roman" w:hAnsi="Times New Roman"/>
          <w:sz w:val="19"/>
          <w:szCs w:val="19"/>
          <w:color w:val="00171E"/>
        </w:rPr>
        <w:t xml:space="preserve"> for any particular month, (iv) two hundred percent (200%) of Executive’s target bonus for the fiscal year during which termination occurs, but no less than two hundred percent (200%) of the target bonus in effect for the fiscal year immediately prior to the Change in Control if the Change in Control occurs within the first three (3) months of the fiscal year, payable at the same time as the payment under clause (i) of this </w:t>
      </w:r>
      <w:r>
        <w:rPr>
          <w:rFonts w:ascii="Times New Roman" w:cs="Times New Roman" w:eastAsia="Times New Roman" w:hAnsi="Times New Roman"/>
          <w:sz w:val="19"/>
          <w:szCs w:val="19"/>
          <w:u w:val="single" w:color="auto"/>
          <w:color w:val="00171E"/>
        </w:rPr>
        <w:t>Section 5(e)</w:t>
      </w:r>
      <w:r>
        <w:rPr>
          <w:rFonts w:ascii="Times New Roman" w:cs="Times New Roman" w:eastAsia="Times New Roman" w:hAnsi="Times New Roman"/>
          <w:sz w:val="19"/>
          <w:szCs w:val="19"/>
          <w:color w:val="00171E"/>
        </w:rPr>
        <w:t xml:space="preserve">, (v) all outstanding unvested equity awards previously granted to Executive shall become immediately vested, with Performance-based Equity Awards vesting at target unless otherwise specified in the applicable Performance-based Equity Award’s award agreement (and, for clarity, any reference to the vesting date for purposes of settlement timing applicable to any restricted stock units or similar full-value awards that accelerate vesting under this </w:t>
      </w:r>
      <w:r>
        <w:rPr>
          <w:rFonts w:ascii="Times New Roman" w:cs="Times New Roman" w:eastAsia="Times New Roman" w:hAnsi="Times New Roman"/>
          <w:sz w:val="19"/>
          <w:szCs w:val="19"/>
          <w:u w:val="single" w:color="auto"/>
          <w:color w:val="00171E"/>
        </w:rPr>
        <w:t>Section</w:t>
      </w:r>
      <w:r>
        <w:rPr>
          <w:rFonts w:ascii="Times New Roman" w:cs="Times New Roman" w:eastAsia="Times New Roman" w:hAnsi="Times New Roman"/>
          <w:sz w:val="19"/>
          <w:szCs w:val="19"/>
          <w:color w:val="00171E"/>
        </w:rPr>
        <w:t xml:space="preserve"> </w:t>
      </w:r>
      <w:r>
        <w:rPr>
          <w:rFonts w:ascii="Times New Roman" w:cs="Times New Roman" w:eastAsia="Times New Roman" w:hAnsi="Times New Roman"/>
          <w:sz w:val="19"/>
          <w:szCs w:val="19"/>
          <w:u w:val="single" w:color="auto"/>
          <w:color w:val="00171E"/>
        </w:rPr>
        <w:t>5(e)(v)</w:t>
      </w:r>
      <w:r>
        <w:rPr>
          <w:rFonts w:ascii="Times New Roman" w:cs="Times New Roman" w:eastAsia="Times New Roman" w:hAnsi="Times New Roman"/>
          <w:sz w:val="19"/>
          <w:szCs w:val="19"/>
          <w:color w:val="00171E"/>
        </w:rPr>
        <w:t xml:space="preserve"> refers to the date that such award no longer is subject to a substantial risk of forfeiture) and (vi) payment for executive outplacement assistance services with the Company’s then current outplacement services vendor and in accordance with the Company’s then current policies and practices with respect to outplacement assistance for other executives of the Company for up to twelve (12) months after the termination date (the payments and benefits set forth in </w:t>
      </w:r>
      <w:r>
        <w:rPr>
          <w:rFonts w:ascii="Times New Roman" w:cs="Times New Roman" w:eastAsia="Times New Roman" w:hAnsi="Times New Roman"/>
          <w:sz w:val="19"/>
          <w:szCs w:val="19"/>
          <w:u w:val="single" w:color="auto"/>
          <w:color w:val="00171E"/>
        </w:rPr>
        <w:t>Sections 5(e)(i)-(vi)</w:t>
      </w:r>
      <w:r>
        <w:rPr>
          <w:rFonts w:ascii="Times New Roman" w:cs="Times New Roman" w:eastAsia="Times New Roman" w:hAnsi="Times New Roman"/>
          <w:sz w:val="19"/>
          <w:szCs w:val="19"/>
          <w:color w:val="00171E"/>
        </w:rPr>
        <w:t xml:space="preserve"> shall be referred to as the “</w:t>
      </w:r>
      <w:r>
        <w:rPr>
          <w:rFonts w:ascii="Times New Roman" w:cs="Times New Roman" w:eastAsia="Times New Roman" w:hAnsi="Times New Roman"/>
          <w:sz w:val="19"/>
          <w:szCs w:val="19"/>
          <w:u w:val="single" w:color="auto"/>
          <w:color w:val="00171E"/>
        </w:rPr>
        <w:t>Enhanced Severance Benefits</w:t>
      </w:r>
      <w:r>
        <w:rPr>
          <w:rFonts w:ascii="Times New Roman" w:cs="Times New Roman" w:eastAsia="Times New Roman" w:hAnsi="Times New Roman"/>
          <w:sz w:val="19"/>
          <w:szCs w:val="19"/>
          <w:color w:val="00171E"/>
        </w:rPr>
        <w:t>”).</w:t>
      </w:r>
    </w:p>
    <w:p>
      <w:pPr>
        <w:spacing w:after="0" w:line="183" w:lineRule="exact"/>
        <w:rPr>
          <w:sz w:val="20"/>
          <w:szCs w:val="20"/>
          <w:color w:val="auto"/>
        </w:rPr>
      </w:pPr>
    </w:p>
    <w:p>
      <w:pPr>
        <w:jc w:val="both"/>
        <w:ind w:firstLine="1497"/>
        <w:spacing w:after="0" w:line="255" w:lineRule="auto"/>
        <w:rPr>
          <w:sz w:val="20"/>
          <w:szCs w:val="20"/>
          <w:color w:val="auto"/>
        </w:rPr>
      </w:pPr>
      <w:r>
        <w:rPr>
          <w:rFonts w:ascii="Times New Roman" w:cs="Times New Roman" w:eastAsia="Times New Roman" w:hAnsi="Times New Roman"/>
          <w:sz w:val="19"/>
          <w:szCs w:val="19"/>
          <w:color w:val="00171E"/>
        </w:rPr>
        <w:t xml:space="preserve">For the avoidance of doubt, if Executive’s termination without Cause (excluding due to Executive’s death or Incapacity) or resignation for Good Reason occurs prior to a Change in Control, then any unvested portion of Executive’s outstanding equity awards will remain outstanding until the earlier of (i) the date that is three (3) months following the termination of Executive’s employment or (ii) the date that a Change in Control occurs (provided that in no event will any of Executive’s equity awards remain outstanding beyond the equity award’s maximum term to expiration). In the event that a Change in Control does not occur by the date that is three (3) months following the termination of Executive’s employment, any unvested portion of Executive’s equity awards automatically will be forfeited permanently without having vested. Further, for any Performance-based Equity Awards, the performance-based vesting component of the equity awards shall not be deemed to be automatically achieved as a result of the application of </w:t>
      </w:r>
      <w:r>
        <w:rPr>
          <w:rFonts w:ascii="Times New Roman" w:cs="Times New Roman" w:eastAsia="Times New Roman" w:hAnsi="Times New Roman"/>
          <w:sz w:val="19"/>
          <w:szCs w:val="19"/>
          <w:u w:val="single" w:color="auto"/>
          <w:color w:val="00171E"/>
        </w:rPr>
        <w:t>Section 5(e)(v)</w:t>
      </w:r>
      <w:r>
        <w:rPr>
          <w:rFonts w:ascii="Times New Roman" w:cs="Times New Roman" w:eastAsia="Times New Roman" w:hAnsi="Times New Roman"/>
          <w:sz w:val="19"/>
          <w:szCs w:val="19"/>
          <w:color w:val="00171E"/>
        </w:rPr>
        <w:t xml:space="preserve"> but will remain outstanding during the three</w:t>
      </w:r>
    </w:p>
    <w:p>
      <w:pPr>
        <w:spacing w:after="0" w:line="1" w:lineRule="exact"/>
        <w:rPr>
          <w:sz w:val="20"/>
          <w:szCs w:val="20"/>
          <w:color w:val="auto"/>
        </w:rPr>
      </w:pPr>
    </w:p>
    <w:p>
      <w:pPr>
        <w:jc w:val="both"/>
        <w:ind w:firstLine="8"/>
        <w:spacing w:after="0" w:line="241" w:lineRule="auto"/>
        <w:tabs>
          <w:tab w:leader="none" w:pos="306" w:val="left"/>
        </w:tabs>
        <w:numPr>
          <w:ilvl w:val="0"/>
          <w:numId w:val="67"/>
        </w:numPr>
        <w:rPr>
          <w:rFonts w:ascii="Times New Roman" w:cs="Times New Roman" w:eastAsia="Times New Roman" w:hAnsi="Times New Roman"/>
          <w:sz w:val="20"/>
          <w:szCs w:val="20"/>
          <w:color w:val="00171E"/>
        </w:rPr>
      </w:pPr>
      <w:r>
        <w:rPr>
          <w:rFonts w:ascii="Times New Roman" w:cs="Times New Roman" w:eastAsia="Times New Roman" w:hAnsi="Times New Roman"/>
          <w:sz w:val="20"/>
          <w:szCs w:val="20"/>
          <w:color w:val="00171E"/>
        </w:rPr>
        <w:t>month period following Executive’s termination or through the date of the Change in Control, as applicable, to determine whether a Change in Control would have occurred within three (3) months of the termination of Executive’s employment and, if so, the extent to which the performance condition is achieved, such determination to be made in accordance with the procedures set forth in the applicable award agreement. If the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171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81"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6"/>
          <w:szCs w:val="16"/>
          <w:b w:val="1"/>
          <w:bCs w:val="1"/>
          <w:color w:val="auto"/>
        </w:rPr>
        <w:t>E</w:t>
      </w:r>
      <w:r>
        <w:rPr>
          <w:rFonts w:ascii="Times New Roman" w:cs="Times New Roman" w:eastAsia="Times New Roman" w:hAnsi="Times New Roman"/>
          <w:sz w:val="10"/>
          <w:szCs w:val="10"/>
          <w:b w:val="1"/>
          <w:bCs w:val="1"/>
          <w:color w:val="auto"/>
        </w:rPr>
        <w:t>xecutive</w:t>
      </w:r>
      <w:r>
        <w:rPr>
          <w:rFonts w:ascii="Times New Roman" w:cs="Times New Roman" w:eastAsia="Times New Roman" w:hAnsi="Times New Roman"/>
          <w:sz w:val="16"/>
          <w:szCs w:val="16"/>
          <w:b w:val="1"/>
          <w:bCs w:val="1"/>
          <w:color w:val="auto"/>
        </w:rPr>
        <w:t xml:space="preserve"> E</w:t>
      </w:r>
      <w:r>
        <w:rPr>
          <w:rFonts w:ascii="Times New Roman" w:cs="Times New Roman" w:eastAsia="Times New Roman" w:hAnsi="Times New Roman"/>
          <w:sz w:val="10"/>
          <w:szCs w:val="10"/>
          <w:b w:val="1"/>
          <w:bCs w:val="1"/>
          <w:color w:val="auto"/>
        </w:rPr>
        <w:t>mployment</w:t>
      </w:r>
      <w:r>
        <w:rPr>
          <w:rFonts w:ascii="Times New Roman" w:cs="Times New Roman" w:eastAsia="Times New Roman" w:hAnsi="Times New Roman"/>
          <w:sz w:val="16"/>
          <w:szCs w:val="16"/>
          <w:b w:val="1"/>
          <w:bCs w:val="1"/>
          <w:color w:val="auto"/>
        </w:rPr>
        <w:t xml:space="preserve"> A</w:t>
      </w:r>
      <w:r>
        <w:rPr>
          <w:rFonts w:ascii="Times New Roman" w:cs="Times New Roman" w:eastAsia="Times New Roman" w:hAnsi="Times New Roman"/>
          <w:sz w:val="10"/>
          <w:szCs w:val="10"/>
          <w:b w:val="1"/>
          <w:bCs w:val="1"/>
          <w:color w:val="auto"/>
        </w:rPr>
        <w:t>gmt</w:t>
      </w:r>
      <w:r>
        <w:rPr>
          <w:rFonts w:ascii="Times New Roman" w:cs="Times New Roman" w:eastAsia="Times New Roman" w:hAnsi="Times New Roman"/>
          <w:sz w:val="16"/>
          <w:szCs w:val="16"/>
          <w:b w:val="1"/>
          <w:bCs w:val="1"/>
          <w:color w:val="auto"/>
        </w:rPr>
        <w:t xml:space="preserve"> S</w:t>
      </w:r>
      <w:r>
        <w:rPr>
          <w:rFonts w:ascii="Times New Roman" w:cs="Times New Roman" w:eastAsia="Times New Roman" w:hAnsi="Times New Roman"/>
          <w:sz w:val="10"/>
          <w:szCs w:val="10"/>
          <w:b w:val="1"/>
          <w:bCs w:val="1"/>
          <w:color w:val="auto"/>
        </w:rPr>
        <w:t>td</w:t>
      </w:r>
      <w:r>
        <w:rPr>
          <w:rFonts w:ascii="Times New Roman" w:cs="Times New Roman" w:eastAsia="Times New Roman" w:hAnsi="Times New Roman"/>
          <w:sz w:val="16"/>
          <w:szCs w:val="16"/>
          <w:b w:val="1"/>
          <w:bCs w:val="1"/>
          <w:color w:val="auto"/>
        </w:rPr>
        <w:t xml:space="preserve"> 11.1.24</w:t>
      </w:r>
      <w:r>
        <w:rPr>
          <w:sz w:val="20"/>
          <w:szCs w:val="20"/>
          <w:color w:val="auto"/>
        </w:rPr>
        <w:tab/>
      </w:r>
      <w:r>
        <w:rPr>
          <w:rFonts w:ascii="Times New Roman" w:cs="Times New Roman" w:eastAsia="Times New Roman" w:hAnsi="Times New Roman"/>
          <w:sz w:val="16"/>
          <w:szCs w:val="16"/>
          <w:b w:val="1"/>
          <w:bCs w:val="1"/>
          <w:color w:val="auto"/>
        </w:rPr>
        <w:t>A</w:t>
      </w:r>
      <w:r>
        <w:rPr>
          <w:rFonts w:ascii="Times New Roman" w:cs="Times New Roman" w:eastAsia="Times New Roman" w:hAnsi="Times New Roman"/>
          <w:sz w:val="10"/>
          <w:szCs w:val="10"/>
          <w:b w:val="1"/>
          <w:bCs w:val="1"/>
          <w:color w:val="auto"/>
        </w:rPr>
        <w:t>ccuray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8</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NUMPAGES \* Arabic \* MERGEFORMAT 31</w:t>
      </w:r>
    </w:p>
    <w:p>
      <w:pPr>
        <w:spacing w:after="0" w:line="200" w:lineRule="exact"/>
        <w:rPr>
          <w:sz w:val="20"/>
          <w:szCs w:val="20"/>
          <w:color w:val="auto"/>
        </w:rPr>
      </w:pPr>
    </w:p>
    <w:p>
      <w:pPr>
        <w:spacing w:after="0" w:line="24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00171E"/>
        </w:rPr>
        <w:t xml:space="preserve">condition is satisfied and that would cause the award to become eligible to vest based on continued service, then clause (v) of this </w:t>
      </w:r>
      <w:r>
        <w:rPr>
          <w:rFonts w:ascii="Times New Roman" w:cs="Times New Roman" w:eastAsia="Times New Roman" w:hAnsi="Times New Roman"/>
          <w:sz w:val="20"/>
          <w:szCs w:val="20"/>
          <w:u w:val="single" w:color="auto"/>
          <w:color w:val="00171E"/>
        </w:rPr>
        <w:t>Section</w:t>
      </w:r>
      <w:r>
        <w:rPr>
          <w:rFonts w:ascii="Times New Roman" w:cs="Times New Roman" w:eastAsia="Times New Roman" w:hAnsi="Times New Roman"/>
          <w:sz w:val="20"/>
          <w:szCs w:val="20"/>
          <w:color w:val="00171E"/>
        </w:rPr>
        <w:t xml:space="preserve"> </w:t>
      </w:r>
      <w:r>
        <w:rPr>
          <w:rFonts w:ascii="Times New Roman" w:cs="Times New Roman" w:eastAsia="Times New Roman" w:hAnsi="Times New Roman"/>
          <w:sz w:val="20"/>
          <w:szCs w:val="20"/>
          <w:u w:val="single" w:color="auto"/>
          <w:color w:val="00171E"/>
        </w:rPr>
        <w:t>5(e)</w:t>
      </w:r>
      <w:r>
        <w:rPr>
          <w:rFonts w:ascii="Times New Roman" w:cs="Times New Roman" w:eastAsia="Times New Roman" w:hAnsi="Times New Roman"/>
          <w:sz w:val="20"/>
          <w:szCs w:val="20"/>
          <w:color w:val="00171E"/>
        </w:rPr>
        <w:t xml:space="preserve"> will cause the service-based vesting component to be deemed satisfied and the vesting of the equity award will be accelerated as to the portion of the award that became eligible to vest. For clarity, if there is no service-based condition that applies with respect to any portion of such equity award upon such satisfaction of the performance condition, such portion of the equity award will immediately vest upon such satisfaction of the performance condition.</w:t>
      </w:r>
    </w:p>
    <w:p>
      <w:pPr>
        <w:spacing w:after="0" w:line="185" w:lineRule="exact"/>
        <w:rPr>
          <w:sz w:val="20"/>
          <w:szCs w:val="20"/>
          <w:color w:val="auto"/>
        </w:rPr>
      </w:pPr>
    </w:p>
    <w:p>
      <w:pPr>
        <w:jc w:val="both"/>
        <w:ind w:firstLine="1497"/>
        <w:spacing w:after="0" w:line="249" w:lineRule="auto"/>
        <w:rPr>
          <w:sz w:val="20"/>
          <w:szCs w:val="20"/>
          <w:color w:val="auto"/>
        </w:rPr>
      </w:pPr>
      <w:r>
        <w:rPr>
          <w:rFonts w:ascii="Times New Roman" w:cs="Times New Roman" w:eastAsia="Times New Roman" w:hAnsi="Times New Roman"/>
          <w:sz w:val="20"/>
          <w:szCs w:val="20"/>
          <w:color w:val="00171E"/>
        </w:rPr>
        <w:t xml:space="preserve">For the sake of clarity, if any payments or benefits are payable under this </w:t>
      </w:r>
      <w:r>
        <w:rPr>
          <w:rFonts w:ascii="Times New Roman" w:cs="Times New Roman" w:eastAsia="Times New Roman" w:hAnsi="Times New Roman"/>
          <w:sz w:val="20"/>
          <w:szCs w:val="20"/>
          <w:u w:val="single" w:color="auto"/>
          <w:color w:val="00171E"/>
        </w:rPr>
        <w:t>Section 5(e)</w:t>
      </w:r>
      <w:r>
        <w:rPr>
          <w:rFonts w:ascii="Times New Roman" w:cs="Times New Roman" w:eastAsia="Times New Roman" w:hAnsi="Times New Roman"/>
          <w:sz w:val="20"/>
          <w:szCs w:val="20"/>
          <w:color w:val="00171E"/>
        </w:rPr>
        <w:t xml:space="preserve">, no payments or benefits shall be made under any other subsection of this </w:t>
      </w:r>
      <w:r>
        <w:rPr>
          <w:rFonts w:ascii="Times New Roman" w:cs="Times New Roman" w:eastAsia="Times New Roman" w:hAnsi="Times New Roman"/>
          <w:sz w:val="20"/>
          <w:szCs w:val="20"/>
          <w:u w:val="single" w:color="auto"/>
          <w:color w:val="00171E"/>
        </w:rPr>
        <w:t>Section 5</w:t>
      </w:r>
      <w:r>
        <w:rPr>
          <w:rFonts w:ascii="Times New Roman" w:cs="Times New Roman" w:eastAsia="Times New Roman" w:hAnsi="Times New Roman"/>
          <w:sz w:val="20"/>
          <w:szCs w:val="20"/>
          <w:color w:val="00171E"/>
        </w:rPr>
        <w:t xml:space="preserve">, including </w:t>
      </w:r>
      <w:r>
        <w:rPr>
          <w:rFonts w:ascii="Times New Roman" w:cs="Times New Roman" w:eastAsia="Times New Roman" w:hAnsi="Times New Roman"/>
          <w:sz w:val="20"/>
          <w:szCs w:val="20"/>
          <w:u w:val="single" w:color="auto"/>
          <w:color w:val="00171E"/>
        </w:rPr>
        <w:t>Section 5(a)</w:t>
      </w:r>
      <w:r>
        <w:rPr>
          <w:rFonts w:ascii="Times New Roman" w:cs="Times New Roman" w:eastAsia="Times New Roman" w:hAnsi="Times New Roman"/>
          <w:sz w:val="20"/>
          <w:szCs w:val="20"/>
          <w:color w:val="00171E"/>
        </w:rPr>
        <w:t xml:space="preserve"> and </w:t>
      </w:r>
      <w:r>
        <w:rPr>
          <w:rFonts w:ascii="Times New Roman" w:cs="Times New Roman" w:eastAsia="Times New Roman" w:hAnsi="Times New Roman"/>
          <w:sz w:val="20"/>
          <w:szCs w:val="20"/>
          <w:u w:val="single" w:color="auto"/>
          <w:color w:val="00171E"/>
        </w:rPr>
        <w:t>Section 5(d)</w:t>
      </w:r>
      <w:r>
        <w:rPr>
          <w:rFonts w:ascii="Times New Roman" w:cs="Times New Roman" w:eastAsia="Times New Roman" w:hAnsi="Times New Roman"/>
          <w:sz w:val="20"/>
          <w:szCs w:val="20"/>
          <w:color w:val="00171E"/>
        </w:rPr>
        <w:t>, and any Enhanced Severance Benefits will be reduced by any Severance Benefits that may have been paid or provided with respect to any termination triggering Severance Benefits that occurs during the three-month period prior to a Change in Control (this provision, the “</w:t>
      </w:r>
      <w:r>
        <w:rPr>
          <w:rFonts w:ascii="Times New Roman" w:cs="Times New Roman" w:eastAsia="Times New Roman" w:hAnsi="Times New Roman"/>
          <w:sz w:val="20"/>
          <w:szCs w:val="20"/>
          <w:u w:val="single" w:color="auto"/>
          <w:color w:val="00171E"/>
        </w:rPr>
        <w:t>Non-duplication Provision</w:t>
      </w:r>
      <w:r>
        <w:rPr>
          <w:rFonts w:ascii="Times New Roman" w:cs="Times New Roman" w:eastAsia="Times New Roman" w:hAnsi="Times New Roman"/>
          <w:sz w:val="20"/>
          <w:szCs w:val="20"/>
          <w:color w:val="00171E"/>
        </w:rPr>
        <w:t>”).</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00171E"/>
        </w:rPr>
        <w:t>As used in this Agreement, a “</w:t>
      </w:r>
      <w:r>
        <w:rPr>
          <w:rFonts w:ascii="Times New Roman" w:cs="Times New Roman" w:eastAsia="Times New Roman" w:hAnsi="Times New Roman"/>
          <w:sz w:val="20"/>
          <w:szCs w:val="20"/>
          <w:u w:val="single" w:color="auto"/>
          <w:color w:val="00171E"/>
        </w:rPr>
        <w:t>Change in Control</w:t>
      </w:r>
      <w:r>
        <w:rPr>
          <w:rFonts w:ascii="Times New Roman" w:cs="Times New Roman" w:eastAsia="Times New Roman" w:hAnsi="Times New Roman"/>
          <w:sz w:val="20"/>
          <w:szCs w:val="20"/>
          <w:color w:val="00171E"/>
        </w:rPr>
        <w:t>” shall mean any of the following events:</w:t>
      </w:r>
    </w:p>
    <w:p>
      <w:pPr>
        <w:spacing w:after="0" w:line="216" w:lineRule="exact"/>
        <w:rPr>
          <w:sz w:val="20"/>
          <w:szCs w:val="20"/>
          <w:color w:val="auto"/>
        </w:rPr>
      </w:pPr>
    </w:p>
    <w:p>
      <w:pPr>
        <w:jc w:val="both"/>
        <w:ind w:firstLine="2254"/>
        <w:spacing w:after="0" w:line="256" w:lineRule="auto"/>
        <w:tabs>
          <w:tab w:leader="none" w:pos="2546" w:val="left"/>
        </w:tabs>
        <w:numPr>
          <w:ilvl w:val="0"/>
          <w:numId w:val="68"/>
        </w:numPr>
        <w:rPr>
          <w:rFonts w:ascii="Times New Roman" w:cs="Times New Roman" w:eastAsia="Times New Roman" w:hAnsi="Times New Roman"/>
          <w:sz w:val="19"/>
          <w:szCs w:val="19"/>
          <w:color w:val="00171E"/>
        </w:rPr>
      </w:pPr>
      <w:r>
        <w:rPr>
          <w:rFonts w:ascii="Times New Roman" w:cs="Times New Roman" w:eastAsia="Times New Roman" w:hAnsi="Times New Roman"/>
          <w:sz w:val="19"/>
          <w:szCs w:val="19"/>
          <w:color w:val="00171E"/>
        </w:rPr>
        <w:t>A change in the ownership of the Company which occurs on the date that any one person, or more than one person acting as a group (“</w:t>
      </w:r>
      <w:r>
        <w:rPr>
          <w:rFonts w:ascii="Times New Roman" w:cs="Times New Roman" w:eastAsia="Times New Roman" w:hAnsi="Times New Roman"/>
          <w:sz w:val="19"/>
          <w:szCs w:val="19"/>
          <w:u w:val="single" w:color="auto"/>
          <w:color w:val="00171E"/>
        </w:rPr>
        <w:t>Person</w:t>
      </w:r>
      <w:r>
        <w:rPr>
          <w:rFonts w:ascii="Times New Roman" w:cs="Times New Roman" w:eastAsia="Times New Roman" w:hAnsi="Times New Roman"/>
          <w:sz w:val="19"/>
          <w:szCs w:val="19"/>
          <w:color w:val="00171E"/>
        </w:rPr>
        <w:t>”), acquires ownership of the stock of the Company that, together with the stock held by such Person, constitutes more than fifty percent (50%) of the total voting power of the stock of the Company; provided, however, that for purposes of this clause (i), the acquisition of additional stock by any one Person, who is considered to own more than fifty percent (50%) of the total voting power of the stock of the Company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 Company, such event shall not be considered a Change in Control under this clause (i). For this purpose, indirect beneficial ownership shall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spacing w:after="0" w:line="177" w:lineRule="exact"/>
        <w:rPr>
          <w:rFonts w:ascii="Times New Roman" w:cs="Times New Roman" w:eastAsia="Times New Roman" w:hAnsi="Times New Roman"/>
          <w:sz w:val="19"/>
          <w:szCs w:val="19"/>
          <w:color w:val="00171E"/>
        </w:rPr>
      </w:pPr>
    </w:p>
    <w:p>
      <w:pPr>
        <w:jc w:val="both"/>
        <w:ind w:firstLine="2254"/>
        <w:spacing w:after="0" w:line="246" w:lineRule="auto"/>
        <w:tabs>
          <w:tab w:leader="none" w:pos="2546" w:val="left"/>
        </w:tabs>
        <w:numPr>
          <w:ilvl w:val="0"/>
          <w:numId w:val="68"/>
        </w:numPr>
        <w:rPr>
          <w:rFonts w:ascii="Times New Roman" w:cs="Times New Roman" w:eastAsia="Times New Roman" w:hAnsi="Times New Roman"/>
          <w:sz w:val="20"/>
          <w:szCs w:val="20"/>
          <w:color w:val="00171E"/>
        </w:rPr>
      </w:pPr>
      <w:r>
        <w:rPr>
          <w:rFonts w:ascii="Times New Roman" w:cs="Times New Roman" w:eastAsia="Times New Roman" w:hAnsi="Times New Roman"/>
          <w:sz w:val="20"/>
          <w:szCs w:val="20"/>
          <w:color w:val="00171E"/>
        </w:rPr>
        <w:t>A change in the effective control of the Company which occurs on the date that a majority of members of the Board is replaced during any twelve (12)-month period by members of the Board whose appointment or election is not endorsed by a majority of the members of the Board prior to the date of the appointment or election. For purposes of this clause (ii), if any Person is considered to be in effective control of the Company, the acquisition of additional control of the Company by the same Person will not be considered a Change in Control; or</w:t>
      </w:r>
    </w:p>
    <w:p>
      <w:pPr>
        <w:spacing w:after="0" w:line="185" w:lineRule="exact"/>
        <w:rPr>
          <w:sz w:val="20"/>
          <w:szCs w:val="20"/>
          <w:color w:val="auto"/>
        </w:rPr>
      </w:pPr>
    </w:p>
    <w:p>
      <w:pPr>
        <w:jc w:val="both"/>
        <w:ind w:firstLine="2246"/>
        <w:spacing w:after="0" w:line="256" w:lineRule="auto"/>
        <w:rPr>
          <w:sz w:val="20"/>
          <w:szCs w:val="20"/>
          <w:color w:val="auto"/>
        </w:rPr>
      </w:pPr>
      <w:r>
        <w:rPr>
          <w:rFonts w:ascii="Times New Roman" w:cs="Times New Roman" w:eastAsia="Times New Roman" w:hAnsi="Times New Roman"/>
          <w:sz w:val="19"/>
          <w:szCs w:val="19"/>
          <w:color w:val="00171E"/>
        </w:rPr>
        <w:t>(iii)A change in the ownership of a substantial portion of the Company’s assets which occurs on the date that any Person acquires (or has acquired during the twelve (12)-month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clause (iii),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fifty percent (50%) or more of the total value or voting power of which is owned, directly or indirectly, by the Company, (3) a Person, that owns, directly or indirectly, fifty percent (50%) or more of the total value or voting power of all the outstanding stock of the Company, or (4) an entity, at least fifty percent (50%) of the total value or voting power of which is owned, directly or indirectly,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132320" cy="171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9"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6"/>
          <w:szCs w:val="16"/>
          <w:b w:val="1"/>
          <w:bCs w:val="1"/>
          <w:color w:val="auto"/>
        </w:rPr>
        <w:t>E</w:t>
      </w:r>
      <w:r>
        <w:rPr>
          <w:rFonts w:ascii="Times New Roman" w:cs="Times New Roman" w:eastAsia="Times New Roman" w:hAnsi="Times New Roman"/>
          <w:sz w:val="10"/>
          <w:szCs w:val="10"/>
          <w:b w:val="1"/>
          <w:bCs w:val="1"/>
          <w:color w:val="auto"/>
        </w:rPr>
        <w:t>xecutive</w:t>
      </w:r>
      <w:r>
        <w:rPr>
          <w:rFonts w:ascii="Times New Roman" w:cs="Times New Roman" w:eastAsia="Times New Roman" w:hAnsi="Times New Roman"/>
          <w:sz w:val="16"/>
          <w:szCs w:val="16"/>
          <w:b w:val="1"/>
          <w:bCs w:val="1"/>
          <w:color w:val="auto"/>
        </w:rPr>
        <w:t xml:space="preserve"> E</w:t>
      </w:r>
      <w:r>
        <w:rPr>
          <w:rFonts w:ascii="Times New Roman" w:cs="Times New Roman" w:eastAsia="Times New Roman" w:hAnsi="Times New Roman"/>
          <w:sz w:val="10"/>
          <w:szCs w:val="10"/>
          <w:b w:val="1"/>
          <w:bCs w:val="1"/>
          <w:color w:val="auto"/>
        </w:rPr>
        <w:t>mployment</w:t>
      </w:r>
      <w:r>
        <w:rPr>
          <w:rFonts w:ascii="Times New Roman" w:cs="Times New Roman" w:eastAsia="Times New Roman" w:hAnsi="Times New Roman"/>
          <w:sz w:val="16"/>
          <w:szCs w:val="16"/>
          <w:b w:val="1"/>
          <w:bCs w:val="1"/>
          <w:color w:val="auto"/>
        </w:rPr>
        <w:t xml:space="preserve"> A</w:t>
      </w:r>
      <w:r>
        <w:rPr>
          <w:rFonts w:ascii="Times New Roman" w:cs="Times New Roman" w:eastAsia="Times New Roman" w:hAnsi="Times New Roman"/>
          <w:sz w:val="10"/>
          <w:szCs w:val="10"/>
          <w:b w:val="1"/>
          <w:bCs w:val="1"/>
          <w:color w:val="auto"/>
        </w:rPr>
        <w:t>gmt</w:t>
      </w:r>
      <w:r>
        <w:rPr>
          <w:rFonts w:ascii="Times New Roman" w:cs="Times New Roman" w:eastAsia="Times New Roman" w:hAnsi="Times New Roman"/>
          <w:sz w:val="16"/>
          <w:szCs w:val="16"/>
          <w:b w:val="1"/>
          <w:bCs w:val="1"/>
          <w:color w:val="auto"/>
        </w:rPr>
        <w:t xml:space="preserve"> S</w:t>
      </w:r>
      <w:r>
        <w:rPr>
          <w:rFonts w:ascii="Times New Roman" w:cs="Times New Roman" w:eastAsia="Times New Roman" w:hAnsi="Times New Roman"/>
          <w:sz w:val="10"/>
          <w:szCs w:val="10"/>
          <w:b w:val="1"/>
          <w:bCs w:val="1"/>
          <w:color w:val="auto"/>
        </w:rPr>
        <w:t>td</w:t>
      </w:r>
      <w:r>
        <w:rPr>
          <w:rFonts w:ascii="Times New Roman" w:cs="Times New Roman" w:eastAsia="Times New Roman" w:hAnsi="Times New Roman"/>
          <w:sz w:val="16"/>
          <w:szCs w:val="16"/>
          <w:b w:val="1"/>
          <w:bCs w:val="1"/>
          <w:color w:val="auto"/>
        </w:rPr>
        <w:t xml:space="preserve"> 11.1.24</w:t>
      </w:r>
      <w:r>
        <w:rPr>
          <w:sz w:val="20"/>
          <w:szCs w:val="20"/>
          <w:color w:val="auto"/>
        </w:rPr>
        <w:tab/>
      </w:r>
      <w:r>
        <w:rPr>
          <w:rFonts w:ascii="Times New Roman" w:cs="Times New Roman" w:eastAsia="Times New Roman" w:hAnsi="Times New Roman"/>
          <w:sz w:val="16"/>
          <w:szCs w:val="16"/>
          <w:b w:val="1"/>
          <w:bCs w:val="1"/>
          <w:color w:val="auto"/>
        </w:rPr>
        <w:t>A</w:t>
      </w:r>
      <w:r>
        <w:rPr>
          <w:rFonts w:ascii="Times New Roman" w:cs="Times New Roman" w:eastAsia="Times New Roman" w:hAnsi="Times New Roman"/>
          <w:sz w:val="10"/>
          <w:szCs w:val="10"/>
          <w:b w:val="1"/>
          <w:bCs w:val="1"/>
          <w:color w:val="auto"/>
        </w:rPr>
        <w:t>ccuray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9</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NUMPAGES \* Arabic \* MERGEFORMAT 31</w:t>
      </w:r>
    </w:p>
    <w:p>
      <w:pPr>
        <w:spacing w:after="0" w:line="200" w:lineRule="exact"/>
        <w:rPr>
          <w:sz w:val="20"/>
          <w:szCs w:val="20"/>
          <w:color w:val="auto"/>
        </w:rPr>
      </w:pPr>
    </w:p>
    <w:p>
      <w:pPr>
        <w:spacing w:after="0" w:line="24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00171E"/>
        </w:rPr>
        <w:t>by a Person described in this clause (iii)(B)(3). For purposes of this clause (iii), gross fair market value means the value of the assets of the Company, or the value of the assets being disposed of, determined without regard to any liabilities associated with such assets.</w:t>
      </w:r>
    </w:p>
    <w:p>
      <w:pPr>
        <w:spacing w:after="0" w:line="15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00171E"/>
        </w:rPr>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00171E"/>
        </w:rPr>
        <w:t>Notwithstanding the foregoing, a transaction will not be deemed a Change in Control unless the transaction qualifies as a change in control event within the meaning of Code Section 409A, as it has been and may be amended from time to time, and any proposed or final Treasury Regulations and Internal Revenue Service guidance that has been promulgated or may be promulgated thereunder from time to time.</w:t>
      </w:r>
    </w:p>
    <w:p>
      <w:pPr>
        <w:spacing w:after="0" w:line="1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00171E"/>
        </w:rPr>
        <w:t>Further and for the avoidance of doubt, a transaction will not constitute a Change in Control if: (i) its sole purpose is to change the state of the Company’s incorporation, or (ii) its sole purpose is to create a holding company that will be owned in substantially the same proportions by the persons who held the Company’s securities immediately before such transaction.</w:t>
      </w:r>
    </w:p>
    <w:p>
      <w:pPr>
        <w:spacing w:after="0" w:line="174"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00171E"/>
        </w:rPr>
        <w:t>As used in this Agreement, a “</w:t>
      </w:r>
      <w:r>
        <w:rPr>
          <w:rFonts w:ascii="Times New Roman" w:cs="Times New Roman" w:eastAsia="Times New Roman" w:hAnsi="Times New Roman"/>
          <w:sz w:val="20"/>
          <w:szCs w:val="20"/>
          <w:u w:val="single" w:color="auto"/>
          <w:color w:val="00171E"/>
        </w:rPr>
        <w:t>Change in Control Period</w:t>
      </w:r>
      <w:r>
        <w:rPr>
          <w:rFonts w:ascii="Times New Roman" w:cs="Times New Roman" w:eastAsia="Times New Roman" w:hAnsi="Times New Roman"/>
          <w:sz w:val="20"/>
          <w:szCs w:val="20"/>
          <w:color w:val="00171E"/>
        </w:rPr>
        <w:t>” shall mean the period beginning three (3) months prior to, and ending twenty-four (24) months following, a Change in Control.</w:t>
      </w:r>
    </w:p>
    <w:p>
      <w:pPr>
        <w:spacing w:after="0" w:line="159" w:lineRule="exact"/>
        <w:rPr>
          <w:sz w:val="20"/>
          <w:szCs w:val="20"/>
          <w:color w:val="auto"/>
        </w:rPr>
      </w:pPr>
    </w:p>
    <w:p>
      <w:pPr>
        <w:jc w:val="both"/>
        <w:ind w:firstLine="1505"/>
        <w:spacing w:after="0" w:line="244" w:lineRule="auto"/>
        <w:tabs>
          <w:tab w:leader="none" w:pos="2036" w:val="left"/>
        </w:tabs>
        <w:numPr>
          <w:ilvl w:val="0"/>
          <w:numId w:val="69"/>
        </w:numPr>
        <w:rPr>
          <w:rFonts w:ascii="Times New Roman" w:cs="Times New Roman" w:eastAsia="Times New Roman" w:hAnsi="Times New Roman"/>
          <w:sz w:val="20"/>
          <w:szCs w:val="20"/>
          <w:u w:val="single" w:color="auto"/>
          <w:color w:val="00171E"/>
        </w:rPr>
      </w:pPr>
      <w:r>
        <w:rPr>
          <w:rFonts w:ascii="Times New Roman" w:cs="Times New Roman" w:eastAsia="Times New Roman" w:hAnsi="Times New Roman"/>
          <w:sz w:val="20"/>
          <w:szCs w:val="20"/>
          <w:u w:val="single" w:color="auto"/>
          <w:color w:val="00171E"/>
        </w:rPr>
        <w:t>Voluntary Resignation without Good Reason</w:t>
      </w:r>
      <w:r>
        <w:rPr>
          <w:rFonts w:ascii="Times New Roman" w:cs="Times New Roman" w:eastAsia="Times New Roman" w:hAnsi="Times New Roman"/>
          <w:sz w:val="20"/>
          <w:szCs w:val="20"/>
          <w:color w:val="00171E"/>
        </w:rPr>
        <w:t xml:space="preserve">. Executive may terminate this Agreement without Good Reason effective on sixty (60) day’s written notice, unless the Company in its sole discretion accepts the resignation earlier. In the event that Executive resigns without Good Reason as defined above in </w:t>
      </w:r>
      <w:r>
        <w:rPr>
          <w:rFonts w:ascii="Times New Roman" w:cs="Times New Roman" w:eastAsia="Times New Roman" w:hAnsi="Times New Roman"/>
          <w:sz w:val="20"/>
          <w:szCs w:val="20"/>
          <w:u w:val="single" w:color="auto"/>
          <w:color w:val="00171E"/>
        </w:rPr>
        <w:t>Section 5(d)</w:t>
      </w:r>
      <w:r>
        <w:rPr>
          <w:rFonts w:ascii="Times New Roman" w:cs="Times New Roman" w:eastAsia="Times New Roman" w:hAnsi="Times New Roman"/>
          <w:sz w:val="20"/>
          <w:szCs w:val="20"/>
          <w:color w:val="00171E"/>
        </w:rPr>
        <w:t>, Executive will be entitled only to the Accrued Benefits through the termination date. The Company will have no further obligation to pay any compensation of any kind (including without limitation any bonus or portion of a bonus that otherwise may have become due and payable to Executive with respect to the year in which such termination date occurs unless he/she remains employed with the Company as of the date bonuses are paid to other senior executives of the Company), or severance payments of any kind.</w:t>
      </w:r>
    </w:p>
    <w:p>
      <w:pPr>
        <w:spacing w:after="0" w:line="185" w:lineRule="exact"/>
        <w:rPr>
          <w:rFonts w:ascii="Times New Roman" w:cs="Times New Roman" w:eastAsia="Times New Roman" w:hAnsi="Times New Roman"/>
          <w:sz w:val="20"/>
          <w:szCs w:val="20"/>
          <w:u w:val="single" w:color="auto"/>
          <w:color w:val="00171E"/>
        </w:rPr>
      </w:pPr>
    </w:p>
    <w:p>
      <w:pPr>
        <w:jc w:val="both"/>
        <w:ind w:firstLine="1505"/>
        <w:spacing w:after="0" w:line="241" w:lineRule="auto"/>
        <w:tabs>
          <w:tab w:leader="none" w:pos="2036" w:val="left"/>
        </w:tabs>
        <w:numPr>
          <w:ilvl w:val="0"/>
          <w:numId w:val="69"/>
        </w:numPr>
        <w:rPr>
          <w:rFonts w:ascii="Times New Roman" w:cs="Times New Roman" w:eastAsia="Times New Roman" w:hAnsi="Times New Roman"/>
          <w:sz w:val="20"/>
          <w:szCs w:val="20"/>
          <w:u w:val="single" w:color="auto"/>
          <w:color w:val="00171E"/>
        </w:rPr>
      </w:pPr>
      <w:r>
        <w:rPr>
          <w:rFonts w:ascii="Times New Roman" w:cs="Times New Roman" w:eastAsia="Times New Roman" w:hAnsi="Times New Roman"/>
          <w:sz w:val="20"/>
          <w:szCs w:val="20"/>
          <w:color w:val="00171E"/>
        </w:rPr>
        <w:t xml:space="preserve">If the Company determines in its sole discretion that it cannot make the COBRA reimbursements under </w:t>
      </w:r>
      <w:r>
        <w:rPr>
          <w:rFonts w:ascii="Times New Roman" w:cs="Times New Roman" w:eastAsia="Times New Roman" w:hAnsi="Times New Roman"/>
          <w:sz w:val="20"/>
          <w:szCs w:val="20"/>
          <w:u w:val="single" w:color="auto"/>
          <w:color w:val="00171E"/>
        </w:rPr>
        <w:t>Section</w:t>
      </w:r>
      <w:r>
        <w:rPr>
          <w:rFonts w:ascii="Times New Roman" w:cs="Times New Roman" w:eastAsia="Times New Roman" w:hAnsi="Times New Roman"/>
          <w:sz w:val="20"/>
          <w:szCs w:val="20"/>
          <w:color w:val="00171E"/>
        </w:rPr>
        <w:t xml:space="preserve"> </w:t>
      </w:r>
      <w:r>
        <w:rPr>
          <w:rFonts w:ascii="Times New Roman" w:cs="Times New Roman" w:eastAsia="Times New Roman" w:hAnsi="Times New Roman"/>
          <w:sz w:val="20"/>
          <w:szCs w:val="20"/>
          <w:u w:val="single" w:color="auto"/>
          <w:color w:val="00171E"/>
        </w:rPr>
        <w:t>5(a)(vi)</w:t>
      </w:r>
      <w:r>
        <w:rPr>
          <w:rFonts w:ascii="Times New Roman" w:cs="Times New Roman" w:eastAsia="Times New Roman" w:hAnsi="Times New Roman"/>
          <w:sz w:val="20"/>
          <w:szCs w:val="20"/>
          <w:color w:val="00171E"/>
        </w:rPr>
        <w:t xml:space="preserve"> or </w:t>
      </w:r>
      <w:r>
        <w:rPr>
          <w:rFonts w:ascii="Times New Roman" w:cs="Times New Roman" w:eastAsia="Times New Roman" w:hAnsi="Times New Roman"/>
          <w:sz w:val="20"/>
          <w:szCs w:val="20"/>
          <w:u w:val="single" w:color="auto"/>
          <w:color w:val="00171E"/>
        </w:rPr>
        <w:t>Section 5(e)(ii)</w:t>
      </w:r>
      <w:r>
        <w:rPr>
          <w:rFonts w:ascii="Times New Roman" w:cs="Times New Roman" w:eastAsia="Times New Roman" w:hAnsi="Times New Roman"/>
          <w:sz w:val="20"/>
          <w:szCs w:val="20"/>
          <w:color w:val="00171E"/>
        </w:rPr>
        <w:t xml:space="preserve"> (the “</w:t>
      </w:r>
      <w:r>
        <w:rPr>
          <w:rFonts w:ascii="Times New Roman" w:cs="Times New Roman" w:eastAsia="Times New Roman" w:hAnsi="Times New Roman"/>
          <w:sz w:val="20"/>
          <w:szCs w:val="20"/>
          <w:u w:val="single" w:color="auto"/>
          <w:color w:val="00171E"/>
        </w:rPr>
        <w:t>COBRA Reimbursements</w:t>
      </w:r>
      <w:r>
        <w:rPr>
          <w:rFonts w:ascii="Times New Roman" w:cs="Times New Roman" w:eastAsia="Times New Roman" w:hAnsi="Times New Roman"/>
          <w:sz w:val="20"/>
          <w:szCs w:val="20"/>
          <w:color w:val="00171E"/>
        </w:rPr>
        <w:t>”) without potentially violating applicable law (including, without limitation, Section 2716 of the Public Health Service Act), the Company will in lieu thereof provide to Executive a taxable monthly payment, payable on the last day of a given month, in an amount equal to the monthly COBRA premium that the Executive would be required to pay to continue the Executive’s group health coverage in effect on the termination of employment date (which amount will be based on the premium for the first month of COBRA continuation coverage), which payments will be made regardless of whether the Executive elects COBRA continuation coverage and will commence on the month following the Executive’s termination of employment and will end on the earlier of (x) the date upon which the Executive obtains other employment or (y) the date the Company has paid an amount equal to 12 payments. For the avoidance of doubt, such taxable payments in lieu of COBRA Reimbursements (the “</w:t>
      </w:r>
      <w:r>
        <w:rPr>
          <w:rFonts w:ascii="Times New Roman" w:cs="Times New Roman" w:eastAsia="Times New Roman" w:hAnsi="Times New Roman"/>
          <w:sz w:val="20"/>
          <w:szCs w:val="20"/>
          <w:u w:val="single" w:color="auto"/>
          <w:color w:val="00171E"/>
        </w:rPr>
        <w:t>COBRA Substitute Payments</w:t>
      </w:r>
      <w:r>
        <w:rPr>
          <w:rFonts w:ascii="Times New Roman" w:cs="Times New Roman" w:eastAsia="Times New Roman" w:hAnsi="Times New Roman"/>
          <w:sz w:val="20"/>
          <w:szCs w:val="20"/>
          <w:color w:val="00171E"/>
        </w:rPr>
        <w:t>”) may be used for any purpose, including, but not limited to continuation coverage under COBRA, and will be subject to all applicable tax withholding. Notwithstanding anything to the contrary under this Agreement, if at any time the Company determines in its sole discretion that it cannot provide the COBRA Substitute Payments without violating applicable law (including, without limitation, Section 2716 of the Public Health Service Act), Executive will not receive the COBRA Substitute Payments or any further COBRA Reimbursements.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7132320" cy="171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6"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6"/>
          <w:szCs w:val="16"/>
          <w:b w:val="1"/>
          <w:bCs w:val="1"/>
          <w:color w:val="auto"/>
        </w:rPr>
        <w:t>E</w:t>
      </w:r>
      <w:r>
        <w:rPr>
          <w:rFonts w:ascii="Times New Roman" w:cs="Times New Roman" w:eastAsia="Times New Roman" w:hAnsi="Times New Roman"/>
          <w:sz w:val="10"/>
          <w:szCs w:val="10"/>
          <w:b w:val="1"/>
          <w:bCs w:val="1"/>
          <w:color w:val="auto"/>
        </w:rPr>
        <w:t>xecutive</w:t>
      </w:r>
      <w:r>
        <w:rPr>
          <w:rFonts w:ascii="Times New Roman" w:cs="Times New Roman" w:eastAsia="Times New Roman" w:hAnsi="Times New Roman"/>
          <w:sz w:val="16"/>
          <w:szCs w:val="16"/>
          <w:b w:val="1"/>
          <w:bCs w:val="1"/>
          <w:color w:val="auto"/>
        </w:rPr>
        <w:t xml:space="preserve"> E</w:t>
      </w:r>
      <w:r>
        <w:rPr>
          <w:rFonts w:ascii="Times New Roman" w:cs="Times New Roman" w:eastAsia="Times New Roman" w:hAnsi="Times New Roman"/>
          <w:sz w:val="10"/>
          <w:szCs w:val="10"/>
          <w:b w:val="1"/>
          <w:bCs w:val="1"/>
          <w:color w:val="auto"/>
        </w:rPr>
        <w:t>mployment</w:t>
      </w:r>
      <w:r>
        <w:rPr>
          <w:rFonts w:ascii="Times New Roman" w:cs="Times New Roman" w:eastAsia="Times New Roman" w:hAnsi="Times New Roman"/>
          <w:sz w:val="16"/>
          <w:szCs w:val="16"/>
          <w:b w:val="1"/>
          <w:bCs w:val="1"/>
          <w:color w:val="auto"/>
        </w:rPr>
        <w:t xml:space="preserve"> A</w:t>
      </w:r>
      <w:r>
        <w:rPr>
          <w:rFonts w:ascii="Times New Roman" w:cs="Times New Roman" w:eastAsia="Times New Roman" w:hAnsi="Times New Roman"/>
          <w:sz w:val="10"/>
          <w:szCs w:val="10"/>
          <w:b w:val="1"/>
          <w:bCs w:val="1"/>
          <w:color w:val="auto"/>
        </w:rPr>
        <w:t>gmt</w:t>
      </w:r>
      <w:r>
        <w:rPr>
          <w:rFonts w:ascii="Times New Roman" w:cs="Times New Roman" w:eastAsia="Times New Roman" w:hAnsi="Times New Roman"/>
          <w:sz w:val="16"/>
          <w:szCs w:val="16"/>
          <w:b w:val="1"/>
          <w:bCs w:val="1"/>
          <w:color w:val="auto"/>
        </w:rPr>
        <w:t xml:space="preserve"> S</w:t>
      </w:r>
      <w:r>
        <w:rPr>
          <w:rFonts w:ascii="Times New Roman" w:cs="Times New Roman" w:eastAsia="Times New Roman" w:hAnsi="Times New Roman"/>
          <w:sz w:val="10"/>
          <w:szCs w:val="10"/>
          <w:b w:val="1"/>
          <w:bCs w:val="1"/>
          <w:color w:val="auto"/>
        </w:rPr>
        <w:t>td</w:t>
      </w:r>
      <w:r>
        <w:rPr>
          <w:rFonts w:ascii="Times New Roman" w:cs="Times New Roman" w:eastAsia="Times New Roman" w:hAnsi="Times New Roman"/>
          <w:sz w:val="16"/>
          <w:szCs w:val="16"/>
          <w:b w:val="1"/>
          <w:bCs w:val="1"/>
          <w:color w:val="auto"/>
        </w:rPr>
        <w:t xml:space="preserve"> 11.1.24</w:t>
      </w:r>
      <w:r>
        <w:rPr>
          <w:sz w:val="20"/>
          <w:szCs w:val="20"/>
          <w:color w:val="auto"/>
        </w:rPr>
        <w:tab/>
      </w:r>
      <w:r>
        <w:rPr>
          <w:rFonts w:ascii="Times New Roman" w:cs="Times New Roman" w:eastAsia="Times New Roman" w:hAnsi="Times New Roman"/>
          <w:sz w:val="16"/>
          <w:szCs w:val="16"/>
          <w:b w:val="1"/>
          <w:bCs w:val="1"/>
          <w:color w:val="auto"/>
        </w:rPr>
        <w:t>A</w:t>
      </w:r>
      <w:r>
        <w:rPr>
          <w:rFonts w:ascii="Times New Roman" w:cs="Times New Roman" w:eastAsia="Times New Roman" w:hAnsi="Times New Roman"/>
          <w:sz w:val="10"/>
          <w:szCs w:val="10"/>
          <w:b w:val="1"/>
          <w:bCs w:val="1"/>
          <w:color w:val="auto"/>
        </w:rPr>
        <w:t>ccuray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10</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NUMPAGES \* Arabic \* MERGEFORMAT 31</w:t>
      </w:r>
    </w:p>
    <w:p>
      <w:pPr>
        <w:spacing w:after="0" w:line="200" w:lineRule="exact"/>
        <w:rPr>
          <w:sz w:val="20"/>
          <w:szCs w:val="20"/>
          <w:color w:val="auto"/>
        </w:rPr>
      </w:pPr>
    </w:p>
    <w:p>
      <w:pPr>
        <w:spacing w:after="0" w:line="237" w:lineRule="exact"/>
        <w:rPr>
          <w:sz w:val="20"/>
          <w:szCs w:val="20"/>
          <w:color w:val="auto"/>
        </w:rPr>
      </w:pPr>
    </w:p>
    <w:p>
      <w:pPr>
        <w:ind w:left="1020" w:hanging="263"/>
        <w:spacing w:after="0"/>
        <w:tabs>
          <w:tab w:leader="none" w:pos="1020" w:val="left"/>
        </w:tabs>
        <w:numPr>
          <w:ilvl w:val="0"/>
          <w:numId w:val="70"/>
        </w:numPr>
        <w:rPr>
          <w:rFonts w:ascii="Times New Roman" w:cs="Times New Roman" w:eastAsia="Times New Roman" w:hAnsi="Times New Roman"/>
          <w:sz w:val="20"/>
          <w:szCs w:val="20"/>
          <w:b w:val="1"/>
          <w:bCs w:val="1"/>
          <w:color w:val="00171E"/>
        </w:rPr>
      </w:pPr>
      <w:r>
        <w:rPr>
          <w:rFonts w:ascii="Times New Roman" w:cs="Times New Roman" w:eastAsia="Times New Roman" w:hAnsi="Times New Roman"/>
          <w:sz w:val="20"/>
          <w:szCs w:val="20"/>
          <w:b w:val="1"/>
          <w:bCs w:val="1"/>
          <w:color w:val="00171E"/>
        </w:rPr>
        <w:t>Proprietary Information Obligations.</w:t>
      </w:r>
    </w:p>
    <w:p>
      <w:pPr>
        <w:spacing w:after="0" w:line="219" w:lineRule="exact"/>
        <w:rPr>
          <w:rFonts w:ascii="Times New Roman" w:cs="Times New Roman" w:eastAsia="Times New Roman" w:hAnsi="Times New Roman"/>
          <w:sz w:val="20"/>
          <w:szCs w:val="20"/>
          <w:b w:val="1"/>
          <w:bCs w:val="1"/>
          <w:color w:val="00171E"/>
        </w:rPr>
      </w:pPr>
    </w:p>
    <w:p>
      <w:pPr>
        <w:jc w:val="both"/>
        <w:ind w:firstLine="1505"/>
        <w:spacing w:after="0"/>
        <w:tabs>
          <w:tab w:leader="none" w:pos="2036" w:val="left"/>
        </w:tabs>
        <w:numPr>
          <w:ilvl w:val="1"/>
          <w:numId w:val="70"/>
        </w:numPr>
        <w:rPr>
          <w:rFonts w:ascii="Times New Roman" w:cs="Times New Roman" w:eastAsia="Times New Roman" w:hAnsi="Times New Roman"/>
          <w:sz w:val="20"/>
          <w:szCs w:val="20"/>
          <w:u w:val="single" w:color="auto"/>
          <w:color w:val="00171E"/>
        </w:rPr>
      </w:pPr>
      <w:r>
        <w:rPr>
          <w:rFonts w:ascii="Times New Roman" w:cs="Times New Roman" w:eastAsia="Times New Roman" w:hAnsi="Times New Roman"/>
          <w:sz w:val="20"/>
          <w:szCs w:val="20"/>
          <w:u w:val="single" w:color="auto"/>
          <w:color w:val="00171E"/>
        </w:rPr>
        <w:t>Proprietary Information and Confidentiality</w:t>
      </w:r>
      <w:r>
        <w:rPr>
          <w:rFonts w:ascii="Times New Roman" w:cs="Times New Roman" w:eastAsia="Times New Roman" w:hAnsi="Times New Roman"/>
          <w:sz w:val="20"/>
          <w:szCs w:val="20"/>
          <w:color w:val="00171E"/>
        </w:rPr>
        <w:t>. Both before and during the term of Executive’s employment, Executive will have access to and become acquainted with Company confidential and proprietary information (together “</w:t>
      </w:r>
      <w:r>
        <w:rPr>
          <w:rFonts w:ascii="Times New Roman" w:cs="Times New Roman" w:eastAsia="Times New Roman" w:hAnsi="Times New Roman"/>
          <w:sz w:val="20"/>
          <w:szCs w:val="20"/>
          <w:u w:val="single" w:color="auto"/>
          <w:color w:val="00171E"/>
        </w:rPr>
        <w:t>Proprietary</w:t>
      </w:r>
      <w:r>
        <w:rPr>
          <w:rFonts w:ascii="Times New Roman" w:cs="Times New Roman" w:eastAsia="Times New Roman" w:hAnsi="Times New Roman"/>
          <w:sz w:val="20"/>
          <w:szCs w:val="20"/>
          <w:color w:val="00171E"/>
        </w:rPr>
        <w:t xml:space="preserve"> </w:t>
      </w:r>
      <w:r>
        <w:rPr>
          <w:rFonts w:ascii="Times New Roman" w:cs="Times New Roman" w:eastAsia="Times New Roman" w:hAnsi="Times New Roman"/>
          <w:sz w:val="20"/>
          <w:szCs w:val="20"/>
          <w:u w:val="single" w:color="auto"/>
          <w:color w:val="00171E"/>
        </w:rPr>
        <w:t>Information</w:t>
      </w:r>
      <w:r>
        <w:rPr>
          <w:rFonts w:ascii="Times New Roman" w:cs="Times New Roman" w:eastAsia="Times New Roman" w:hAnsi="Times New Roman"/>
          <w:sz w:val="20"/>
          <w:szCs w:val="20"/>
          <w:color w:val="00171E"/>
        </w:rPr>
        <w:t>”), including but not limited to information or plans concerning the Company’s products and technologies; customer relationships; sales, marketing and financial operations and methods; trade secrets; formulae and secret developments and inventions; processes; and other compilations of information, records, and specifications. Executive will not disclose any of the Proprietary Information directly or indirectly, or use it in any way, either during his/her employment pursuant to this Agreement or at any time thereafter, except as reasonably required in the course of his/her employment with the Company or as authorized in writing by the Company. Notwithstanding the foregoing, Proprietary Information does not include information that is otherwise publicly known or available, provided it has not become public as a result of a breach of this Agreement or any other agreement Executive has to keep information confidential. Proprietary Information does not include general knowledge, skill, and experience Executive acquires during the course of or in connection with Executive’s employment with the Company or a former employer. It is not a breach of this Agreement for Executive to disclose Proprietary Information (i) pursuant to an order of a court or other governmental or legal body or (ii) in connection with Protected Activity (as defined below). Executive understands that nothing in this Agreement shall in any way limit or prohibit Executive from engaging in any Protected Activity. For purposes of this Agreement, “</w:t>
      </w:r>
      <w:r>
        <w:rPr>
          <w:rFonts w:ascii="Times New Roman" w:cs="Times New Roman" w:eastAsia="Times New Roman" w:hAnsi="Times New Roman"/>
          <w:sz w:val="20"/>
          <w:szCs w:val="20"/>
          <w:u w:val="single" w:color="auto"/>
          <w:color w:val="00171E"/>
        </w:rPr>
        <w:t>Protected Activity</w:t>
      </w:r>
      <w:r>
        <w:rPr>
          <w:rFonts w:ascii="Times New Roman" w:cs="Times New Roman" w:eastAsia="Times New Roman" w:hAnsi="Times New Roman"/>
          <w:sz w:val="20"/>
          <w:szCs w:val="20"/>
          <w:color w:val="00171E"/>
        </w:rPr>
        <w:t>” includes filing and/or pursuing a charge or complaint with, or otherwise communicating or cooperating with or participating in any investigation or proceeding that may be conducted by, any federal, state or local government agency or commission, including the Securities and Exchange Commission, the Equal Employment Opportunity Commission, the Occupational Safety and Health Administration, and the National Labor Relations Board (“</w:t>
      </w:r>
      <w:r>
        <w:rPr>
          <w:rFonts w:ascii="Times New Roman" w:cs="Times New Roman" w:eastAsia="Times New Roman" w:hAnsi="Times New Roman"/>
          <w:sz w:val="20"/>
          <w:szCs w:val="20"/>
          <w:u w:val="single" w:color="auto"/>
          <w:color w:val="00171E"/>
        </w:rPr>
        <w:t>Government Agencies</w:t>
      </w:r>
      <w:r>
        <w:rPr>
          <w:rFonts w:ascii="Times New Roman" w:cs="Times New Roman" w:eastAsia="Times New Roman" w:hAnsi="Times New Roman"/>
          <w:sz w:val="20"/>
          <w:szCs w:val="20"/>
          <w:color w:val="00171E"/>
        </w:rPr>
        <w:t>”), including disclosing documents or other information as permitted by law. In addition, nothing in this Agreement, including its definition of Proprietary Information, prevents Executive from discussing or disclosing information about unlawful acts in the workplace, such as harassment or discrimination or any other conduct that Executive has reason to believe is unlawful. Notwithstanding the preceding, Executive agrees to take all reasonable precautions to prevent any unauthorized use or disclosure of any Company trade secrets, proprietary information, or confidential information that does not involve unlawful acts in the workplace or the activity otherwise protected herein. Executive understands that Executive is not permitted to disclose the Company’s attorney-client privileged communications or attorney work product. In addition, I hereby acknowledge that the Company has provided me with notice in compliance with the Defend Trade Secrets Act of 2016 regarding immunity from liability for limited disclosures of trade secrets. The full text of the notice is attached in Exhibit A. Finally, Executive understands that nothing in this Agreement, including its definition of Proprietary Information, (i) limits employees’ rights to discuss or disclose wages, benefits, or terms and conditions of employment as protected by applicable law, including any rights under Section 7 of the National Labor Relations Act, or (ii) otherwise impairs employees from assisting other Company employees and/or former employees in the exercise of their rights under Section 7 of the National Labor Relations Act.</w:t>
      </w:r>
    </w:p>
    <w:p>
      <w:pPr>
        <w:spacing w:after="0" w:line="202" w:lineRule="exact"/>
        <w:rPr>
          <w:rFonts w:ascii="Times New Roman" w:cs="Times New Roman" w:eastAsia="Times New Roman" w:hAnsi="Times New Roman"/>
          <w:sz w:val="20"/>
          <w:szCs w:val="20"/>
          <w:u w:val="single" w:color="auto"/>
          <w:color w:val="00171E"/>
        </w:rPr>
      </w:pPr>
    </w:p>
    <w:p>
      <w:pPr>
        <w:ind w:left="2040" w:hanging="535"/>
        <w:spacing w:after="0"/>
        <w:tabs>
          <w:tab w:leader="none" w:pos="2040" w:val="left"/>
        </w:tabs>
        <w:numPr>
          <w:ilvl w:val="1"/>
          <w:numId w:val="70"/>
        </w:numPr>
        <w:rPr>
          <w:rFonts w:ascii="Times New Roman" w:cs="Times New Roman" w:eastAsia="Times New Roman" w:hAnsi="Times New Roman"/>
          <w:sz w:val="20"/>
          <w:szCs w:val="20"/>
          <w:u w:val="single" w:color="auto"/>
          <w:color w:val="00171E"/>
        </w:rPr>
      </w:pPr>
      <w:r>
        <w:rPr>
          <w:rFonts w:ascii="Times New Roman" w:cs="Times New Roman" w:eastAsia="Times New Roman" w:hAnsi="Times New Roman"/>
          <w:sz w:val="20"/>
          <w:szCs w:val="20"/>
          <w:u w:val="single" w:color="auto"/>
          <w:color w:val="00171E"/>
        </w:rPr>
        <w:t>Inventions Agreement and Assignment</w:t>
      </w:r>
      <w:r>
        <w:rPr>
          <w:rFonts w:ascii="Times New Roman" w:cs="Times New Roman" w:eastAsia="Times New Roman" w:hAnsi="Times New Roman"/>
          <w:sz w:val="20"/>
          <w:szCs w:val="20"/>
          <w:color w:val="00171E"/>
        </w:rPr>
        <w:t>.</w:t>
      </w:r>
    </w:p>
    <w:p>
      <w:pPr>
        <w:spacing w:after="0" w:line="215" w:lineRule="exact"/>
        <w:rPr>
          <w:rFonts w:ascii="Times New Roman" w:cs="Times New Roman" w:eastAsia="Times New Roman" w:hAnsi="Times New Roman"/>
          <w:sz w:val="20"/>
          <w:szCs w:val="20"/>
          <w:u w:val="single" w:color="auto"/>
          <w:color w:val="00171E"/>
        </w:rPr>
      </w:pPr>
    </w:p>
    <w:p>
      <w:pPr>
        <w:jc w:val="both"/>
        <w:ind w:firstLine="2254"/>
        <w:spacing w:after="0" w:line="245" w:lineRule="auto"/>
        <w:tabs>
          <w:tab w:leader="none" w:pos="2546" w:val="left"/>
        </w:tabs>
        <w:numPr>
          <w:ilvl w:val="2"/>
          <w:numId w:val="70"/>
        </w:numPr>
        <w:rPr>
          <w:rFonts w:ascii="Times New Roman" w:cs="Times New Roman" w:eastAsia="Times New Roman" w:hAnsi="Times New Roman"/>
          <w:sz w:val="20"/>
          <w:szCs w:val="20"/>
          <w:color w:val="00171E"/>
        </w:rPr>
      </w:pPr>
      <w:r>
        <w:rPr>
          <w:rFonts w:ascii="Times New Roman" w:cs="Times New Roman" w:eastAsia="Times New Roman" w:hAnsi="Times New Roman"/>
          <w:sz w:val="20"/>
          <w:szCs w:val="20"/>
          <w:color w:val="00171E"/>
        </w:rPr>
        <w:t>Executive hereby agrees to disclose promptly to the Company (or any persons designated by it) all developments, designs, creations, improvements, original works of authorship, formulas, processes, know-how, techniques and/or inventions (collectively, the “</w:t>
      </w:r>
      <w:r>
        <w:rPr>
          <w:rFonts w:ascii="Times New Roman" w:cs="Times New Roman" w:eastAsia="Times New Roman" w:hAnsi="Times New Roman"/>
          <w:sz w:val="20"/>
          <w:szCs w:val="20"/>
          <w:u w:val="single" w:color="auto"/>
          <w:color w:val="00171E"/>
        </w:rPr>
        <w:t>Inventions</w:t>
      </w:r>
      <w:r>
        <w:rPr>
          <w:rFonts w:ascii="Times New Roman" w:cs="Times New Roman" w:eastAsia="Times New Roman" w:hAnsi="Times New Roman"/>
          <w:sz w:val="20"/>
          <w:szCs w:val="20"/>
          <w:color w:val="00171E"/>
        </w:rPr>
        <w:t>”) (A) which are made or conceived or reduced to practice by Executive, either alone or jointly with others, in performing his/her duties during the period of Executive’s employment by the Company, that relate to or are useful in the business of the Company; or (B) which result from tasks assigned to Executive by the Company, or from Executive’s use of the premises or other resources owned, leased or contracted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191770</wp:posOffset>
            </wp:positionV>
            <wp:extent cx="7132320" cy="171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93"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6"/>
          <w:szCs w:val="16"/>
          <w:b w:val="1"/>
          <w:bCs w:val="1"/>
          <w:color w:val="auto"/>
        </w:rPr>
        <w:t>E</w:t>
      </w:r>
      <w:r>
        <w:rPr>
          <w:rFonts w:ascii="Times New Roman" w:cs="Times New Roman" w:eastAsia="Times New Roman" w:hAnsi="Times New Roman"/>
          <w:sz w:val="10"/>
          <w:szCs w:val="10"/>
          <w:b w:val="1"/>
          <w:bCs w:val="1"/>
          <w:color w:val="auto"/>
        </w:rPr>
        <w:t>xecutive</w:t>
      </w:r>
      <w:r>
        <w:rPr>
          <w:rFonts w:ascii="Times New Roman" w:cs="Times New Roman" w:eastAsia="Times New Roman" w:hAnsi="Times New Roman"/>
          <w:sz w:val="16"/>
          <w:szCs w:val="16"/>
          <w:b w:val="1"/>
          <w:bCs w:val="1"/>
          <w:color w:val="auto"/>
        </w:rPr>
        <w:t xml:space="preserve"> E</w:t>
      </w:r>
      <w:r>
        <w:rPr>
          <w:rFonts w:ascii="Times New Roman" w:cs="Times New Roman" w:eastAsia="Times New Roman" w:hAnsi="Times New Roman"/>
          <w:sz w:val="10"/>
          <w:szCs w:val="10"/>
          <w:b w:val="1"/>
          <w:bCs w:val="1"/>
          <w:color w:val="auto"/>
        </w:rPr>
        <w:t>mployment</w:t>
      </w:r>
      <w:r>
        <w:rPr>
          <w:rFonts w:ascii="Times New Roman" w:cs="Times New Roman" w:eastAsia="Times New Roman" w:hAnsi="Times New Roman"/>
          <w:sz w:val="16"/>
          <w:szCs w:val="16"/>
          <w:b w:val="1"/>
          <w:bCs w:val="1"/>
          <w:color w:val="auto"/>
        </w:rPr>
        <w:t xml:space="preserve"> A</w:t>
      </w:r>
      <w:r>
        <w:rPr>
          <w:rFonts w:ascii="Times New Roman" w:cs="Times New Roman" w:eastAsia="Times New Roman" w:hAnsi="Times New Roman"/>
          <w:sz w:val="10"/>
          <w:szCs w:val="10"/>
          <w:b w:val="1"/>
          <w:bCs w:val="1"/>
          <w:color w:val="auto"/>
        </w:rPr>
        <w:t>gmt</w:t>
      </w:r>
      <w:r>
        <w:rPr>
          <w:rFonts w:ascii="Times New Roman" w:cs="Times New Roman" w:eastAsia="Times New Roman" w:hAnsi="Times New Roman"/>
          <w:sz w:val="16"/>
          <w:szCs w:val="16"/>
          <w:b w:val="1"/>
          <w:bCs w:val="1"/>
          <w:color w:val="auto"/>
        </w:rPr>
        <w:t xml:space="preserve"> S</w:t>
      </w:r>
      <w:r>
        <w:rPr>
          <w:rFonts w:ascii="Times New Roman" w:cs="Times New Roman" w:eastAsia="Times New Roman" w:hAnsi="Times New Roman"/>
          <w:sz w:val="10"/>
          <w:szCs w:val="10"/>
          <w:b w:val="1"/>
          <w:bCs w:val="1"/>
          <w:color w:val="auto"/>
        </w:rPr>
        <w:t>td</w:t>
      </w:r>
      <w:r>
        <w:rPr>
          <w:rFonts w:ascii="Times New Roman" w:cs="Times New Roman" w:eastAsia="Times New Roman" w:hAnsi="Times New Roman"/>
          <w:sz w:val="16"/>
          <w:szCs w:val="16"/>
          <w:b w:val="1"/>
          <w:bCs w:val="1"/>
          <w:color w:val="auto"/>
        </w:rPr>
        <w:t xml:space="preserve"> 11.1.24</w:t>
      </w:r>
      <w:r>
        <w:rPr>
          <w:sz w:val="20"/>
          <w:szCs w:val="20"/>
          <w:color w:val="auto"/>
        </w:rPr>
        <w:tab/>
      </w:r>
      <w:r>
        <w:rPr>
          <w:rFonts w:ascii="Times New Roman" w:cs="Times New Roman" w:eastAsia="Times New Roman" w:hAnsi="Times New Roman"/>
          <w:sz w:val="16"/>
          <w:szCs w:val="16"/>
          <w:b w:val="1"/>
          <w:bCs w:val="1"/>
          <w:color w:val="auto"/>
        </w:rPr>
        <w:t>A</w:t>
      </w:r>
      <w:r>
        <w:rPr>
          <w:rFonts w:ascii="Times New Roman" w:cs="Times New Roman" w:eastAsia="Times New Roman" w:hAnsi="Times New Roman"/>
          <w:sz w:val="10"/>
          <w:szCs w:val="10"/>
          <w:b w:val="1"/>
          <w:bCs w:val="1"/>
          <w:color w:val="auto"/>
        </w:rPr>
        <w:t>ccuray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9" w:name="page90"/>
    <w:bookmarkEnd w:id="89"/>
    <w:p>
      <w:pPr>
        <w:ind w:left="6560"/>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11</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NUMPAGES \* Arabic \* MERGEFORMAT 31</w:t>
      </w:r>
    </w:p>
    <w:p>
      <w:pPr>
        <w:spacing w:after="0" w:line="200" w:lineRule="exact"/>
        <w:rPr>
          <w:sz w:val="20"/>
          <w:szCs w:val="20"/>
          <w:color w:val="auto"/>
        </w:rPr>
      </w:pPr>
    </w:p>
    <w:p>
      <w:pPr>
        <w:spacing w:after="0" w:line="241" w:lineRule="exact"/>
        <w:rPr>
          <w:sz w:val="20"/>
          <w:szCs w:val="20"/>
          <w:color w:val="auto"/>
        </w:rPr>
      </w:pPr>
    </w:p>
    <w:p>
      <w:pPr>
        <w:jc w:val="both"/>
        <w:ind w:firstLine="2254"/>
        <w:spacing w:after="0" w:line="241" w:lineRule="auto"/>
        <w:tabs>
          <w:tab w:leader="none" w:pos="2546" w:val="left"/>
        </w:tabs>
        <w:numPr>
          <w:ilvl w:val="0"/>
          <w:numId w:val="71"/>
        </w:numPr>
        <w:rPr>
          <w:rFonts w:ascii="Times New Roman" w:cs="Times New Roman" w:eastAsia="Times New Roman" w:hAnsi="Times New Roman"/>
          <w:sz w:val="20"/>
          <w:szCs w:val="20"/>
          <w:color w:val="00171E"/>
        </w:rPr>
      </w:pPr>
      <w:r>
        <w:rPr>
          <w:rFonts w:ascii="Times New Roman" w:cs="Times New Roman" w:eastAsia="Times New Roman" w:hAnsi="Times New Roman"/>
          <w:sz w:val="20"/>
          <w:szCs w:val="20"/>
          <w:color w:val="00171E"/>
        </w:rPr>
        <w:t xml:space="preserve">Executive agrees that all such Inventions which the Company in its discretion determines to be related to or useful in its business or its research or development, or which result from work performed by Executive for the Company, will be the sole and exclusive property of the Company and its assigns, and the Company and its assigns will have the right to use and/or to apply for patents, copyrights or other statutory or common law protections for such Inventions in any and all countries. Executive further agrees to assist the Company in every reasonable way (but at the Company’s expense) to obtain and from time to time enforce patents, copyrights and other statutory or common law protections for such Inventions in any and all countries. To that end, Executive will execute all documents for use in applying for and obtaining such patents, copyrights and other statutory or common law protections therefor and enforcing the same, as the Company may desire, together with any assignments thereof to the Company or to persons or entities designated by the Company. Should the Company be unable to secure Executive’s signature on any document necessary to apply for, prosecute, obtain, or enforce any patent, copyright or other right or protection relating to any Invention, whether due to his/her mental or physical incapacity or any other cause, Executive hereby irrevocably designates and appoints the Company and each of its duly authorized officers and agents as Executive’s agent and attorney-in-fact, to act for and in his/her behalf and stead, to execute and file any such document, and to do all other lawfully permitted acts to further the prosecution, issuance, and enforcement of patents, copyrights or other rights or protections with the same force and effect as if executed and delivered by Executive. Executive’s obligations under this </w:t>
      </w:r>
      <w:r>
        <w:rPr>
          <w:rFonts w:ascii="Times New Roman" w:cs="Times New Roman" w:eastAsia="Times New Roman" w:hAnsi="Times New Roman"/>
          <w:sz w:val="20"/>
          <w:szCs w:val="20"/>
          <w:u w:val="single" w:color="auto"/>
          <w:color w:val="00171E"/>
        </w:rPr>
        <w:t>Section 6(b)(ii)</w:t>
      </w:r>
      <w:r>
        <w:rPr>
          <w:rFonts w:ascii="Times New Roman" w:cs="Times New Roman" w:eastAsia="Times New Roman" w:hAnsi="Times New Roman"/>
          <w:sz w:val="20"/>
          <w:szCs w:val="20"/>
          <w:color w:val="00171E"/>
        </w:rPr>
        <w:t xml:space="preserve"> will continue beyond the termination of Executive’s employment with the Company, but the Company will compensate Executive at a reasonable rate after such termination for time actually spent by Executive at the Company’s request in providing such assistance.</w:t>
      </w:r>
    </w:p>
    <w:p>
      <w:pPr>
        <w:spacing w:after="0" w:line="193" w:lineRule="exact"/>
        <w:rPr>
          <w:sz w:val="20"/>
          <w:szCs w:val="20"/>
          <w:color w:val="auto"/>
        </w:rPr>
      </w:pPr>
    </w:p>
    <w:p>
      <w:pPr>
        <w:jc w:val="both"/>
        <w:ind w:firstLine="2246"/>
        <w:spacing w:after="0" w:line="254" w:lineRule="auto"/>
        <w:rPr>
          <w:sz w:val="20"/>
          <w:szCs w:val="20"/>
          <w:color w:val="auto"/>
        </w:rPr>
      </w:pPr>
      <w:r>
        <w:rPr>
          <w:rFonts w:ascii="Times New Roman" w:cs="Times New Roman" w:eastAsia="Times New Roman" w:hAnsi="Times New Roman"/>
          <w:sz w:val="20"/>
          <w:szCs w:val="20"/>
          <w:color w:val="00171E"/>
        </w:rPr>
        <w:t>(iii)Executive hereby acknowledges that all original works of authorship which are made by Executive (solely or jointly with others) within the scope of Executive’s employment which are protectable by copyright are “works for hire,” as that term is defined in the United States Copyright Act (17 USCA, Section 101).</w:t>
      </w:r>
    </w:p>
    <w:p>
      <w:pPr>
        <w:spacing w:after="0" w:line="17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00171E"/>
        </w:rPr>
        <w:t>(iv)Any provision in this Agreement requiring Executive to assign Executive’s rights in any Invention to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171E"/>
        </w:rPr>
        <w:t>Company will not apply to any invention that is exempt under the provisions of California Labor Code section 2870, which provides:</w:t>
      </w:r>
    </w:p>
    <w:p>
      <w:pPr>
        <w:spacing w:after="0" w:line="86" w:lineRule="exact"/>
        <w:rPr>
          <w:sz w:val="20"/>
          <w:szCs w:val="20"/>
          <w:color w:val="auto"/>
        </w:rPr>
      </w:pPr>
    </w:p>
    <w:p>
      <w:pPr>
        <w:jc w:val="both"/>
        <w:ind w:left="1500" w:right="1500"/>
        <w:spacing w:after="0" w:line="242" w:lineRule="auto"/>
        <w:rPr>
          <w:sz w:val="20"/>
          <w:szCs w:val="20"/>
          <w:color w:val="auto"/>
        </w:rPr>
      </w:pPr>
      <w:r>
        <w:rPr>
          <w:rFonts w:ascii="Times New Roman" w:cs="Times New Roman" w:eastAsia="Times New Roman" w:hAnsi="Times New Roman"/>
          <w:sz w:val="20"/>
          <w:szCs w:val="20"/>
          <w:color w:val="00171E"/>
        </w:rPr>
        <w:t>“(a) Any provision in an employment agreement which provides that an employee shall assign, or offer to assign, any of his or her rights in an invention to his or her employer shall not apply to an invention that the employee developed entirely on his or her own time without using the employer’s equipment, supplies, facilities, or trade secret information except for those inventions that either: (1) relate at the time of conception or reduction to practice of the invention to the employer’s business, or actual or demonstrably anticipated research or development of the employer; or (2) result from any work performed by the employee for the employer. (b) To the extent a provision in an employment agreement purports to require an employee to assign an invention otherwise excluded from being required to be assigned under subdivision (a), the provision is against the public policy of this state and is unenforceable.”</w:t>
      </w:r>
    </w:p>
    <w:p>
      <w:pPr>
        <w:spacing w:after="0" w:line="84" w:lineRule="exact"/>
        <w:rPr>
          <w:sz w:val="20"/>
          <w:szCs w:val="20"/>
          <w:color w:val="auto"/>
        </w:rPr>
      </w:pPr>
    </w:p>
    <w:p>
      <w:pPr>
        <w:jc w:val="both"/>
        <w:ind w:firstLine="1505"/>
        <w:spacing w:after="0" w:line="245" w:lineRule="auto"/>
        <w:tabs>
          <w:tab w:leader="none" w:pos="2036" w:val="left"/>
        </w:tabs>
        <w:numPr>
          <w:ilvl w:val="0"/>
          <w:numId w:val="72"/>
        </w:numPr>
        <w:rPr>
          <w:rFonts w:ascii="Times New Roman" w:cs="Times New Roman" w:eastAsia="Times New Roman" w:hAnsi="Times New Roman"/>
          <w:sz w:val="20"/>
          <w:szCs w:val="20"/>
          <w:u w:val="single" w:color="auto"/>
          <w:color w:val="00171E"/>
        </w:rPr>
      </w:pPr>
      <w:r>
        <w:rPr>
          <w:rFonts w:ascii="Times New Roman" w:cs="Times New Roman" w:eastAsia="Times New Roman" w:hAnsi="Times New Roman"/>
          <w:sz w:val="20"/>
          <w:szCs w:val="20"/>
          <w:u w:val="single" w:color="auto"/>
          <w:color w:val="00171E"/>
        </w:rPr>
        <w:t>Non-Solicitation of Customers and Other Business Partners</w:t>
      </w:r>
      <w:r>
        <w:rPr>
          <w:rFonts w:ascii="Times New Roman" w:cs="Times New Roman" w:eastAsia="Times New Roman" w:hAnsi="Times New Roman"/>
          <w:sz w:val="20"/>
          <w:szCs w:val="20"/>
          <w:color w:val="00171E"/>
        </w:rPr>
        <w:t>. Executive recognizes that by virtue of his/her employment with the Company, he/she will be introduced to and involved in the solicitation and servicing of existing customers and other business partners of the Company and new customers and business partners obtained by the Company during his/her employment. Executive understands and agrees that all efforts expended in soliciting and servicing such customers and business partners shall be for the benefit of the Company. Executive further agrees that during his/her employment with the Company he/she will not engage in any conduct which could in any way jeopardize or disturb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191770</wp:posOffset>
            </wp:positionV>
            <wp:extent cx="7132320" cy="171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93"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6"/>
          <w:szCs w:val="16"/>
          <w:b w:val="1"/>
          <w:bCs w:val="1"/>
          <w:color w:val="auto"/>
        </w:rPr>
        <w:t>E</w:t>
      </w:r>
      <w:r>
        <w:rPr>
          <w:rFonts w:ascii="Times New Roman" w:cs="Times New Roman" w:eastAsia="Times New Roman" w:hAnsi="Times New Roman"/>
          <w:sz w:val="10"/>
          <w:szCs w:val="10"/>
          <w:b w:val="1"/>
          <w:bCs w:val="1"/>
          <w:color w:val="auto"/>
        </w:rPr>
        <w:t>xecutive</w:t>
      </w:r>
      <w:r>
        <w:rPr>
          <w:rFonts w:ascii="Times New Roman" w:cs="Times New Roman" w:eastAsia="Times New Roman" w:hAnsi="Times New Roman"/>
          <w:sz w:val="16"/>
          <w:szCs w:val="16"/>
          <w:b w:val="1"/>
          <w:bCs w:val="1"/>
          <w:color w:val="auto"/>
        </w:rPr>
        <w:t xml:space="preserve"> E</w:t>
      </w:r>
      <w:r>
        <w:rPr>
          <w:rFonts w:ascii="Times New Roman" w:cs="Times New Roman" w:eastAsia="Times New Roman" w:hAnsi="Times New Roman"/>
          <w:sz w:val="10"/>
          <w:szCs w:val="10"/>
          <w:b w:val="1"/>
          <w:bCs w:val="1"/>
          <w:color w:val="auto"/>
        </w:rPr>
        <w:t>mployment</w:t>
      </w:r>
      <w:r>
        <w:rPr>
          <w:rFonts w:ascii="Times New Roman" w:cs="Times New Roman" w:eastAsia="Times New Roman" w:hAnsi="Times New Roman"/>
          <w:sz w:val="16"/>
          <w:szCs w:val="16"/>
          <w:b w:val="1"/>
          <w:bCs w:val="1"/>
          <w:color w:val="auto"/>
        </w:rPr>
        <w:t xml:space="preserve"> A</w:t>
      </w:r>
      <w:r>
        <w:rPr>
          <w:rFonts w:ascii="Times New Roman" w:cs="Times New Roman" w:eastAsia="Times New Roman" w:hAnsi="Times New Roman"/>
          <w:sz w:val="10"/>
          <w:szCs w:val="10"/>
          <w:b w:val="1"/>
          <w:bCs w:val="1"/>
          <w:color w:val="auto"/>
        </w:rPr>
        <w:t>gmt</w:t>
      </w:r>
      <w:r>
        <w:rPr>
          <w:rFonts w:ascii="Times New Roman" w:cs="Times New Roman" w:eastAsia="Times New Roman" w:hAnsi="Times New Roman"/>
          <w:sz w:val="16"/>
          <w:szCs w:val="16"/>
          <w:b w:val="1"/>
          <w:bCs w:val="1"/>
          <w:color w:val="auto"/>
        </w:rPr>
        <w:t xml:space="preserve"> S</w:t>
      </w:r>
      <w:r>
        <w:rPr>
          <w:rFonts w:ascii="Times New Roman" w:cs="Times New Roman" w:eastAsia="Times New Roman" w:hAnsi="Times New Roman"/>
          <w:sz w:val="10"/>
          <w:szCs w:val="10"/>
          <w:b w:val="1"/>
          <w:bCs w:val="1"/>
          <w:color w:val="auto"/>
        </w:rPr>
        <w:t>td</w:t>
      </w:r>
      <w:r>
        <w:rPr>
          <w:rFonts w:ascii="Times New Roman" w:cs="Times New Roman" w:eastAsia="Times New Roman" w:hAnsi="Times New Roman"/>
          <w:sz w:val="16"/>
          <w:szCs w:val="16"/>
          <w:b w:val="1"/>
          <w:bCs w:val="1"/>
          <w:color w:val="auto"/>
        </w:rPr>
        <w:t xml:space="preserve"> 11.1.24</w:t>
      </w:r>
      <w:r>
        <w:rPr>
          <w:sz w:val="20"/>
          <w:szCs w:val="20"/>
          <w:color w:val="auto"/>
        </w:rPr>
        <w:tab/>
      </w:r>
      <w:r>
        <w:rPr>
          <w:rFonts w:ascii="Times New Roman" w:cs="Times New Roman" w:eastAsia="Times New Roman" w:hAnsi="Times New Roman"/>
          <w:sz w:val="16"/>
          <w:szCs w:val="16"/>
          <w:b w:val="1"/>
          <w:bCs w:val="1"/>
          <w:color w:val="auto"/>
        </w:rPr>
        <w:t>A</w:t>
      </w:r>
      <w:r>
        <w:rPr>
          <w:rFonts w:ascii="Times New Roman" w:cs="Times New Roman" w:eastAsia="Times New Roman" w:hAnsi="Times New Roman"/>
          <w:sz w:val="10"/>
          <w:szCs w:val="10"/>
          <w:b w:val="1"/>
          <w:bCs w:val="1"/>
          <w:color w:val="auto"/>
        </w:rPr>
        <w:t>ccuray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12</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NUMPAGES \* Arabic \* MERGEFORMAT 31</w:t>
      </w:r>
    </w:p>
    <w:p>
      <w:pPr>
        <w:spacing w:after="0" w:line="200" w:lineRule="exact"/>
        <w:rPr>
          <w:sz w:val="20"/>
          <w:szCs w:val="20"/>
          <w:color w:val="auto"/>
        </w:rPr>
      </w:pPr>
    </w:p>
    <w:p>
      <w:pPr>
        <w:spacing w:after="0" w:line="24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00171E"/>
        </w:rPr>
        <w:t xml:space="preserve">of the customer and business partner relationships of the Company. In addition, to the extent permitted under applicable law, Executive agrees that, for a period beginning on the Effective Date and ending twelve (12) months after termination of Executive’s employment with the Company, regardless of the reason for such termination, Executive </w:t>
      </w:r>
      <w:r>
        <w:rPr>
          <w:rFonts w:ascii="Times New Roman" w:cs="Times New Roman" w:eastAsia="Times New Roman" w:hAnsi="Times New Roman"/>
          <w:sz w:val="20"/>
          <w:szCs w:val="20"/>
          <w:b w:val="1"/>
          <w:bCs w:val="1"/>
          <w:color w:val="00171E"/>
        </w:rPr>
        <w:t>shall not use any Proprietary Information to</w:t>
      </w:r>
      <w:r>
        <w:rPr>
          <w:rFonts w:ascii="Times New Roman" w:cs="Times New Roman" w:eastAsia="Times New Roman" w:hAnsi="Times New Roman"/>
          <w:sz w:val="20"/>
          <w:szCs w:val="20"/>
          <w:color w:val="00171E"/>
        </w:rPr>
        <w:t>, directly or indirectly, solicit, direct, interfere with, or entice away from the Company any existing customer, licensee, licensor, vendor, contractor or distributor of the Company or for the customer or other business partner to expand its business with a competitor, without the prior written consent of the Board.</w:t>
      </w:r>
    </w:p>
    <w:p>
      <w:pPr>
        <w:spacing w:after="0" w:line="184" w:lineRule="exact"/>
        <w:rPr>
          <w:sz w:val="20"/>
          <w:szCs w:val="20"/>
          <w:color w:val="auto"/>
        </w:rPr>
      </w:pPr>
    </w:p>
    <w:p>
      <w:pPr>
        <w:jc w:val="both"/>
        <w:ind w:firstLine="1505"/>
        <w:spacing w:after="0" w:line="244" w:lineRule="auto"/>
        <w:tabs>
          <w:tab w:leader="none" w:pos="2036" w:val="left"/>
        </w:tabs>
        <w:numPr>
          <w:ilvl w:val="0"/>
          <w:numId w:val="73"/>
        </w:numPr>
        <w:rPr>
          <w:rFonts w:ascii="Times New Roman" w:cs="Times New Roman" w:eastAsia="Times New Roman" w:hAnsi="Times New Roman"/>
          <w:sz w:val="20"/>
          <w:szCs w:val="20"/>
          <w:u w:val="single" w:color="auto"/>
          <w:color w:val="00171E"/>
        </w:rPr>
      </w:pPr>
      <w:r>
        <w:rPr>
          <w:rFonts w:ascii="Times New Roman" w:cs="Times New Roman" w:eastAsia="Times New Roman" w:hAnsi="Times New Roman"/>
          <w:sz w:val="20"/>
          <w:szCs w:val="20"/>
          <w:u w:val="single" w:color="auto"/>
          <w:color w:val="00171E"/>
        </w:rPr>
        <w:t>Non-Solicitation of Employees</w:t>
      </w:r>
      <w:r>
        <w:rPr>
          <w:rFonts w:ascii="Times New Roman" w:cs="Times New Roman" w:eastAsia="Times New Roman" w:hAnsi="Times New Roman"/>
          <w:sz w:val="20"/>
          <w:szCs w:val="20"/>
          <w:color w:val="00171E"/>
        </w:rPr>
        <w:t xml:space="preserve">. Executive recognizes the substantial expenditure of time and effort which the Company devotes to the recruitment, hiring, orientation, training and retention of its employees. Accordingly, Executive agrees that, for a period beginning on the Effective Date and ending twelve (12) months after termination of Executive’s employment with the Company, regardless of the reason for such termination, Executive </w:t>
      </w:r>
      <w:r>
        <w:rPr>
          <w:rFonts w:ascii="Times New Roman" w:cs="Times New Roman" w:eastAsia="Times New Roman" w:hAnsi="Times New Roman"/>
          <w:sz w:val="20"/>
          <w:szCs w:val="20"/>
          <w:b w:val="1"/>
          <w:bCs w:val="1"/>
          <w:color w:val="00171E"/>
        </w:rPr>
        <w:t>shall not use any Proprietary Information to</w:t>
      </w:r>
      <w:r>
        <w:rPr>
          <w:rFonts w:ascii="Times New Roman" w:cs="Times New Roman" w:eastAsia="Times New Roman" w:hAnsi="Times New Roman"/>
          <w:sz w:val="20"/>
          <w:szCs w:val="20"/>
          <w:color w:val="00171E"/>
        </w:rPr>
        <w:t>, directly or indirectly, for himself or on behalf of any other person or entity, solicit, offer employment to, hire or otherwise retain the services of any employee of the Company in a position classified as exempt from overtime pay requirements. For purposes of the foregoing, “employee of the Company” shall include any person who was an employee of the Company at any time within six (6) months prior to the prohibited conduct.</w:t>
      </w:r>
    </w:p>
    <w:p>
      <w:pPr>
        <w:spacing w:after="0" w:line="185" w:lineRule="exact"/>
        <w:rPr>
          <w:rFonts w:ascii="Times New Roman" w:cs="Times New Roman" w:eastAsia="Times New Roman" w:hAnsi="Times New Roman"/>
          <w:sz w:val="20"/>
          <w:szCs w:val="20"/>
          <w:u w:val="single" w:color="auto"/>
          <w:color w:val="00171E"/>
        </w:rPr>
      </w:pPr>
    </w:p>
    <w:p>
      <w:pPr>
        <w:ind w:left="2040" w:hanging="535"/>
        <w:spacing w:after="0"/>
        <w:tabs>
          <w:tab w:leader="none" w:pos="2040" w:val="left"/>
        </w:tabs>
        <w:numPr>
          <w:ilvl w:val="0"/>
          <w:numId w:val="73"/>
        </w:numPr>
        <w:rPr>
          <w:rFonts w:ascii="Times New Roman" w:cs="Times New Roman" w:eastAsia="Times New Roman" w:hAnsi="Times New Roman"/>
          <w:sz w:val="20"/>
          <w:szCs w:val="20"/>
          <w:u w:val="single" w:color="auto"/>
          <w:color w:val="00171E"/>
        </w:rPr>
      </w:pPr>
      <w:r>
        <w:rPr>
          <w:rFonts w:ascii="Times New Roman" w:cs="Times New Roman" w:eastAsia="Times New Roman" w:hAnsi="Times New Roman"/>
          <w:sz w:val="20"/>
          <w:szCs w:val="20"/>
          <w:u w:val="single" w:color="auto"/>
          <w:color w:val="00171E"/>
        </w:rPr>
        <w:t>Company Property and Materials</w:t>
      </w:r>
      <w:r>
        <w:rPr>
          <w:rFonts w:ascii="Times New Roman" w:cs="Times New Roman" w:eastAsia="Times New Roman" w:hAnsi="Times New Roman"/>
          <w:sz w:val="20"/>
          <w:szCs w:val="20"/>
          <w:color w:val="00171E"/>
        </w:rPr>
        <w:t>.</w:t>
      </w:r>
    </w:p>
    <w:p>
      <w:pPr>
        <w:spacing w:after="0" w:line="215" w:lineRule="exact"/>
        <w:rPr>
          <w:rFonts w:ascii="Times New Roman" w:cs="Times New Roman" w:eastAsia="Times New Roman" w:hAnsi="Times New Roman"/>
          <w:sz w:val="20"/>
          <w:szCs w:val="20"/>
          <w:u w:val="single" w:color="auto"/>
          <w:color w:val="00171E"/>
        </w:rPr>
      </w:pPr>
    </w:p>
    <w:p>
      <w:pPr>
        <w:jc w:val="both"/>
        <w:ind w:firstLine="2254"/>
        <w:spacing w:after="0" w:line="249" w:lineRule="auto"/>
        <w:tabs>
          <w:tab w:leader="none" w:pos="2546" w:val="left"/>
        </w:tabs>
        <w:numPr>
          <w:ilvl w:val="1"/>
          <w:numId w:val="73"/>
        </w:numPr>
        <w:rPr>
          <w:rFonts w:ascii="Times New Roman" w:cs="Times New Roman" w:eastAsia="Times New Roman" w:hAnsi="Times New Roman"/>
          <w:sz w:val="20"/>
          <w:szCs w:val="20"/>
          <w:color w:val="00171E"/>
        </w:rPr>
      </w:pPr>
      <w:r>
        <w:rPr>
          <w:rFonts w:ascii="Times New Roman" w:cs="Times New Roman" w:eastAsia="Times New Roman" w:hAnsi="Times New Roman"/>
          <w:sz w:val="20"/>
          <w:szCs w:val="20"/>
          <w:color w:val="00171E"/>
        </w:rPr>
        <w:t>All files, records, documents, computer-recorded or electronic information, drawings, specifications, equipment, and similar items relating to Company business, whether prepared by Executive or otherwise coming into his/her possession, will remain the Company’s exclusive property and will not be removed from Company premises under any circumstances whatsoever without the Company’s prior written consent, except when, and only for the period, necessary to carry out Executive’s duties hereunder</w:t>
      </w:r>
    </w:p>
    <w:p>
      <w:pPr>
        <w:spacing w:after="0" w:line="179" w:lineRule="exact"/>
        <w:rPr>
          <w:rFonts w:ascii="Times New Roman" w:cs="Times New Roman" w:eastAsia="Times New Roman" w:hAnsi="Times New Roman"/>
          <w:sz w:val="20"/>
          <w:szCs w:val="20"/>
          <w:color w:val="00171E"/>
        </w:rPr>
      </w:pPr>
    </w:p>
    <w:p>
      <w:pPr>
        <w:jc w:val="both"/>
        <w:ind w:firstLine="2254"/>
        <w:spacing w:after="0" w:line="243" w:lineRule="auto"/>
        <w:tabs>
          <w:tab w:leader="none" w:pos="2546" w:val="left"/>
        </w:tabs>
        <w:numPr>
          <w:ilvl w:val="1"/>
          <w:numId w:val="73"/>
        </w:numPr>
        <w:rPr>
          <w:rFonts w:ascii="Times New Roman" w:cs="Times New Roman" w:eastAsia="Times New Roman" w:hAnsi="Times New Roman"/>
          <w:sz w:val="20"/>
          <w:szCs w:val="20"/>
          <w:color w:val="00171E"/>
        </w:rPr>
      </w:pPr>
      <w:r>
        <w:rPr>
          <w:rFonts w:ascii="Times New Roman" w:cs="Times New Roman" w:eastAsia="Times New Roman" w:hAnsi="Times New Roman"/>
          <w:sz w:val="20"/>
          <w:szCs w:val="20"/>
          <w:color w:val="00171E"/>
        </w:rPr>
        <w:t>In the event of termination of Executive’s employment for any reason, Executive will promptly deliver to the Company all Company equipment (including, without limitation, any cellular phones, beeper/pagers, computer hardware and software, fax machines and other tools of the trade) and all originals and copies of all documents, including without limitation, all books, customer lists, forms, documents supplied by customers, records, product lists, writings, manuals, reports, financial documents and other documents or property in Executive’s possession or control, which relate to the Company’s business in any way whatsoever, and in particular to customers of the Company, or which may be considered to constitute or contain Proprietary Information as defined above, and Executive will neither retain, reproduce, nor distribute copies thereof (other than copies of Executive’s electronic or hardcopy address and telephone contact data base or directories). Notwithstanding the foregoing, Executive shall be allowed to retain a copy of the Employee Handbook and personnel records relating to Executive’s employment.</w:t>
      </w:r>
    </w:p>
    <w:p>
      <w:pPr>
        <w:spacing w:after="0" w:line="185" w:lineRule="exact"/>
        <w:rPr>
          <w:rFonts w:ascii="Times New Roman" w:cs="Times New Roman" w:eastAsia="Times New Roman" w:hAnsi="Times New Roman"/>
          <w:sz w:val="20"/>
          <w:szCs w:val="20"/>
          <w:color w:val="00171E"/>
        </w:rPr>
      </w:pPr>
    </w:p>
    <w:p>
      <w:pPr>
        <w:jc w:val="both"/>
        <w:ind w:firstLine="1505"/>
        <w:spacing w:after="0" w:line="243" w:lineRule="auto"/>
        <w:tabs>
          <w:tab w:leader="none" w:pos="2036" w:val="left"/>
        </w:tabs>
        <w:numPr>
          <w:ilvl w:val="0"/>
          <w:numId w:val="73"/>
        </w:numPr>
        <w:rPr>
          <w:rFonts w:ascii="Times New Roman" w:cs="Times New Roman" w:eastAsia="Times New Roman" w:hAnsi="Times New Roman"/>
          <w:sz w:val="20"/>
          <w:szCs w:val="20"/>
          <w:u w:val="single" w:color="auto"/>
          <w:color w:val="00171E"/>
        </w:rPr>
      </w:pPr>
      <w:r>
        <w:rPr>
          <w:rFonts w:ascii="Times New Roman" w:cs="Times New Roman" w:eastAsia="Times New Roman" w:hAnsi="Times New Roman"/>
          <w:sz w:val="20"/>
          <w:szCs w:val="20"/>
          <w:u w:val="single" w:color="auto"/>
          <w:color w:val="00171E"/>
        </w:rPr>
        <w:t>Remedies for Breach</w:t>
      </w:r>
      <w:r>
        <w:rPr>
          <w:rFonts w:ascii="Times New Roman" w:cs="Times New Roman" w:eastAsia="Times New Roman" w:hAnsi="Times New Roman"/>
          <w:sz w:val="20"/>
          <w:szCs w:val="20"/>
          <w:color w:val="00171E"/>
        </w:rPr>
        <w:t xml:space="preserve">. Executive acknowledges that any breach by Executive of this </w:t>
      </w:r>
      <w:r>
        <w:rPr>
          <w:rFonts w:ascii="Times New Roman" w:cs="Times New Roman" w:eastAsia="Times New Roman" w:hAnsi="Times New Roman"/>
          <w:sz w:val="20"/>
          <w:szCs w:val="20"/>
          <w:u w:val="single" w:color="auto"/>
          <w:color w:val="00171E"/>
        </w:rPr>
        <w:t>Section 6</w:t>
      </w:r>
      <w:r>
        <w:rPr>
          <w:rFonts w:ascii="Times New Roman" w:cs="Times New Roman" w:eastAsia="Times New Roman" w:hAnsi="Times New Roman"/>
          <w:sz w:val="20"/>
          <w:szCs w:val="20"/>
          <w:color w:val="00171E"/>
        </w:rPr>
        <w:t xml:space="preserve"> would cause the Company irreparable injury and damage for which monetary damages are inadequate. Accordingly, in the event of a breach or a threatened breach of this </w:t>
      </w:r>
      <w:r>
        <w:rPr>
          <w:rFonts w:ascii="Times New Roman" w:cs="Times New Roman" w:eastAsia="Times New Roman" w:hAnsi="Times New Roman"/>
          <w:sz w:val="20"/>
          <w:szCs w:val="20"/>
          <w:u w:val="single" w:color="auto"/>
          <w:color w:val="00171E"/>
        </w:rPr>
        <w:t>Section 6</w:t>
      </w:r>
      <w:r>
        <w:rPr>
          <w:rFonts w:ascii="Times New Roman" w:cs="Times New Roman" w:eastAsia="Times New Roman" w:hAnsi="Times New Roman"/>
          <w:sz w:val="20"/>
          <w:szCs w:val="20"/>
          <w:color w:val="00171E"/>
        </w:rPr>
        <w:t xml:space="preserve">, the Company will be entitled to seek an injunction restraining such breach. In addition, in the event of a breach of this </w:t>
      </w:r>
      <w:r>
        <w:rPr>
          <w:rFonts w:ascii="Times New Roman" w:cs="Times New Roman" w:eastAsia="Times New Roman" w:hAnsi="Times New Roman"/>
          <w:sz w:val="20"/>
          <w:szCs w:val="20"/>
          <w:u w:val="single" w:color="auto"/>
          <w:color w:val="00171E"/>
        </w:rPr>
        <w:t>Section 6</w:t>
      </w:r>
      <w:r>
        <w:rPr>
          <w:rFonts w:ascii="Times New Roman" w:cs="Times New Roman" w:eastAsia="Times New Roman" w:hAnsi="Times New Roman"/>
          <w:sz w:val="20"/>
          <w:szCs w:val="20"/>
          <w:color w:val="00171E"/>
        </w:rPr>
        <w:t>, the Company’s obligation to pay any unpaid portion of the Severance Benefits, the Enhanced Severance Benefits, or the Termination Notice Replacement Payments of this Agreement will be extinguished. Nothing contained herein will be construed as prohibiting the Company from pursuing any other remedy available to the Company for such breach or such threatened breach. Executive has carefully read and considered these restrictions and agrees they are fair and reasonable restrictions on Executive and are reasonably required for the protection of the interests of the Company. Executive agrees not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171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98"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6"/>
          <w:szCs w:val="16"/>
          <w:b w:val="1"/>
          <w:bCs w:val="1"/>
          <w:color w:val="auto"/>
        </w:rPr>
        <w:t>E</w:t>
      </w:r>
      <w:r>
        <w:rPr>
          <w:rFonts w:ascii="Times New Roman" w:cs="Times New Roman" w:eastAsia="Times New Roman" w:hAnsi="Times New Roman"/>
          <w:sz w:val="10"/>
          <w:szCs w:val="10"/>
          <w:b w:val="1"/>
          <w:bCs w:val="1"/>
          <w:color w:val="auto"/>
        </w:rPr>
        <w:t>xecutive</w:t>
      </w:r>
      <w:r>
        <w:rPr>
          <w:rFonts w:ascii="Times New Roman" w:cs="Times New Roman" w:eastAsia="Times New Roman" w:hAnsi="Times New Roman"/>
          <w:sz w:val="16"/>
          <w:szCs w:val="16"/>
          <w:b w:val="1"/>
          <w:bCs w:val="1"/>
          <w:color w:val="auto"/>
        </w:rPr>
        <w:t xml:space="preserve"> E</w:t>
      </w:r>
      <w:r>
        <w:rPr>
          <w:rFonts w:ascii="Times New Roman" w:cs="Times New Roman" w:eastAsia="Times New Roman" w:hAnsi="Times New Roman"/>
          <w:sz w:val="10"/>
          <w:szCs w:val="10"/>
          <w:b w:val="1"/>
          <w:bCs w:val="1"/>
          <w:color w:val="auto"/>
        </w:rPr>
        <w:t>mployment</w:t>
      </w:r>
      <w:r>
        <w:rPr>
          <w:rFonts w:ascii="Times New Roman" w:cs="Times New Roman" w:eastAsia="Times New Roman" w:hAnsi="Times New Roman"/>
          <w:sz w:val="16"/>
          <w:szCs w:val="16"/>
          <w:b w:val="1"/>
          <w:bCs w:val="1"/>
          <w:color w:val="auto"/>
        </w:rPr>
        <w:t xml:space="preserve"> A</w:t>
      </w:r>
      <w:r>
        <w:rPr>
          <w:rFonts w:ascii="Times New Roman" w:cs="Times New Roman" w:eastAsia="Times New Roman" w:hAnsi="Times New Roman"/>
          <w:sz w:val="10"/>
          <w:szCs w:val="10"/>
          <w:b w:val="1"/>
          <w:bCs w:val="1"/>
          <w:color w:val="auto"/>
        </w:rPr>
        <w:t>gmt</w:t>
      </w:r>
      <w:r>
        <w:rPr>
          <w:rFonts w:ascii="Times New Roman" w:cs="Times New Roman" w:eastAsia="Times New Roman" w:hAnsi="Times New Roman"/>
          <w:sz w:val="16"/>
          <w:szCs w:val="16"/>
          <w:b w:val="1"/>
          <w:bCs w:val="1"/>
          <w:color w:val="auto"/>
        </w:rPr>
        <w:t xml:space="preserve"> S</w:t>
      </w:r>
      <w:r>
        <w:rPr>
          <w:rFonts w:ascii="Times New Roman" w:cs="Times New Roman" w:eastAsia="Times New Roman" w:hAnsi="Times New Roman"/>
          <w:sz w:val="10"/>
          <w:szCs w:val="10"/>
          <w:b w:val="1"/>
          <w:bCs w:val="1"/>
          <w:color w:val="auto"/>
        </w:rPr>
        <w:t>td</w:t>
      </w:r>
      <w:r>
        <w:rPr>
          <w:rFonts w:ascii="Times New Roman" w:cs="Times New Roman" w:eastAsia="Times New Roman" w:hAnsi="Times New Roman"/>
          <w:sz w:val="16"/>
          <w:szCs w:val="16"/>
          <w:b w:val="1"/>
          <w:bCs w:val="1"/>
          <w:color w:val="auto"/>
        </w:rPr>
        <w:t xml:space="preserve"> 11.1.24</w:t>
      </w:r>
      <w:r>
        <w:rPr>
          <w:sz w:val="20"/>
          <w:szCs w:val="20"/>
          <w:color w:val="auto"/>
        </w:rPr>
        <w:tab/>
      </w:r>
      <w:r>
        <w:rPr>
          <w:rFonts w:ascii="Times New Roman" w:cs="Times New Roman" w:eastAsia="Times New Roman" w:hAnsi="Times New Roman"/>
          <w:sz w:val="16"/>
          <w:szCs w:val="16"/>
          <w:b w:val="1"/>
          <w:bCs w:val="1"/>
          <w:color w:val="auto"/>
        </w:rPr>
        <w:t>A</w:t>
      </w:r>
      <w:r>
        <w:rPr>
          <w:rFonts w:ascii="Times New Roman" w:cs="Times New Roman" w:eastAsia="Times New Roman" w:hAnsi="Times New Roman"/>
          <w:sz w:val="10"/>
          <w:szCs w:val="10"/>
          <w:b w:val="1"/>
          <w:bCs w:val="1"/>
          <w:color w:val="auto"/>
        </w:rPr>
        <w:t>ccuray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13</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NUMPAGES \* Arabic \* MERGEFORMAT 31</w:t>
      </w:r>
    </w:p>
    <w:p>
      <w:pPr>
        <w:spacing w:after="0" w:line="200" w:lineRule="exact"/>
        <w:rPr>
          <w:sz w:val="20"/>
          <w:szCs w:val="20"/>
          <w:color w:val="auto"/>
        </w:rPr>
      </w:pPr>
    </w:p>
    <w:p>
      <w:pPr>
        <w:spacing w:after="0" w:line="24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00171E"/>
        </w:rPr>
        <w:t xml:space="preserve">circumvent the spirit of these restrictions by attempting to accomplish indirectly what Executive is otherwise restricted from doing directly. Executive agrees that the restrictions in this </w:t>
      </w:r>
      <w:r>
        <w:rPr>
          <w:rFonts w:ascii="Times New Roman" w:cs="Times New Roman" w:eastAsia="Times New Roman" w:hAnsi="Times New Roman"/>
          <w:sz w:val="20"/>
          <w:szCs w:val="20"/>
          <w:u w:val="single" w:color="auto"/>
          <w:color w:val="00171E"/>
        </w:rPr>
        <w:t>Section 6</w:t>
      </w:r>
      <w:r>
        <w:rPr>
          <w:rFonts w:ascii="Times New Roman" w:cs="Times New Roman" w:eastAsia="Times New Roman" w:hAnsi="Times New Roman"/>
          <w:sz w:val="20"/>
          <w:szCs w:val="20"/>
          <w:color w:val="00171E"/>
        </w:rPr>
        <w:t xml:space="preserve"> are reasonable and necessary to protect the Company’s Proprietary Information, and they do not prevent Executive from working in the medical device industry. Executive agrees that the covenants and agreements by Executive contained in this </w:t>
      </w:r>
      <w:r>
        <w:rPr>
          <w:rFonts w:ascii="Times New Roman" w:cs="Times New Roman" w:eastAsia="Times New Roman" w:hAnsi="Times New Roman"/>
          <w:sz w:val="20"/>
          <w:szCs w:val="20"/>
          <w:u w:val="single" w:color="auto"/>
          <w:color w:val="00171E"/>
        </w:rPr>
        <w:t>Section 6</w:t>
      </w:r>
      <w:r>
        <w:rPr>
          <w:rFonts w:ascii="Times New Roman" w:cs="Times New Roman" w:eastAsia="Times New Roman" w:hAnsi="Times New Roman"/>
          <w:sz w:val="20"/>
          <w:szCs w:val="20"/>
          <w:color w:val="00171E"/>
        </w:rPr>
        <w:t xml:space="preserve"> shall be in addition to any other agreements and covenants Executive may have agreed to in any other employee proprietary information, confidentiality, non-disclosure or other similar agreement and that this </w:t>
      </w:r>
      <w:r>
        <w:rPr>
          <w:rFonts w:ascii="Times New Roman" w:cs="Times New Roman" w:eastAsia="Times New Roman" w:hAnsi="Times New Roman"/>
          <w:sz w:val="20"/>
          <w:szCs w:val="20"/>
          <w:u w:val="single" w:color="auto"/>
          <w:color w:val="00171E"/>
        </w:rPr>
        <w:t>Section 6</w:t>
      </w:r>
      <w:r>
        <w:rPr>
          <w:rFonts w:ascii="Times New Roman" w:cs="Times New Roman" w:eastAsia="Times New Roman" w:hAnsi="Times New Roman"/>
          <w:sz w:val="20"/>
          <w:szCs w:val="20"/>
          <w:color w:val="00171E"/>
        </w:rPr>
        <w:t xml:space="preserve"> shall not be deemed to limit such other covenants and agreements, all of which shall continue to survive the termination of this Agreement in accordance with their respective terms. A breach by Executive of the terms of such other agreements and covenants shall be deemed to be a breach by Executive of this </w:t>
      </w:r>
      <w:r>
        <w:rPr>
          <w:rFonts w:ascii="Times New Roman" w:cs="Times New Roman" w:eastAsia="Times New Roman" w:hAnsi="Times New Roman"/>
          <w:sz w:val="20"/>
          <w:szCs w:val="20"/>
          <w:u w:val="single" w:color="auto"/>
          <w:color w:val="00171E"/>
        </w:rPr>
        <w:t>Section 6</w:t>
      </w:r>
      <w:r>
        <w:rPr>
          <w:rFonts w:ascii="Times New Roman" w:cs="Times New Roman" w:eastAsia="Times New Roman" w:hAnsi="Times New Roman"/>
          <w:sz w:val="20"/>
          <w:szCs w:val="20"/>
          <w:color w:val="00171E"/>
        </w:rPr>
        <w:t xml:space="preserve"> and of this Agreement. To the extent any of the provisions in this </w:t>
      </w:r>
      <w:r>
        <w:rPr>
          <w:rFonts w:ascii="Times New Roman" w:cs="Times New Roman" w:eastAsia="Times New Roman" w:hAnsi="Times New Roman"/>
          <w:sz w:val="20"/>
          <w:szCs w:val="20"/>
          <w:u w:val="single" w:color="auto"/>
          <w:color w:val="00171E"/>
        </w:rPr>
        <w:t>Section 6</w:t>
      </w:r>
      <w:r>
        <w:rPr>
          <w:rFonts w:ascii="Times New Roman" w:cs="Times New Roman" w:eastAsia="Times New Roman" w:hAnsi="Times New Roman"/>
          <w:sz w:val="20"/>
          <w:szCs w:val="20"/>
          <w:color w:val="00171E"/>
        </w:rPr>
        <w:t xml:space="preserve"> are held to be overly broad or otherwise unenforceable at the time enforcement is sought, Executive agrees that the provision shall be reformed and enforced to the greatest extent permissible by law. Executive further agrees that if any portion of this </w:t>
      </w:r>
      <w:r>
        <w:rPr>
          <w:rFonts w:ascii="Times New Roman" w:cs="Times New Roman" w:eastAsia="Times New Roman" w:hAnsi="Times New Roman"/>
          <w:sz w:val="20"/>
          <w:szCs w:val="20"/>
          <w:u w:val="single" w:color="auto"/>
          <w:color w:val="00171E"/>
        </w:rPr>
        <w:t>Section 6</w:t>
      </w:r>
      <w:r>
        <w:rPr>
          <w:rFonts w:ascii="Times New Roman" w:cs="Times New Roman" w:eastAsia="Times New Roman" w:hAnsi="Times New Roman"/>
          <w:sz w:val="20"/>
          <w:szCs w:val="20"/>
          <w:color w:val="00171E"/>
        </w:rPr>
        <w:t xml:space="preserve"> is held to be unenforceable, the remaining provisions of this </w:t>
      </w:r>
      <w:r>
        <w:rPr>
          <w:rFonts w:ascii="Times New Roman" w:cs="Times New Roman" w:eastAsia="Times New Roman" w:hAnsi="Times New Roman"/>
          <w:sz w:val="20"/>
          <w:szCs w:val="20"/>
          <w:u w:val="single" w:color="auto"/>
          <w:color w:val="00171E"/>
        </w:rPr>
        <w:t>Section 6</w:t>
      </w:r>
      <w:r>
        <w:rPr>
          <w:rFonts w:ascii="Times New Roman" w:cs="Times New Roman" w:eastAsia="Times New Roman" w:hAnsi="Times New Roman"/>
          <w:sz w:val="20"/>
          <w:szCs w:val="20"/>
          <w:color w:val="00171E"/>
        </w:rPr>
        <w:t xml:space="preserve"> shall be enforced as written.</w:t>
      </w:r>
    </w:p>
    <w:p>
      <w:pPr>
        <w:spacing w:after="0" w:line="186" w:lineRule="exact"/>
        <w:rPr>
          <w:sz w:val="20"/>
          <w:szCs w:val="20"/>
          <w:color w:val="auto"/>
        </w:rPr>
      </w:pPr>
    </w:p>
    <w:p>
      <w:pPr>
        <w:jc w:val="both"/>
        <w:ind w:firstLine="757"/>
        <w:spacing w:after="0" w:line="250" w:lineRule="auto"/>
        <w:tabs>
          <w:tab w:leader="none" w:pos="1018" w:val="left"/>
        </w:tabs>
        <w:numPr>
          <w:ilvl w:val="0"/>
          <w:numId w:val="74"/>
        </w:numPr>
        <w:rPr>
          <w:rFonts w:ascii="Times New Roman" w:cs="Times New Roman" w:eastAsia="Times New Roman" w:hAnsi="Times New Roman"/>
          <w:sz w:val="20"/>
          <w:szCs w:val="20"/>
          <w:b w:val="1"/>
          <w:bCs w:val="1"/>
          <w:color w:val="00171E"/>
        </w:rPr>
      </w:pPr>
      <w:r>
        <w:rPr>
          <w:rFonts w:ascii="Times New Roman" w:cs="Times New Roman" w:eastAsia="Times New Roman" w:hAnsi="Times New Roman"/>
          <w:sz w:val="20"/>
          <w:szCs w:val="20"/>
          <w:b w:val="1"/>
          <w:bCs w:val="1"/>
          <w:color w:val="00171E"/>
        </w:rPr>
        <w:t xml:space="preserve">Interpretation, Governing Law and Exclusive Forum. </w:t>
      </w:r>
      <w:r>
        <w:rPr>
          <w:rFonts w:ascii="Times New Roman" w:cs="Times New Roman" w:eastAsia="Times New Roman" w:hAnsi="Times New Roman"/>
          <w:sz w:val="20"/>
          <w:szCs w:val="20"/>
          <w:color w:val="00171E"/>
        </w:rPr>
        <w:t>The validity, interpretation, construction, and performance of this</w:t>
      </w:r>
      <w:r>
        <w:rPr>
          <w:rFonts w:ascii="Times New Roman" w:cs="Times New Roman" w:eastAsia="Times New Roman" w:hAnsi="Times New Roman"/>
          <w:sz w:val="20"/>
          <w:szCs w:val="20"/>
          <w:b w:val="1"/>
          <w:bCs w:val="1"/>
          <w:color w:val="00171E"/>
        </w:rPr>
        <w:t xml:space="preserve"> </w:t>
      </w:r>
      <w:r>
        <w:rPr>
          <w:rFonts w:ascii="Times New Roman" w:cs="Times New Roman" w:eastAsia="Times New Roman" w:hAnsi="Times New Roman"/>
          <w:sz w:val="20"/>
          <w:szCs w:val="20"/>
          <w:color w:val="00171E"/>
        </w:rPr>
        <w:t>Agreement shall be governed by the laws of the State of California (excluding any that mandate the use of another jurisdiction’s laws). Any arbitration (unless otherwise mutually agreed), litigation or similar proceeding with respect to such matters only may be brought within Santa Clara County, California, and all parties to this Agreement consent to California’s jurisdiction.</w:t>
      </w:r>
    </w:p>
    <w:p>
      <w:pPr>
        <w:spacing w:after="0" w:line="175" w:lineRule="exact"/>
        <w:rPr>
          <w:rFonts w:ascii="Times New Roman" w:cs="Times New Roman" w:eastAsia="Times New Roman" w:hAnsi="Times New Roman"/>
          <w:sz w:val="20"/>
          <w:szCs w:val="20"/>
          <w:b w:val="1"/>
          <w:bCs w:val="1"/>
          <w:color w:val="00171E"/>
        </w:rPr>
      </w:pPr>
    </w:p>
    <w:p>
      <w:pPr>
        <w:ind w:firstLine="757"/>
        <w:spacing w:after="0" w:line="273" w:lineRule="auto"/>
        <w:tabs>
          <w:tab w:leader="none" w:pos="1018" w:val="left"/>
        </w:tabs>
        <w:numPr>
          <w:ilvl w:val="0"/>
          <w:numId w:val="74"/>
        </w:numPr>
        <w:rPr>
          <w:rFonts w:ascii="Times New Roman" w:cs="Times New Roman" w:eastAsia="Times New Roman" w:hAnsi="Times New Roman"/>
          <w:sz w:val="20"/>
          <w:szCs w:val="20"/>
          <w:b w:val="1"/>
          <w:bCs w:val="1"/>
          <w:color w:val="00171E"/>
        </w:rPr>
      </w:pPr>
      <w:r>
        <w:rPr>
          <w:rFonts w:ascii="Times New Roman" w:cs="Times New Roman" w:eastAsia="Times New Roman" w:hAnsi="Times New Roman"/>
          <w:sz w:val="20"/>
          <w:szCs w:val="20"/>
          <w:b w:val="1"/>
          <w:bCs w:val="1"/>
          <w:color w:val="00171E"/>
        </w:rPr>
        <w:t xml:space="preserve">Entire Agreement. </w:t>
      </w:r>
      <w:r>
        <w:rPr>
          <w:rFonts w:ascii="Times New Roman" w:cs="Times New Roman" w:eastAsia="Times New Roman" w:hAnsi="Times New Roman"/>
          <w:sz w:val="20"/>
          <w:szCs w:val="20"/>
          <w:color w:val="00171E"/>
        </w:rPr>
        <w:t>All oral or written agreements or representations, express or implied, with respect to the subject matter of</w:t>
      </w:r>
      <w:r>
        <w:rPr>
          <w:rFonts w:ascii="Times New Roman" w:cs="Times New Roman" w:eastAsia="Times New Roman" w:hAnsi="Times New Roman"/>
          <w:sz w:val="20"/>
          <w:szCs w:val="20"/>
          <w:b w:val="1"/>
          <w:bCs w:val="1"/>
          <w:color w:val="00171E"/>
        </w:rPr>
        <w:t xml:space="preserve"> </w:t>
      </w:r>
      <w:r>
        <w:rPr>
          <w:rFonts w:ascii="Times New Roman" w:cs="Times New Roman" w:eastAsia="Times New Roman" w:hAnsi="Times New Roman"/>
          <w:sz w:val="20"/>
          <w:szCs w:val="20"/>
          <w:color w:val="00171E"/>
        </w:rPr>
        <w:t>this Agreement are set forth in this Agreement.</w:t>
      </w:r>
    </w:p>
    <w:p>
      <w:pPr>
        <w:spacing w:after="0" w:line="151" w:lineRule="exact"/>
        <w:rPr>
          <w:rFonts w:ascii="Times New Roman" w:cs="Times New Roman" w:eastAsia="Times New Roman" w:hAnsi="Times New Roman"/>
          <w:sz w:val="20"/>
          <w:szCs w:val="20"/>
          <w:b w:val="1"/>
          <w:bCs w:val="1"/>
          <w:color w:val="00171E"/>
        </w:rPr>
      </w:pPr>
    </w:p>
    <w:p>
      <w:pPr>
        <w:jc w:val="both"/>
        <w:ind w:firstLine="757"/>
        <w:spacing w:after="0" w:line="256" w:lineRule="auto"/>
        <w:tabs>
          <w:tab w:leader="none" w:pos="1018" w:val="left"/>
        </w:tabs>
        <w:numPr>
          <w:ilvl w:val="0"/>
          <w:numId w:val="74"/>
        </w:numPr>
        <w:rPr>
          <w:rFonts w:ascii="Times New Roman" w:cs="Times New Roman" w:eastAsia="Times New Roman" w:hAnsi="Times New Roman"/>
          <w:sz w:val="20"/>
          <w:szCs w:val="20"/>
          <w:b w:val="1"/>
          <w:bCs w:val="1"/>
          <w:color w:val="00171E"/>
        </w:rPr>
      </w:pPr>
      <w:r>
        <w:rPr>
          <w:rFonts w:ascii="Times New Roman" w:cs="Times New Roman" w:eastAsia="Times New Roman" w:hAnsi="Times New Roman"/>
          <w:sz w:val="20"/>
          <w:szCs w:val="20"/>
          <w:b w:val="1"/>
          <w:bCs w:val="1"/>
          <w:color w:val="00171E"/>
        </w:rPr>
        <w:t xml:space="preserve">Severability. </w:t>
      </w:r>
      <w:r>
        <w:rPr>
          <w:rFonts w:ascii="Times New Roman" w:cs="Times New Roman" w:eastAsia="Times New Roman" w:hAnsi="Times New Roman"/>
          <w:sz w:val="20"/>
          <w:szCs w:val="20"/>
          <w:color w:val="00171E"/>
        </w:rPr>
        <w:t>In the event that one or more of the provisions contained in this Agreement are held to be invalid, illegal or</w:t>
      </w:r>
      <w:r>
        <w:rPr>
          <w:rFonts w:ascii="Times New Roman" w:cs="Times New Roman" w:eastAsia="Times New Roman" w:hAnsi="Times New Roman"/>
          <w:sz w:val="20"/>
          <w:szCs w:val="20"/>
          <w:b w:val="1"/>
          <w:bCs w:val="1"/>
          <w:color w:val="00171E"/>
        </w:rPr>
        <w:t xml:space="preserve"> </w:t>
      </w:r>
      <w:r>
        <w:rPr>
          <w:rFonts w:ascii="Times New Roman" w:cs="Times New Roman" w:eastAsia="Times New Roman" w:hAnsi="Times New Roman"/>
          <w:sz w:val="20"/>
          <w:szCs w:val="20"/>
          <w:color w:val="00171E"/>
        </w:rPr>
        <w:t>unenforceable in any respect by a court of competent jurisdiction, such holding shall not impair the validity, legality or enforceability of the remaining provisions herein.</w:t>
      </w:r>
    </w:p>
    <w:p>
      <w:pPr>
        <w:spacing w:after="0" w:line="168" w:lineRule="exact"/>
        <w:rPr>
          <w:rFonts w:ascii="Times New Roman" w:cs="Times New Roman" w:eastAsia="Times New Roman" w:hAnsi="Times New Roman"/>
          <w:sz w:val="20"/>
          <w:szCs w:val="20"/>
          <w:b w:val="1"/>
          <w:bCs w:val="1"/>
          <w:color w:val="00171E"/>
        </w:rPr>
      </w:pPr>
    </w:p>
    <w:p>
      <w:pPr>
        <w:jc w:val="both"/>
        <w:ind w:firstLine="757"/>
        <w:spacing w:after="0" w:line="242" w:lineRule="auto"/>
        <w:tabs>
          <w:tab w:leader="none" w:pos="1018" w:val="left"/>
        </w:tabs>
        <w:numPr>
          <w:ilvl w:val="0"/>
          <w:numId w:val="74"/>
        </w:numPr>
        <w:rPr>
          <w:rFonts w:ascii="Times New Roman" w:cs="Times New Roman" w:eastAsia="Times New Roman" w:hAnsi="Times New Roman"/>
          <w:sz w:val="20"/>
          <w:szCs w:val="20"/>
          <w:b w:val="1"/>
          <w:bCs w:val="1"/>
          <w:color w:val="00171E"/>
        </w:rPr>
      </w:pPr>
      <w:r>
        <w:rPr>
          <w:rFonts w:ascii="Times New Roman" w:cs="Times New Roman" w:eastAsia="Times New Roman" w:hAnsi="Times New Roman"/>
          <w:sz w:val="20"/>
          <w:szCs w:val="20"/>
          <w:b w:val="1"/>
          <w:bCs w:val="1"/>
          <w:color w:val="00171E"/>
        </w:rPr>
        <w:t xml:space="preserve">Successors and Assigns. </w:t>
      </w:r>
      <w:r>
        <w:rPr>
          <w:rFonts w:ascii="Times New Roman" w:cs="Times New Roman" w:eastAsia="Times New Roman" w:hAnsi="Times New Roman"/>
          <w:sz w:val="20"/>
          <w:szCs w:val="20"/>
          <w:color w:val="00171E"/>
        </w:rPr>
        <w:t>This Agreement shall be binding upon, and shall inure to the benefit of, Executive and his/her estate,</w:t>
      </w:r>
      <w:r>
        <w:rPr>
          <w:rFonts w:ascii="Times New Roman" w:cs="Times New Roman" w:eastAsia="Times New Roman" w:hAnsi="Times New Roman"/>
          <w:sz w:val="20"/>
          <w:szCs w:val="20"/>
          <w:b w:val="1"/>
          <w:bCs w:val="1"/>
          <w:color w:val="00171E"/>
        </w:rPr>
        <w:t xml:space="preserve"> </w:t>
      </w:r>
      <w:r>
        <w:rPr>
          <w:rFonts w:ascii="Times New Roman" w:cs="Times New Roman" w:eastAsia="Times New Roman" w:hAnsi="Times New Roman"/>
          <w:sz w:val="20"/>
          <w:szCs w:val="20"/>
          <w:color w:val="00171E"/>
        </w:rPr>
        <w:t xml:space="preserve">but Executive may not assign or pledge this Agreement or any rights arising under it, except to the extent permitted under the terms of the benefit plans in which he/she participates. No rights or obligations of the Company under this Agreement may be assigned or transferred except that the Company shall require any successor (whether direct or indirect, by purchase, merger, reorganization, sale, transfer of stock, consideration or otherwise) to all or substantially all of the business and/or assets of the Company to expressly assume and agree to perform this Agreement in the same manner and to the same extent that the Company would be required to perform it if no succession had taken place. As used in this Agreement, “Company” means the Company as hereinbefore defined and any successor to its business and/or assets (by merger, purchase or otherwise as provided in this </w:t>
      </w:r>
      <w:r>
        <w:rPr>
          <w:rFonts w:ascii="Times New Roman" w:cs="Times New Roman" w:eastAsia="Times New Roman" w:hAnsi="Times New Roman"/>
          <w:sz w:val="20"/>
          <w:szCs w:val="20"/>
          <w:u w:val="single" w:color="auto"/>
          <w:color w:val="00171E"/>
        </w:rPr>
        <w:t>Section 10</w:t>
      </w:r>
      <w:r>
        <w:rPr>
          <w:rFonts w:ascii="Times New Roman" w:cs="Times New Roman" w:eastAsia="Times New Roman" w:hAnsi="Times New Roman"/>
          <w:sz w:val="20"/>
          <w:szCs w:val="20"/>
          <w:color w:val="00171E"/>
        </w:rPr>
        <w:t xml:space="preserve">) which executes and delivers the agreement provided for in this </w:t>
      </w:r>
      <w:r>
        <w:rPr>
          <w:rFonts w:ascii="Times New Roman" w:cs="Times New Roman" w:eastAsia="Times New Roman" w:hAnsi="Times New Roman"/>
          <w:sz w:val="20"/>
          <w:szCs w:val="20"/>
          <w:u w:val="single" w:color="auto"/>
          <w:color w:val="00171E"/>
        </w:rPr>
        <w:t>Section 10</w:t>
      </w:r>
      <w:r>
        <w:rPr>
          <w:rFonts w:ascii="Times New Roman" w:cs="Times New Roman" w:eastAsia="Times New Roman" w:hAnsi="Times New Roman"/>
          <w:sz w:val="20"/>
          <w:szCs w:val="20"/>
          <w:color w:val="00171E"/>
        </w:rPr>
        <w:t xml:space="preserve"> or which otherwise becomes bound by all the terms and provisions of this Agreement by operation of law. In the event that any successor refuses to assume the obligations hereunder, the Company as hereinbefore defined shall remain fully responsible for all obligations hereunder.</w:t>
      </w:r>
    </w:p>
    <w:p>
      <w:pPr>
        <w:spacing w:after="0" w:line="189" w:lineRule="exact"/>
        <w:rPr>
          <w:rFonts w:ascii="Times New Roman" w:cs="Times New Roman" w:eastAsia="Times New Roman" w:hAnsi="Times New Roman"/>
          <w:sz w:val="20"/>
          <w:szCs w:val="20"/>
          <w:b w:val="1"/>
          <w:bCs w:val="1"/>
          <w:color w:val="00171E"/>
        </w:rPr>
      </w:pPr>
    </w:p>
    <w:p>
      <w:pPr>
        <w:jc w:val="both"/>
        <w:ind w:firstLine="757"/>
        <w:spacing w:after="0" w:line="245" w:lineRule="auto"/>
        <w:tabs>
          <w:tab w:leader="none" w:pos="1018" w:val="left"/>
        </w:tabs>
        <w:numPr>
          <w:ilvl w:val="0"/>
          <w:numId w:val="74"/>
        </w:numPr>
        <w:rPr>
          <w:rFonts w:ascii="Times New Roman" w:cs="Times New Roman" w:eastAsia="Times New Roman" w:hAnsi="Times New Roman"/>
          <w:sz w:val="20"/>
          <w:szCs w:val="20"/>
          <w:b w:val="1"/>
          <w:bCs w:val="1"/>
          <w:color w:val="00171E"/>
        </w:rPr>
      </w:pPr>
      <w:r>
        <w:rPr>
          <w:rFonts w:ascii="Times New Roman" w:cs="Times New Roman" w:eastAsia="Times New Roman" w:hAnsi="Times New Roman"/>
          <w:sz w:val="20"/>
          <w:szCs w:val="20"/>
          <w:b w:val="1"/>
          <w:bCs w:val="1"/>
          <w:color w:val="00171E"/>
        </w:rPr>
        <w:t xml:space="preserve">Notices. </w:t>
      </w:r>
      <w:r>
        <w:rPr>
          <w:rFonts w:ascii="Times New Roman" w:cs="Times New Roman" w:eastAsia="Times New Roman" w:hAnsi="Times New Roman"/>
          <w:sz w:val="20"/>
          <w:szCs w:val="20"/>
          <w:color w:val="00171E"/>
        </w:rPr>
        <w:t>All notices, requests, demands and other communications hereunder shall be in writing and shall be given by hand</w:t>
      </w:r>
      <w:r>
        <w:rPr>
          <w:rFonts w:ascii="Times New Roman" w:cs="Times New Roman" w:eastAsia="Times New Roman" w:hAnsi="Times New Roman"/>
          <w:sz w:val="20"/>
          <w:szCs w:val="20"/>
          <w:b w:val="1"/>
          <w:bCs w:val="1"/>
          <w:color w:val="00171E"/>
        </w:rPr>
        <w:t xml:space="preserve"> </w:t>
      </w:r>
      <w:r>
        <w:rPr>
          <w:rFonts w:ascii="Times New Roman" w:cs="Times New Roman" w:eastAsia="Times New Roman" w:hAnsi="Times New Roman"/>
          <w:sz w:val="20"/>
          <w:szCs w:val="20"/>
          <w:color w:val="00171E"/>
        </w:rPr>
        <w:t xml:space="preserve">delivery, electronic mail, facsimile, telecopy, overnight courier service, or by United States certified or registered mail, return receipt requested. Each such notice, request, demand or other communication shall be effective (i) if delivered by hand or by overnight courier service, when delivered at the address specified in this </w:t>
      </w:r>
      <w:r>
        <w:rPr>
          <w:rFonts w:ascii="Times New Roman" w:cs="Times New Roman" w:eastAsia="Times New Roman" w:hAnsi="Times New Roman"/>
          <w:sz w:val="20"/>
          <w:szCs w:val="20"/>
          <w:u w:val="single" w:color="auto"/>
          <w:color w:val="00171E"/>
        </w:rPr>
        <w:t>Section 11</w:t>
      </w:r>
      <w:r>
        <w:rPr>
          <w:rFonts w:ascii="Times New Roman" w:cs="Times New Roman" w:eastAsia="Times New Roman" w:hAnsi="Times New Roman"/>
          <w:sz w:val="20"/>
          <w:szCs w:val="20"/>
          <w:color w:val="00171E"/>
        </w:rPr>
        <w:t xml:space="preserve">; (ii) if given by electronic mail, facsimile or telecopy, when such electronic mail, facsimile or telecopy is transmitted to the electronic mail address or facsimile or telecopy number specified in this </w:t>
      </w:r>
      <w:r>
        <w:rPr>
          <w:rFonts w:ascii="Times New Roman" w:cs="Times New Roman" w:eastAsia="Times New Roman" w:hAnsi="Times New Roman"/>
          <w:sz w:val="20"/>
          <w:szCs w:val="20"/>
          <w:u w:val="single" w:color="auto"/>
          <w:color w:val="00171E"/>
        </w:rPr>
        <w:t>Section 11</w:t>
      </w:r>
      <w:r>
        <w:rPr>
          <w:rFonts w:ascii="Times New Roman" w:cs="Times New Roman" w:eastAsia="Times New Roman" w:hAnsi="Times New Roman"/>
          <w:sz w:val="20"/>
          <w:szCs w:val="20"/>
          <w:color w:val="00171E"/>
        </w:rPr>
        <w:t xml:space="preserve"> and confirmation is received if during normal business hours on a business day, and otherwise, on the next business day; and (iii) if given by certified or registered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71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84"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6"/>
          <w:szCs w:val="16"/>
          <w:b w:val="1"/>
          <w:bCs w:val="1"/>
          <w:color w:val="auto"/>
        </w:rPr>
        <w:t>E</w:t>
      </w:r>
      <w:r>
        <w:rPr>
          <w:rFonts w:ascii="Times New Roman" w:cs="Times New Roman" w:eastAsia="Times New Roman" w:hAnsi="Times New Roman"/>
          <w:sz w:val="10"/>
          <w:szCs w:val="10"/>
          <w:b w:val="1"/>
          <w:bCs w:val="1"/>
          <w:color w:val="auto"/>
        </w:rPr>
        <w:t>xecutive</w:t>
      </w:r>
      <w:r>
        <w:rPr>
          <w:rFonts w:ascii="Times New Roman" w:cs="Times New Roman" w:eastAsia="Times New Roman" w:hAnsi="Times New Roman"/>
          <w:sz w:val="16"/>
          <w:szCs w:val="16"/>
          <w:b w:val="1"/>
          <w:bCs w:val="1"/>
          <w:color w:val="auto"/>
        </w:rPr>
        <w:t xml:space="preserve"> E</w:t>
      </w:r>
      <w:r>
        <w:rPr>
          <w:rFonts w:ascii="Times New Roman" w:cs="Times New Roman" w:eastAsia="Times New Roman" w:hAnsi="Times New Roman"/>
          <w:sz w:val="10"/>
          <w:szCs w:val="10"/>
          <w:b w:val="1"/>
          <w:bCs w:val="1"/>
          <w:color w:val="auto"/>
        </w:rPr>
        <w:t>mployment</w:t>
      </w:r>
      <w:r>
        <w:rPr>
          <w:rFonts w:ascii="Times New Roman" w:cs="Times New Roman" w:eastAsia="Times New Roman" w:hAnsi="Times New Roman"/>
          <w:sz w:val="16"/>
          <w:szCs w:val="16"/>
          <w:b w:val="1"/>
          <w:bCs w:val="1"/>
          <w:color w:val="auto"/>
        </w:rPr>
        <w:t xml:space="preserve"> A</w:t>
      </w:r>
      <w:r>
        <w:rPr>
          <w:rFonts w:ascii="Times New Roman" w:cs="Times New Roman" w:eastAsia="Times New Roman" w:hAnsi="Times New Roman"/>
          <w:sz w:val="10"/>
          <w:szCs w:val="10"/>
          <w:b w:val="1"/>
          <w:bCs w:val="1"/>
          <w:color w:val="auto"/>
        </w:rPr>
        <w:t>gmt</w:t>
      </w:r>
      <w:r>
        <w:rPr>
          <w:rFonts w:ascii="Times New Roman" w:cs="Times New Roman" w:eastAsia="Times New Roman" w:hAnsi="Times New Roman"/>
          <w:sz w:val="16"/>
          <w:szCs w:val="16"/>
          <w:b w:val="1"/>
          <w:bCs w:val="1"/>
          <w:color w:val="auto"/>
        </w:rPr>
        <w:t xml:space="preserve"> S</w:t>
      </w:r>
      <w:r>
        <w:rPr>
          <w:rFonts w:ascii="Times New Roman" w:cs="Times New Roman" w:eastAsia="Times New Roman" w:hAnsi="Times New Roman"/>
          <w:sz w:val="10"/>
          <w:szCs w:val="10"/>
          <w:b w:val="1"/>
          <w:bCs w:val="1"/>
          <w:color w:val="auto"/>
        </w:rPr>
        <w:t>td</w:t>
      </w:r>
      <w:r>
        <w:rPr>
          <w:rFonts w:ascii="Times New Roman" w:cs="Times New Roman" w:eastAsia="Times New Roman" w:hAnsi="Times New Roman"/>
          <w:sz w:val="16"/>
          <w:szCs w:val="16"/>
          <w:b w:val="1"/>
          <w:bCs w:val="1"/>
          <w:color w:val="auto"/>
        </w:rPr>
        <w:t xml:space="preserve"> 11.1.24</w:t>
      </w:r>
      <w:r>
        <w:rPr>
          <w:sz w:val="20"/>
          <w:szCs w:val="20"/>
          <w:color w:val="auto"/>
        </w:rPr>
        <w:tab/>
      </w:r>
      <w:r>
        <w:rPr>
          <w:rFonts w:ascii="Times New Roman" w:cs="Times New Roman" w:eastAsia="Times New Roman" w:hAnsi="Times New Roman"/>
          <w:sz w:val="16"/>
          <w:szCs w:val="16"/>
          <w:b w:val="1"/>
          <w:bCs w:val="1"/>
          <w:color w:val="auto"/>
        </w:rPr>
        <w:t>A</w:t>
      </w:r>
      <w:r>
        <w:rPr>
          <w:rFonts w:ascii="Times New Roman" w:cs="Times New Roman" w:eastAsia="Times New Roman" w:hAnsi="Times New Roman"/>
          <w:sz w:val="10"/>
          <w:szCs w:val="10"/>
          <w:b w:val="1"/>
          <w:bCs w:val="1"/>
          <w:color w:val="auto"/>
        </w:rPr>
        <w:t>ccuray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14</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NUMPAGES \* Arabic \* MERGEFORMAT 31</w:t>
      </w:r>
    </w:p>
    <w:p>
      <w:pPr>
        <w:spacing w:after="0" w:line="200" w:lineRule="exact"/>
        <w:rPr>
          <w:sz w:val="20"/>
          <w:szCs w:val="20"/>
          <w:color w:val="auto"/>
        </w:rPr>
      </w:pPr>
    </w:p>
    <w:p>
      <w:pPr>
        <w:spacing w:after="0" w:line="24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00171E"/>
        </w:rPr>
        <w:t>mail, three (3) days after the mailing thereof. Notices shall be addressed to the parties as follows (or at such other address, email address or fax number as either party may from time to time specify in writing by giving notice as provided herein):</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00171E"/>
        </w:rPr>
        <w:t>If to the Company: Accuray Incorporated</w:t>
      </w:r>
    </w:p>
    <w:p>
      <w:pPr>
        <w:spacing w:after="0" w:line="21"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0"/>
          <w:szCs w:val="20"/>
          <w:color w:val="00171E"/>
        </w:rPr>
        <w:t>3979 Freedom Circle, Suite 700</w:t>
      </w:r>
    </w:p>
    <w:p>
      <w:pPr>
        <w:ind w:left="3000"/>
        <w:spacing w:after="0"/>
        <w:rPr>
          <w:sz w:val="20"/>
          <w:szCs w:val="20"/>
          <w:color w:val="auto"/>
        </w:rPr>
      </w:pPr>
      <w:r>
        <w:rPr>
          <w:rFonts w:ascii="Times New Roman" w:cs="Times New Roman" w:eastAsia="Times New Roman" w:hAnsi="Times New Roman"/>
          <w:sz w:val="20"/>
          <w:szCs w:val="20"/>
          <w:color w:val="00171E"/>
        </w:rPr>
        <w:t>Santa Clara, CA 95054</w:t>
      </w:r>
    </w:p>
    <w:p>
      <w:pPr>
        <w:ind w:left="3000"/>
        <w:spacing w:after="0"/>
        <w:rPr>
          <w:sz w:val="20"/>
          <w:szCs w:val="20"/>
          <w:color w:val="auto"/>
        </w:rPr>
      </w:pPr>
      <w:r>
        <w:rPr>
          <w:rFonts w:ascii="Times New Roman" w:cs="Times New Roman" w:eastAsia="Times New Roman" w:hAnsi="Times New Roman"/>
          <w:sz w:val="20"/>
          <w:szCs w:val="20"/>
          <w:color w:val="00171E"/>
        </w:rPr>
        <w:t>Attn: Board of Directors c/o Corporate Secretary</w:t>
      </w:r>
    </w:p>
    <w:p>
      <w:pPr>
        <w:sectPr>
          <w:pgSz w:w="11900" w:h="16838" w:orient="portrait"/>
          <w:cols w:equalWidth="0" w:num="1">
            <w:col w:w="11240"/>
          </w:cols>
          <w:pgMar w:left="320" w:top="765" w:right="339" w:bottom="1440" w:gutter="0" w:footer="0" w:header="0"/>
        </w:sectPr>
      </w:pPr>
    </w:p>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00171E"/>
        </w:rPr>
        <w:t>If to Executive:</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171E"/>
        </w:rPr>
        <w:t>Suzanne Winter</w:t>
      </w:r>
    </w:p>
    <w:p>
      <w:pPr>
        <w:spacing w:after="0" w:line="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00171E"/>
        </w:rPr>
        <w:t>Address: most recent on file with the Company</w:t>
      </w:r>
    </w:p>
    <w:p>
      <w:pPr>
        <w:spacing w:after="0" w:line="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00171E"/>
        </w:rPr>
        <w:t>Email: most recent on file with the Company</w:t>
      </w:r>
    </w:p>
    <w:p>
      <w:pPr>
        <w:spacing w:after="0" w:line="190" w:lineRule="exact"/>
        <w:rPr>
          <w:sz w:val="20"/>
          <w:szCs w:val="20"/>
          <w:color w:val="auto"/>
        </w:rPr>
      </w:pPr>
    </w:p>
    <w:p>
      <w:pPr>
        <w:sectPr>
          <w:pgSz w:w="11900" w:h="16838" w:orient="portrait"/>
          <w:cols w:equalWidth="0" w:num="2">
            <w:col w:w="1980" w:space="360"/>
            <w:col w:w="8900"/>
          </w:cols>
          <w:pgMar w:left="320" w:top="765" w:right="339" w:bottom="1440" w:gutter="0" w:footer="0" w:header="0"/>
          <w:type w:val="continuous"/>
        </w:sectPr>
      </w:pPr>
    </w:p>
    <w:p>
      <w:pPr>
        <w:jc w:val="both"/>
        <w:ind w:firstLine="757"/>
        <w:spacing w:after="0" w:line="256" w:lineRule="auto"/>
        <w:tabs>
          <w:tab w:leader="none" w:pos="1018" w:val="left"/>
        </w:tabs>
        <w:numPr>
          <w:ilvl w:val="0"/>
          <w:numId w:val="75"/>
        </w:numPr>
        <w:rPr>
          <w:rFonts w:ascii="Times New Roman" w:cs="Times New Roman" w:eastAsia="Times New Roman" w:hAnsi="Times New Roman"/>
          <w:sz w:val="20"/>
          <w:szCs w:val="20"/>
          <w:b w:val="1"/>
          <w:bCs w:val="1"/>
          <w:color w:val="00171E"/>
        </w:rPr>
      </w:pPr>
      <w:r>
        <w:rPr>
          <w:rFonts w:ascii="Times New Roman" w:cs="Times New Roman" w:eastAsia="Times New Roman" w:hAnsi="Times New Roman"/>
          <w:sz w:val="20"/>
          <w:szCs w:val="20"/>
          <w:b w:val="1"/>
          <w:bCs w:val="1"/>
          <w:color w:val="00171E"/>
        </w:rPr>
        <w:t>Indemnification</w:t>
      </w:r>
      <w:r>
        <w:rPr>
          <w:rFonts w:ascii="Times New Roman" w:cs="Times New Roman" w:eastAsia="Times New Roman" w:hAnsi="Times New Roman"/>
          <w:sz w:val="20"/>
          <w:szCs w:val="20"/>
          <w:color w:val="00171E"/>
        </w:rPr>
        <w:t>. As soon as reasonably practicable after the due execution of this Agreement by each of the parties hereto, the</w:t>
      </w:r>
      <w:r>
        <w:rPr>
          <w:rFonts w:ascii="Times New Roman" w:cs="Times New Roman" w:eastAsia="Times New Roman" w:hAnsi="Times New Roman"/>
          <w:sz w:val="20"/>
          <w:szCs w:val="20"/>
          <w:b w:val="1"/>
          <w:bCs w:val="1"/>
          <w:color w:val="00171E"/>
        </w:rPr>
        <w:t xml:space="preserve"> </w:t>
      </w:r>
      <w:r>
        <w:rPr>
          <w:rFonts w:ascii="Times New Roman" w:cs="Times New Roman" w:eastAsia="Times New Roman" w:hAnsi="Times New Roman"/>
          <w:sz w:val="20"/>
          <w:szCs w:val="20"/>
          <w:color w:val="00171E"/>
        </w:rPr>
        <w:t>Company and Executive will enter into the Company’s standard form of indemnification agreement utilized by the Company for its directors and executive officers unless such an agreement is already in effect.</w:t>
      </w:r>
    </w:p>
    <w:p>
      <w:pPr>
        <w:spacing w:after="0" w:line="168" w:lineRule="exact"/>
        <w:rPr>
          <w:rFonts w:ascii="Times New Roman" w:cs="Times New Roman" w:eastAsia="Times New Roman" w:hAnsi="Times New Roman"/>
          <w:sz w:val="20"/>
          <w:szCs w:val="20"/>
          <w:b w:val="1"/>
          <w:bCs w:val="1"/>
          <w:color w:val="00171E"/>
        </w:rPr>
      </w:pPr>
    </w:p>
    <w:p>
      <w:pPr>
        <w:jc w:val="both"/>
        <w:ind w:firstLine="757"/>
        <w:spacing w:after="0" w:line="256" w:lineRule="auto"/>
        <w:tabs>
          <w:tab w:leader="none" w:pos="1018" w:val="left"/>
        </w:tabs>
        <w:numPr>
          <w:ilvl w:val="0"/>
          <w:numId w:val="75"/>
        </w:numPr>
        <w:rPr>
          <w:rFonts w:ascii="Times New Roman" w:cs="Times New Roman" w:eastAsia="Times New Roman" w:hAnsi="Times New Roman"/>
          <w:sz w:val="20"/>
          <w:szCs w:val="20"/>
          <w:b w:val="1"/>
          <w:bCs w:val="1"/>
          <w:color w:val="00171E"/>
        </w:rPr>
      </w:pPr>
      <w:r>
        <w:rPr>
          <w:rFonts w:ascii="Times New Roman" w:cs="Times New Roman" w:eastAsia="Times New Roman" w:hAnsi="Times New Roman"/>
          <w:sz w:val="20"/>
          <w:szCs w:val="20"/>
          <w:b w:val="1"/>
          <w:bCs w:val="1"/>
          <w:color w:val="00171E"/>
        </w:rPr>
        <w:t xml:space="preserve">Dispute Resolution. </w:t>
      </w:r>
      <w:r>
        <w:rPr>
          <w:rFonts w:ascii="Times New Roman" w:cs="Times New Roman" w:eastAsia="Times New Roman" w:hAnsi="Times New Roman"/>
          <w:sz w:val="20"/>
          <w:szCs w:val="20"/>
          <w:color w:val="00171E"/>
        </w:rPr>
        <w:t>The parties agree that all disputes, claims or controversies between them and between Executive and any</w:t>
      </w:r>
      <w:r>
        <w:rPr>
          <w:rFonts w:ascii="Times New Roman" w:cs="Times New Roman" w:eastAsia="Times New Roman" w:hAnsi="Times New Roman"/>
          <w:sz w:val="20"/>
          <w:szCs w:val="20"/>
          <w:b w:val="1"/>
          <w:bCs w:val="1"/>
          <w:color w:val="00171E"/>
        </w:rPr>
        <w:t xml:space="preserve"> </w:t>
      </w:r>
      <w:r>
        <w:rPr>
          <w:rFonts w:ascii="Times New Roman" w:cs="Times New Roman" w:eastAsia="Times New Roman" w:hAnsi="Times New Roman"/>
          <w:sz w:val="20"/>
          <w:szCs w:val="20"/>
          <w:color w:val="00171E"/>
        </w:rPr>
        <w:t>of the Company’s affiliated entities and the successor of all such entities, including any dispute, claim or controversy arising from or otherwise in connection with this Agreement and/or Executive’s employment with the Company, will be resolved as follows:</w:t>
      </w:r>
    </w:p>
    <w:p>
      <w:pPr>
        <w:spacing w:after="0" w:line="172" w:lineRule="exact"/>
        <w:rPr>
          <w:rFonts w:ascii="Times New Roman" w:cs="Times New Roman" w:eastAsia="Times New Roman" w:hAnsi="Times New Roman"/>
          <w:sz w:val="20"/>
          <w:szCs w:val="20"/>
          <w:b w:val="1"/>
          <w:bCs w:val="1"/>
          <w:color w:val="00171E"/>
        </w:rPr>
      </w:pPr>
    </w:p>
    <w:p>
      <w:pPr>
        <w:jc w:val="both"/>
        <w:ind w:firstLine="1505"/>
        <w:spacing w:after="0" w:line="254" w:lineRule="auto"/>
        <w:tabs>
          <w:tab w:leader="none" w:pos="2036" w:val="left"/>
        </w:tabs>
        <w:numPr>
          <w:ilvl w:val="1"/>
          <w:numId w:val="75"/>
        </w:numPr>
        <w:rPr>
          <w:rFonts w:ascii="Times New Roman" w:cs="Times New Roman" w:eastAsia="Times New Roman" w:hAnsi="Times New Roman"/>
          <w:sz w:val="20"/>
          <w:szCs w:val="20"/>
          <w:u w:val="single" w:color="auto"/>
          <w:color w:val="00171E"/>
        </w:rPr>
      </w:pPr>
      <w:r>
        <w:rPr>
          <w:rFonts w:ascii="Times New Roman" w:cs="Times New Roman" w:eastAsia="Times New Roman" w:hAnsi="Times New Roman"/>
          <w:sz w:val="20"/>
          <w:szCs w:val="20"/>
          <w:color w:val="00171E"/>
        </w:rPr>
        <w:t>Prior to initiating any other proceeding, the complaining party will provide the other party with a written statement of the claim identifying any supporting witnesses or documents and the requested relief. The responding party shall within forty-five (45) days furnish a statement of the relief, if any, that it is willing to provide, and identify supporting witnesses or documents.</w:t>
      </w:r>
    </w:p>
    <w:p>
      <w:pPr>
        <w:spacing w:after="0" w:line="174" w:lineRule="exact"/>
        <w:rPr>
          <w:rFonts w:ascii="Times New Roman" w:cs="Times New Roman" w:eastAsia="Times New Roman" w:hAnsi="Times New Roman"/>
          <w:sz w:val="20"/>
          <w:szCs w:val="20"/>
          <w:u w:val="single" w:color="auto"/>
          <w:color w:val="00171E"/>
        </w:rPr>
      </w:pPr>
    </w:p>
    <w:p>
      <w:pPr>
        <w:jc w:val="both"/>
        <w:ind w:firstLine="1505"/>
        <w:spacing w:after="0" w:line="254" w:lineRule="auto"/>
        <w:tabs>
          <w:tab w:leader="none" w:pos="2036" w:val="left"/>
        </w:tabs>
        <w:numPr>
          <w:ilvl w:val="1"/>
          <w:numId w:val="75"/>
        </w:numPr>
        <w:rPr>
          <w:rFonts w:ascii="Times New Roman" w:cs="Times New Roman" w:eastAsia="Times New Roman" w:hAnsi="Times New Roman"/>
          <w:sz w:val="20"/>
          <w:szCs w:val="20"/>
          <w:u w:val="single" w:color="auto"/>
          <w:color w:val="00171E"/>
        </w:rPr>
      </w:pPr>
      <w:r>
        <w:rPr>
          <w:rFonts w:ascii="Times New Roman" w:cs="Times New Roman" w:eastAsia="Times New Roman" w:hAnsi="Times New Roman"/>
          <w:sz w:val="20"/>
          <w:szCs w:val="20"/>
          <w:color w:val="00171E"/>
        </w:rPr>
        <w:t>If the matter is not resolved by the exchange of statements of claim and statements of response as provided herein, the parties shall submit the dispute to non-binding mediation, the cost of the mediator to be paid by the Company, before a mediator and/or service to be jointly selected by the parties. Each party will bear his/her or its own attorney’s fees and witness fees.</w:t>
      </w:r>
    </w:p>
    <w:p>
      <w:pPr>
        <w:spacing w:after="0" w:line="174" w:lineRule="exact"/>
        <w:rPr>
          <w:rFonts w:ascii="Times New Roman" w:cs="Times New Roman" w:eastAsia="Times New Roman" w:hAnsi="Times New Roman"/>
          <w:sz w:val="20"/>
          <w:szCs w:val="20"/>
          <w:u w:val="single" w:color="auto"/>
          <w:color w:val="00171E"/>
        </w:rPr>
      </w:pPr>
    </w:p>
    <w:p>
      <w:pPr>
        <w:jc w:val="both"/>
        <w:ind w:firstLine="1505"/>
        <w:spacing w:after="0" w:line="242" w:lineRule="auto"/>
        <w:tabs>
          <w:tab w:leader="none" w:pos="2036" w:val="left"/>
        </w:tabs>
        <w:numPr>
          <w:ilvl w:val="1"/>
          <w:numId w:val="75"/>
        </w:numPr>
        <w:rPr>
          <w:rFonts w:ascii="Times New Roman" w:cs="Times New Roman" w:eastAsia="Times New Roman" w:hAnsi="Times New Roman"/>
          <w:sz w:val="20"/>
          <w:szCs w:val="20"/>
          <w:u w:val="single" w:color="auto"/>
          <w:color w:val="00171E"/>
        </w:rPr>
      </w:pPr>
      <w:r>
        <w:rPr>
          <w:rFonts w:ascii="Times New Roman" w:cs="Times New Roman" w:eastAsia="Times New Roman" w:hAnsi="Times New Roman"/>
          <w:sz w:val="20"/>
          <w:szCs w:val="20"/>
          <w:color w:val="00171E"/>
        </w:rPr>
        <w:t>If the parties cannot agree on a mediator and/or if the matter is not otherwise resolved by mediation, any controversy or claim between Executive and the Company and any of its current or former directors, officers and employees, including any arising out of or relating to this Agreement or breach thereof, shall be settled by final and binding arbitration pursuant to the Federal Arbitration Act (9 U.S.C. Sec. 1 Et Seq.) (the “</w:t>
      </w:r>
      <w:r>
        <w:rPr>
          <w:rFonts w:ascii="Times New Roman" w:cs="Times New Roman" w:eastAsia="Times New Roman" w:hAnsi="Times New Roman"/>
          <w:sz w:val="20"/>
          <w:szCs w:val="20"/>
          <w:u w:val="single" w:color="auto"/>
          <w:color w:val="00171E"/>
        </w:rPr>
        <w:t>FAA</w:t>
      </w:r>
      <w:r>
        <w:rPr>
          <w:rFonts w:ascii="Times New Roman" w:cs="Times New Roman" w:eastAsia="Times New Roman" w:hAnsi="Times New Roman"/>
          <w:sz w:val="20"/>
          <w:szCs w:val="20"/>
          <w:color w:val="00171E"/>
        </w:rPr>
        <w:t>”), which shall take place in Santa Clara County, California, or elsewhere as mutually agreed by the parties, before a single, neutral, arbitrator pursuant to the Employment Dispute Rules of Judicial Arbitration and Mediation Services, Inc. (“</w:t>
      </w:r>
      <w:r>
        <w:rPr>
          <w:rFonts w:ascii="Times New Roman" w:cs="Times New Roman" w:eastAsia="Times New Roman" w:hAnsi="Times New Roman"/>
          <w:sz w:val="20"/>
          <w:szCs w:val="20"/>
          <w:u w:val="single" w:color="auto"/>
          <w:color w:val="00171E"/>
        </w:rPr>
        <w:t>JAMS</w:t>
      </w:r>
      <w:r>
        <w:rPr>
          <w:rFonts w:ascii="Times New Roman" w:cs="Times New Roman" w:eastAsia="Times New Roman" w:hAnsi="Times New Roman"/>
          <w:sz w:val="20"/>
          <w:szCs w:val="20"/>
          <w:color w:val="00171E"/>
        </w:rPr>
        <w:t>”), unless the parties to the dispute agree to another arbitration service or independent arbitrator. The parties may conduct discovery to the extent permitted in a court of law; the arbitrator will render an award together with a written opinion indicating the bases for such opinion; and the arbitrator will have full authority to award all remedies that would be available in court. Judgment upon the award rendered by the arbitrator may be entered in any court having jurisdiction thereof. Each party shall bear its own attorney’s fees and costs, unless the claim is based on a statute that provides otherwise. The Company will pay the arbitrator’s fees and any administrative charges of the arbitration service, except that if Executive initiates the claim, he/she will pay a portion of the administrative charges equal to the amount he/she would have paid to initiate the claim in a court of general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132320" cy="171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96"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6"/>
          <w:szCs w:val="16"/>
          <w:b w:val="1"/>
          <w:bCs w:val="1"/>
          <w:color w:val="auto"/>
        </w:rPr>
        <w:t>E</w:t>
      </w:r>
      <w:r>
        <w:rPr>
          <w:rFonts w:ascii="Times New Roman" w:cs="Times New Roman" w:eastAsia="Times New Roman" w:hAnsi="Times New Roman"/>
          <w:sz w:val="10"/>
          <w:szCs w:val="10"/>
          <w:b w:val="1"/>
          <w:bCs w:val="1"/>
          <w:color w:val="auto"/>
        </w:rPr>
        <w:t>xecutive</w:t>
      </w:r>
      <w:r>
        <w:rPr>
          <w:rFonts w:ascii="Times New Roman" w:cs="Times New Roman" w:eastAsia="Times New Roman" w:hAnsi="Times New Roman"/>
          <w:sz w:val="16"/>
          <w:szCs w:val="16"/>
          <w:b w:val="1"/>
          <w:bCs w:val="1"/>
          <w:color w:val="auto"/>
        </w:rPr>
        <w:t xml:space="preserve"> E</w:t>
      </w:r>
      <w:r>
        <w:rPr>
          <w:rFonts w:ascii="Times New Roman" w:cs="Times New Roman" w:eastAsia="Times New Roman" w:hAnsi="Times New Roman"/>
          <w:sz w:val="10"/>
          <w:szCs w:val="10"/>
          <w:b w:val="1"/>
          <w:bCs w:val="1"/>
          <w:color w:val="auto"/>
        </w:rPr>
        <w:t>mployment</w:t>
      </w:r>
      <w:r>
        <w:rPr>
          <w:rFonts w:ascii="Times New Roman" w:cs="Times New Roman" w:eastAsia="Times New Roman" w:hAnsi="Times New Roman"/>
          <w:sz w:val="16"/>
          <w:szCs w:val="16"/>
          <w:b w:val="1"/>
          <w:bCs w:val="1"/>
          <w:color w:val="auto"/>
        </w:rPr>
        <w:t xml:space="preserve"> A</w:t>
      </w:r>
      <w:r>
        <w:rPr>
          <w:rFonts w:ascii="Times New Roman" w:cs="Times New Roman" w:eastAsia="Times New Roman" w:hAnsi="Times New Roman"/>
          <w:sz w:val="10"/>
          <w:szCs w:val="10"/>
          <w:b w:val="1"/>
          <w:bCs w:val="1"/>
          <w:color w:val="auto"/>
        </w:rPr>
        <w:t>gmt</w:t>
      </w:r>
      <w:r>
        <w:rPr>
          <w:rFonts w:ascii="Times New Roman" w:cs="Times New Roman" w:eastAsia="Times New Roman" w:hAnsi="Times New Roman"/>
          <w:sz w:val="16"/>
          <w:szCs w:val="16"/>
          <w:b w:val="1"/>
          <w:bCs w:val="1"/>
          <w:color w:val="auto"/>
        </w:rPr>
        <w:t xml:space="preserve"> S</w:t>
      </w:r>
      <w:r>
        <w:rPr>
          <w:rFonts w:ascii="Times New Roman" w:cs="Times New Roman" w:eastAsia="Times New Roman" w:hAnsi="Times New Roman"/>
          <w:sz w:val="10"/>
          <w:szCs w:val="10"/>
          <w:b w:val="1"/>
          <w:bCs w:val="1"/>
          <w:color w:val="auto"/>
        </w:rPr>
        <w:t>td</w:t>
      </w:r>
      <w:r>
        <w:rPr>
          <w:rFonts w:ascii="Times New Roman" w:cs="Times New Roman" w:eastAsia="Times New Roman" w:hAnsi="Times New Roman"/>
          <w:sz w:val="16"/>
          <w:szCs w:val="16"/>
          <w:b w:val="1"/>
          <w:bCs w:val="1"/>
          <w:color w:val="auto"/>
        </w:rPr>
        <w:t xml:space="preserve"> 11.1.24</w:t>
      </w:r>
      <w:r>
        <w:rPr>
          <w:sz w:val="20"/>
          <w:szCs w:val="20"/>
          <w:color w:val="auto"/>
        </w:rPr>
        <w:tab/>
      </w:r>
      <w:r>
        <w:rPr>
          <w:rFonts w:ascii="Times New Roman" w:cs="Times New Roman" w:eastAsia="Times New Roman" w:hAnsi="Times New Roman"/>
          <w:sz w:val="16"/>
          <w:szCs w:val="16"/>
          <w:b w:val="1"/>
          <w:bCs w:val="1"/>
          <w:color w:val="auto"/>
        </w:rPr>
        <w:t>A</w:t>
      </w:r>
      <w:r>
        <w:rPr>
          <w:rFonts w:ascii="Times New Roman" w:cs="Times New Roman" w:eastAsia="Times New Roman" w:hAnsi="Times New Roman"/>
          <w:sz w:val="10"/>
          <w:szCs w:val="10"/>
          <w:b w:val="1"/>
          <w:bCs w:val="1"/>
          <w:color w:val="auto"/>
        </w:rPr>
        <w:t>ccuray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15</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NUMPAGES \* Arabic \* MERGEFORMAT 31</w:t>
      </w:r>
    </w:p>
    <w:p>
      <w:pPr>
        <w:spacing w:after="0" w:line="200" w:lineRule="exact"/>
        <w:rPr>
          <w:sz w:val="20"/>
          <w:szCs w:val="20"/>
          <w:color w:val="auto"/>
        </w:rPr>
      </w:pPr>
    </w:p>
    <w:p>
      <w:pPr>
        <w:spacing w:after="0" w:line="241" w:lineRule="exact"/>
        <w:rPr>
          <w:sz w:val="20"/>
          <w:szCs w:val="20"/>
          <w:color w:val="auto"/>
        </w:rPr>
      </w:pPr>
    </w:p>
    <w:p>
      <w:pPr>
        <w:jc w:val="both"/>
        <w:ind w:firstLine="1505"/>
        <w:spacing w:after="0"/>
        <w:tabs>
          <w:tab w:leader="none" w:pos="2036" w:val="left"/>
        </w:tabs>
        <w:numPr>
          <w:ilvl w:val="1"/>
          <w:numId w:val="76"/>
        </w:numPr>
        <w:rPr>
          <w:rFonts w:ascii="Times New Roman" w:cs="Times New Roman" w:eastAsia="Times New Roman" w:hAnsi="Times New Roman"/>
          <w:sz w:val="20"/>
          <w:szCs w:val="20"/>
          <w:u w:val="single" w:color="auto"/>
          <w:color w:val="00171E"/>
        </w:rPr>
      </w:pPr>
      <w:r>
        <w:rPr>
          <w:rFonts w:ascii="Times New Roman" w:cs="Times New Roman" w:eastAsia="Times New Roman" w:hAnsi="Times New Roman"/>
          <w:sz w:val="20"/>
          <w:szCs w:val="20"/>
          <w:color w:val="00171E"/>
        </w:rPr>
        <w:t>THE FAA’S SUBSTANTIVE AND PROCEDURAL PROVISIONS SHALL EXCLUSIVELY GOVERN AND APPLY WITH FULL FORCE AND EFFECT TO THIS ARBITRATION AGREEMENT, INCLUDING ITS ENFORCEMENT, AND ANY STATE COURT OF COMPETENT JURISDICTION SHALL STAY PROCEEDINGS PENDING ARBITRATION OR COMPEL ARBITRATION IN THE SAME MANNER AS A FEDERAL COURT UNDER THE FAA. EXECUTIVE AND THE COMPANY FURTHER AGREE THAT, TO THE FULLEST EXTENT PERMITTED BY LAW, EXECUTIVE MAY BRING ANY ARBITRATION PROCEEDING ONLY IN EXECUTIVE’S INDIVIDUAL CAPACITY, AND NOT AS A PLAINTIFF, REPRESENTATIVE, OR CLASS MEMBER IN ANY PURPORTED CLASS OR COLLECTIVE ACTION, LAWSUIT OR PROCEEDING. EXECUTIVE AGREES THAT ANY CLAIMS EXECUTIVE MAY BRING PURSUANT TO THE PRIVATE ATTORNEYS GENERAL ACT (“PAGA”) ON BEHALF OF THE LABOR AND WORKFORCE DEVELOPMENT AGENCY MUST BE ARBITRATED ONLY IN EXECUTIVE’S INDIVIDUAL CAPACITY WITHOUT ANY JOINDER OR REPRESENTATION OF ANY CALIFORNIA LABOR CODE VIOLATIONS THAT WERE OR COULD BE ASSERTED BY OR ON BEHALF OF ANY OTHER PERSONS. EXECUTIVE AND THE COMPANY AGREE THAT THIS ARBITRATION PROCEDURE WILL BE THE EXCLUSIVE MEANS OF REDRESS FOR ANY DISPUTES RELATING TO OR ARISING FROM EXECUTIVE’S EMPLOYMENT WITH THE COMPANY OR TERMINATION THEREFROM, INCLUDING DISPUTES OVER UNPAID WAGES, BREACH OF CONTRACT OR TORT, VIOLATION OF PUBLIC POLICY, RIGHTS PROVIDED BY FEDERAL, STATE OR LOCAL STATUTES, REGULATIONS, ORDINANCES, AND COMMON LAW, LAWS THAT PROHIBIT DISCRIMINATION BASED ON ANY PROTECTED CLASSIFICATION, AND ANY OTHER STATUTES OR LAWS RELATING TO AN EXECUTIVE’S RELATIONSHIP WITH THE COMPANY. THE FOREGOING NOTWITHSTANDING, CLAIMS FOR WORKERS’ COMPENSATION BENEFITS OR UNEMPLOYMENT INSURANCE, OR ANY OTHER CLAIMS WHERE MANDATORY ARBITRATION IS PROHIBITED BY LAW, ARE NOT COVERED BY THIS ARBITRATION PROVISION. THE PARTIES EXPRESSLY WAIVE THE RIGHT TO A JURY TRIAL, AND AGREE THAT THE ARBITRATOR’S AWARD SHALL BE FINAL AND BINDING ON BOTH PARTIES. THIS ARBITRATION PROVISION IS TO BE CONSTRUED AS BROADLY AS IS PERMISSIBLE UNDER APPLICABLE LAW.</w:t>
      </w:r>
    </w:p>
    <w:p>
      <w:pPr>
        <w:spacing w:after="0" w:line="201" w:lineRule="exact"/>
        <w:rPr>
          <w:rFonts w:ascii="Times New Roman" w:cs="Times New Roman" w:eastAsia="Times New Roman" w:hAnsi="Times New Roman"/>
          <w:sz w:val="20"/>
          <w:szCs w:val="20"/>
          <w:u w:val="single" w:color="auto"/>
          <w:color w:val="00171E"/>
        </w:rPr>
      </w:pPr>
    </w:p>
    <w:p>
      <w:pPr>
        <w:jc w:val="both"/>
        <w:ind w:firstLine="757"/>
        <w:spacing w:after="0" w:line="245" w:lineRule="auto"/>
        <w:tabs>
          <w:tab w:leader="none" w:pos="1018" w:val="left"/>
        </w:tabs>
        <w:numPr>
          <w:ilvl w:val="0"/>
          <w:numId w:val="77"/>
        </w:numPr>
        <w:rPr>
          <w:rFonts w:ascii="Times New Roman" w:cs="Times New Roman" w:eastAsia="Times New Roman" w:hAnsi="Times New Roman"/>
          <w:sz w:val="20"/>
          <w:szCs w:val="20"/>
          <w:b w:val="1"/>
          <w:bCs w:val="1"/>
          <w:color w:val="00171E"/>
        </w:rPr>
      </w:pPr>
      <w:r>
        <w:rPr>
          <w:rFonts w:ascii="Times New Roman" w:cs="Times New Roman" w:eastAsia="Times New Roman" w:hAnsi="Times New Roman"/>
          <w:sz w:val="20"/>
          <w:szCs w:val="20"/>
          <w:b w:val="1"/>
          <w:bCs w:val="1"/>
          <w:color w:val="00171E"/>
        </w:rPr>
        <w:t xml:space="preserve">Representations. </w:t>
      </w:r>
      <w:r>
        <w:rPr>
          <w:rFonts w:ascii="Times New Roman" w:cs="Times New Roman" w:eastAsia="Times New Roman" w:hAnsi="Times New Roman"/>
          <w:sz w:val="20"/>
          <w:szCs w:val="20"/>
          <w:color w:val="00171E"/>
        </w:rPr>
        <w:t>Each person executing this Agreement hereby represents and warrants on behalf of himself/herself and of the</w:t>
      </w:r>
      <w:r>
        <w:rPr>
          <w:rFonts w:ascii="Times New Roman" w:cs="Times New Roman" w:eastAsia="Times New Roman" w:hAnsi="Times New Roman"/>
          <w:sz w:val="20"/>
          <w:szCs w:val="20"/>
          <w:b w:val="1"/>
          <w:bCs w:val="1"/>
          <w:color w:val="00171E"/>
        </w:rPr>
        <w:t xml:space="preserve"> </w:t>
      </w:r>
      <w:r>
        <w:rPr>
          <w:rFonts w:ascii="Times New Roman" w:cs="Times New Roman" w:eastAsia="Times New Roman" w:hAnsi="Times New Roman"/>
          <w:sz w:val="20"/>
          <w:szCs w:val="20"/>
          <w:color w:val="00171E"/>
        </w:rPr>
        <w:t>entity/individual on whose behalf he/she is executing the Agreement that he/she is authorized to represent and bind the entity/individual on whose behalf he/she is executing the Agreement. Executive specifically represents and warrants to the Company that he/she reasonably believes (a) he/she is not under any contractual or other obligations that would prevent, limit or impair Executive’s performance of his/her obligations under this Agreement and (b) that entering into this Agreement will not result in a breach of any other agreement to which he/she is a party. Executive acknowledges that Executive has been given the opportunity to consult with legal counsel and seek such advice and consultation as Executive deems appropriate or necessary.</w:t>
      </w:r>
    </w:p>
    <w:p>
      <w:pPr>
        <w:spacing w:after="0" w:line="179" w:lineRule="exact"/>
        <w:rPr>
          <w:rFonts w:ascii="Times New Roman" w:cs="Times New Roman" w:eastAsia="Times New Roman" w:hAnsi="Times New Roman"/>
          <w:sz w:val="20"/>
          <w:szCs w:val="20"/>
          <w:b w:val="1"/>
          <w:bCs w:val="1"/>
          <w:color w:val="00171E"/>
        </w:rPr>
      </w:pPr>
    </w:p>
    <w:p>
      <w:pPr>
        <w:jc w:val="both"/>
        <w:ind w:firstLine="757"/>
        <w:spacing w:after="0" w:line="250" w:lineRule="auto"/>
        <w:tabs>
          <w:tab w:leader="none" w:pos="1018" w:val="left"/>
        </w:tabs>
        <w:numPr>
          <w:ilvl w:val="0"/>
          <w:numId w:val="77"/>
        </w:numPr>
        <w:rPr>
          <w:rFonts w:ascii="Times New Roman" w:cs="Times New Roman" w:eastAsia="Times New Roman" w:hAnsi="Times New Roman"/>
          <w:sz w:val="20"/>
          <w:szCs w:val="20"/>
          <w:b w:val="1"/>
          <w:bCs w:val="1"/>
          <w:color w:val="00171E"/>
        </w:rPr>
      </w:pPr>
      <w:r>
        <w:rPr>
          <w:rFonts w:ascii="Times New Roman" w:cs="Times New Roman" w:eastAsia="Times New Roman" w:hAnsi="Times New Roman"/>
          <w:sz w:val="20"/>
          <w:szCs w:val="20"/>
          <w:b w:val="1"/>
          <w:bCs w:val="1"/>
          <w:color w:val="00171E"/>
        </w:rPr>
        <w:t xml:space="preserve">Amendments and Waivers. </w:t>
      </w:r>
      <w:r>
        <w:rPr>
          <w:rFonts w:ascii="Times New Roman" w:cs="Times New Roman" w:eastAsia="Times New Roman" w:hAnsi="Times New Roman"/>
          <w:sz w:val="20"/>
          <w:szCs w:val="20"/>
          <w:color w:val="00171E"/>
        </w:rPr>
        <w:t>No provisions of this Agreement may be modified, waived, or discharged except by a written</w:t>
      </w:r>
      <w:r>
        <w:rPr>
          <w:rFonts w:ascii="Times New Roman" w:cs="Times New Roman" w:eastAsia="Times New Roman" w:hAnsi="Times New Roman"/>
          <w:sz w:val="20"/>
          <w:szCs w:val="20"/>
          <w:b w:val="1"/>
          <w:bCs w:val="1"/>
          <w:color w:val="00171E"/>
        </w:rPr>
        <w:t xml:space="preserve"> </w:t>
      </w:r>
      <w:r>
        <w:rPr>
          <w:rFonts w:ascii="Times New Roman" w:cs="Times New Roman" w:eastAsia="Times New Roman" w:hAnsi="Times New Roman"/>
          <w:sz w:val="20"/>
          <w:szCs w:val="20"/>
          <w:color w:val="00171E"/>
        </w:rPr>
        <w:t>document signed by Executive and a duly authorized Company officer. Thus, for example, promotions, commendations, and/or bonuses shall not, by themselves, modify, amend, or extend this Agreement. A waiver of any conditions or provisions of this Agreement in a given instance shall not be deemed a waiver of such conditions or provisions at any other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80"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6"/>
          <w:szCs w:val="16"/>
          <w:b w:val="1"/>
          <w:bCs w:val="1"/>
          <w:color w:val="auto"/>
        </w:rPr>
        <w:t>E</w:t>
      </w:r>
      <w:r>
        <w:rPr>
          <w:rFonts w:ascii="Times New Roman" w:cs="Times New Roman" w:eastAsia="Times New Roman" w:hAnsi="Times New Roman"/>
          <w:sz w:val="10"/>
          <w:szCs w:val="10"/>
          <w:b w:val="1"/>
          <w:bCs w:val="1"/>
          <w:color w:val="auto"/>
        </w:rPr>
        <w:t>xecutive</w:t>
      </w:r>
      <w:r>
        <w:rPr>
          <w:rFonts w:ascii="Times New Roman" w:cs="Times New Roman" w:eastAsia="Times New Roman" w:hAnsi="Times New Roman"/>
          <w:sz w:val="16"/>
          <w:szCs w:val="16"/>
          <w:b w:val="1"/>
          <w:bCs w:val="1"/>
          <w:color w:val="auto"/>
        </w:rPr>
        <w:t xml:space="preserve"> E</w:t>
      </w:r>
      <w:r>
        <w:rPr>
          <w:rFonts w:ascii="Times New Roman" w:cs="Times New Roman" w:eastAsia="Times New Roman" w:hAnsi="Times New Roman"/>
          <w:sz w:val="10"/>
          <w:szCs w:val="10"/>
          <w:b w:val="1"/>
          <w:bCs w:val="1"/>
          <w:color w:val="auto"/>
        </w:rPr>
        <w:t>mployment</w:t>
      </w:r>
      <w:r>
        <w:rPr>
          <w:rFonts w:ascii="Times New Roman" w:cs="Times New Roman" w:eastAsia="Times New Roman" w:hAnsi="Times New Roman"/>
          <w:sz w:val="16"/>
          <w:szCs w:val="16"/>
          <w:b w:val="1"/>
          <w:bCs w:val="1"/>
          <w:color w:val="auto"/>
        </w:rPr>
        <w:t xml:space="preserve"> A</w:t>
      </w:r>
      <w:r>
        <w:rPr>
          <w:rFonts w:ascii="Times New Roman" w:cs="Times New Roman" w:eastAsia="Times New Roman" w:hAnsi="Times New Roman"/>
          <w:sz w:val="10"/>
          <w:szCs w:val="10"/>
          <w:b w:val="1"/>
          <w:bCs w:val="1"/>
          <w:color w:val="auto"/>
        </w:rPr>
        <w:t>gmt</w:t>
      </w:r>
      <w:r>
        <w:rPr>
          <w:rFonts w:ascii="Times New Roman" w:cs="Times New Roman" w:eastAsia="Times New Roman" w:hAnsi="Times New Roman"/>
          <w:sz w:val="16"/>
          <w:szCs w:val="16"/>
          <w:b w:val="1"/>
          <w:bCs w:val="1"/>
          <w:color w:val="auto"/>
        </w:rPr>
        <w:t xml:space="preserve"> S</w:t>
      </w:r>
      <w:r>
        <w:rPr>
          <w:rFonts w:ascii="Times New Roman" w:cs="Times New Roman" w:eastAsia="Times New Roman" w:hAnsi="Times New Roman"/>
          <w:sz w:val="10"/>
          <w:szCs w:val="10"/>
          <w:b w:val="1"/>
          <w:bCs w:val="1"/>
          <w:color w:val="auto"/>
        </w:rPr>
        <w:t>td</w:t>
      </w:r>
      <w:r>
        <w:rPr>
          <w:rFonts w:ascii="Times New Roman" w:cs="Times New Roman" w:eastAsia="Times New Roman" w:hAnsi="Times New Roman"/>
          <w:sz w:val="16"/>
          <w:szCs w:val="16"/>
          <w:b w:val="1"/>
          <w:bCs w:val="1"/>
          <w:color w:val="auto"/>
        </w:rPr>
        <w:t xml:space="preserve"> 11.1.24</w:t>
      </w:r>
      <w:r>
        <w:rPr>
          <w:sz w:val="20"/>
          <w:szCs w:val="20"/>
          <w:color w:val="auto"/>
        </w:rPr>
        <w:tab/>
      </w:r>
      <w:r>
        <w:rPr>
          <w:rFonts w:ascii="Times New Roman" w:cs="Times New Roman" w:eastAsia="Times New Roman" w:hAnsi="Times New Roman"/>
          <w:sz w:val="16"/>
          <w:szCs w:val="16"/>
          <w:b w:val="1"/>
          <w:bCs w:val="1"/>
          <w:color w:val="auto"/>
        </w:rPr>
        <w:t>A</w:t>
      </w:r>
      <w:r>
        <w:rPr>
          <w:rFonts w:ascii="Times New Roman" w:cs="Times New Roman" w:eastAsia="Times New Roman" w:hAnsi="Times New Roman"/>
          <w:sz w:val="10"/>
          <w:szCs w:val="10"/>
          <w:b w:val="1"/>
          <w:bCs w:val="1"/>
          <w:color w:val="auto"/>
        </w:rPr>
        <w:t>ccuray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4" w:name="page95"/>
    <w:bookmarkEnd w:id="94"/>
    <w:p>
      <w:pPr>
        <w:ind w:left="6560"/>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16</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NUMPAGES \* Arabic \* MERGEFORMAT 31</w:t>
      </w:r>
    </w:p>
    <w:p>
      <w:pPr>
        <w:spacing w:after="0" w:line="200" w:lineRule="exact"/>
        <w:rPr>
          <w:sz w:val="20"/>
          <w:szCs w:val="20"/>
          <w:color w:val="auto"/>
        </w:rPr>
      </w:pPr>
    </w:p>
    <w:p>
      <w:pPr>
        <w:spacing w:after="0" w:line="237" w:lineRule="exact"/>
        <w:rPr>
          <w:sz w:val="20"/>
          <w:szCs w:val="20"/>
          <w:color w:val="auto"/>
        </w:rPr>
      </w:pPr>
    </w:p>
    <w:p>
      <w:pPr>
        <w:ind w:left="1020" w:hanging="263"/>
        <w:spacing w:after="0"/>
        <w:tabs>
          <w:tab w:leader="none" w:pos="1020" w:val="left"/>
        </w:tabs>
        <w:numPr>
          <w:ilvl w:val="0"/>
          <w:numId w:val="78"/>
        </w:numPr>
        <w:rPr>
          <w:rFonts w:ascii="Times New Roman" w:cs="Times New Roman" w:eastAsia="Times New Roman" w:hAnsi="Times New Roman"/>
          <w:sz w:val="20"/>
          <w:szCs w:val="20"/>
          <w:b w:val="1"/>
          <w:bCs w:val="1"/>
          <w:color w:val="00171E"/>
        </w:rPr>
      </w:pPr>
      <w:r>
        <w:rPr>
          <w:rFonts w:ascii="Times New Roman" w:cs="Times New Roman" w:eastAsia="Times New Roman" w:hAnsi="Times New Roman"/>
          <w:sz w:val="20"/>
          <w:szCs w:val="20"/>
          <w:b w:val="1"/>
          <w:bCs w:val="1"/>
          <w:color w:val="00171E"/>
        </w:rPr>
        <w:t>Taxes.</w:t>
      </w:r>
    </w:p>
    <w:p>
      <w:pPr>
        <w:spacing w:after="0" w:line="111" w:lineRule="exact"/>
        <w:rPr>
          <w:rFonts w:ascii="Times New Roman" w:cs="Times New Roman" w:eastAsia="Times New Roman" w:hAnsi="Times New Roman"/>
          <w:sz w:val="20"/>
          <w:szCs w:val="20"/>
          <w:b w:val="1"/>
          <w:bCs w:val="1"/>
          <w:color w:val="00171E"/>
        </w:rPr>
      </w:pPr>
    </w:p>
    <w:p>
      <w:pPr>
        <w:jc w:val="both"/>
        <w:ind w:firstLine="1505"/>
        <w:spacing w:after="0" w:line="249" w:lineRule="auto"/>
        <w:tabs>
          <w:tab w:leader="none" w:pos="2036" w:val="left"/>
        </w:tabs>
        <w:numPr>
          <w:ilvl w:val="1"/>
          <w:numId w:val="78"/>
        </w:numPr>
        <w:rPr>
          <w:rFonts w:ascii="Times New Roman" w:cs="Times New Roman" w:eastAsia="Times New Roman" w:hAnsi="Times New Roman"/>
          <w:sz w:val="20"/>
          <w:szCs w:val="20"/>
          <w:u w:val="single" w:color="auto"/>
          <w:color w:val="00171E"/>
        </w:rPr>
      </w:pPr>
      <w:r>
        <w:rPr>
          <w:rFonts w:ascii="Times New Roman" w:cs="Times New Roman" w:eastAsia="Times New Roman" w:hAnsi="Times New Roman"/>
          <w:sz w:val="20"/>
          <w:szCs w:val="20"/>
          <w:u w:val="single" w:color="auto"/>
          <w:color w:val="00171E"/>
        </w:rPr>
        <w:t>Withholdings</w:t>
      </w:r>
      <w:r>
        <w:rPr>
          <w:rFonts w:ascii="Times New Roman" w:cs="Times New Roman" w:eastAsia="Times New Roman" w:hAnsi="Times New Roman"/>
          <w:sz w:val="20"/>
          <w:szCs w:val="20"/>
          <w:color w:val="00171E"/>
        </w:rPr>
        <w:t>. The Company may withhold from any compensation and benefits payable under this Agreement all federal, state, city and other taxes or amounts as shall be determined by the Company to be required to be withheld pursuant to applicable laws, or governmental regulations or rulings. Executive shall be solely responsible for the satisfaction of any taxes (including employment taxes imposed on employees and penalty taxes on nonqualified deferred compensation).</w:t>
      </w:r>
    </w:p>
    <w:p>
      <w:pPr>
        <w:spacing w:after="0" w:line="71" w:lineRule="exact"/>
        <w:rPr>
          <w:rFonts w:ascii="Times New Roman" w:cs="Times New Roman" w:eastAsia="Times New Roman" w:hAnsi="Times New Roman"/>
          <w:sz w:val="20"/>
          <w:szCs w:val="20"/>
          <w:u w:val="single" w:color="auto"/>
          <w:color w:val="00171E"/>
        </w:rPr>
      </w:pPr>
    </w:p>
    <w:p>
      <w:pPr>
        <w:ind w:firstLine="1505"/>
        <w:spacing w:after="0"/>
        <w:tabs>
          <w:tab w:leader="none" w:pos="2036" w:val="left"/>
        </w:tabs>
        <w:numPr>
          <w:ilvl w:val="1"/>
          <w:numId w:val="78"/>
        </w:numPr>
        <w:rPr>
          <w:rFonts w:ascii="Times New Roman" w:cs="Times New Roman" w:eastAsia="Times New Roman" w:hAnsi="Times New Roman"/>
          <w:sz w:val="20"/>
          <w:szCs w:val="20"/>
          <w:u w:val="single" w:color="auto"/>
          <w:color w:val="00171E"/>
        </w:rPr>
      </w:pPr>
      <w:r>
        <w:rPr>
          <w:rFonts w:ascii="Times New Roman" w:cs="Times New Roman" w:eastAsia="Times New Roman" w:hAnsi="Times New Roman"/>
          <w:sz w:val="20"/>
          <w:szCs w:val="20"/>
          <w:u w:val="single" w:color="auto"/>
          <w:color w:val="00171E"/>
        </w:rPr>
        <w:t>Net Proceeds Maximization</w:t>
      </w:r>
      <w:r>
        <w:rPr>
          <w:rFonts w:ascii="Times New Roman" w:cs="Times New Roman" w:eastAsia="Times New Roman" w:hAnsi="Times New Roman"/>
          <w:sz w:val="20"/>
          <w:szCs w:val="20"/>
          <w:color w:val="00171E"/>
        </w:rPr>
        <w:t>. Notwithstanding any provision of this Agreement to the contrary, if all or any portion of the payments or benefits received or realized by Executive pursuant to this Agreement either alone or together with other payments or benefits that Executive receives or realizes or is then entitled to receive or realize from the Company or any of its affiliates (“</w:t>
      </w:r>
      <w:r>
        <w:rPr>
          <w:rFonts w:ascii="Times New Roman" w:cs="Times New Roman" w:eastAsia="Times New Roman" w:hAnsi="Times New Roman"/>
          <w:sz w:val="20"/>
          <w:szCs w:val="20"/>
          <w:u w:val="single" w:color="auto"/>
          <w:color w:val="00171E"/>
        </w:rPr>
        <w:t>Potential</w:t>
      </w:r>
      <w:r>
        <w:rPr>
          <w:rFonts w:ascii="Times New Roman" w:cs="Times New Roman" w:eastAsia="Times New Roman" w:hAnsi="Times New Roman"/>
          <w:sz w:val="20"/>
          <w:szCs w:val="20"/>
          <w:color w:val="00171E"/>
        </w:rPr>
        <w:t xml:space="preserve"> </w:t>
      </w:r>
      <w:r>
        <w:rPr>
          <w:rFonts w:ascii="Times New Roman" w:cs="Times New Roman" w:eastAsia="Times New Roman" w:hAnsi="Times New Roman"/>
          <w:sz w:val="20"/>
          <w:szCs w:val="20"/>
          <w:u w:val="single" w:color="auto"/>
          <w:color w:val="00171E"/>
        </w:rPr>
        <w:t>Parachute Payments</w:t>
      </w:r>
      <w:r>
        <w:rPr>
          <w:rFonts w:ascii="Times New Roman" w:cs="Times New Roman" w:eastAsia="Times New Roman" w:hAnsi="Times New Roman"/>
          <w:sz w:val="20"/>
          <w:szCs w:val="20"/>
          <w:color w:val="00171E"/>
        </w:rPr>
        <w:t>”) would constitute a “parachute payment” within the meaning of section 280G of the Internal Revenue Code of 1986, as amended (the “</w:t>
      </w:r>
      <w:r>
        <w:rPr>
          <w:rFonts w:ascii="Times New Roman" w:cs="Times New Roman" w:eastAsia="Times New Roman" w:hAnsi="Times New Roman"/>
          <w:sz w:val="20"/>
          <w:szCs w:val="20"/>
          <w:u w:val="single" w:color="auto"/>
          <w:color w:val="00171E"/>
        </w:rPr>
        <w:t>Code</w:t>
      </w:r>
      <w:r>
        <w:rPr>
          <w:rFonts w:ascii="Times New Roman" w:cs="Times New Roman" w:eastAsia="Times New Roman" w:hAnsi="Times New Roman"/>
          <w:sz w:val="20"/>
          <w:szCs w:val="20"/>
          <w:color w:val="00171E"/>
        </w:rPr>
        <w:t>”), and/or any corresponding and applicable state law provision, the Potential Parachute Payments will be reduced by reducing the amount of the Potential Parachute Payments to the extent necessary so that no portion of the Potential Parachute Payments will be subject to the excise tax imposed by section 4999 of the Code and any corresponding and/or applicable state law provision. A reduction will be made under the previous sentence only if, by reason of that reduction, Executive's net after tax benefit exceeds the net after tax benefit he/she would realize if the reduction were not made. For purposes of this paragraph, “net after tax benefit” means the sum of (i) the total amount received or realized by Executive pursuant to this Agreement that would constitute a “parachute payment” within the meaning of section 280G of the Code and any corresponding and applicable state law provision, plus (ii) all other payments or benefits that Executive receives or realizes or is then entitled to receive or realize from the Company and any of its affiliates that would constitute a “parachute payment” within the meaning of section 280G of the Code and any corresponding and applicable state law provision, less (iii) the amount of federal or state income taxes payable with respect to the payments or benefits described in (i) and (ii) above calculated at the maximum marginal individual income tax rate for each year in which payments or benefits are realized by Executive (based upon the rate in effect for that year as set forth in the Code at the time of the first receipt or realization of the foregoing), less (iv) the amount of excise taxes imposed with respect to the payments or benefits described in (i) and (ii) above by section 4999 of the Code and any corresponding and applicable state law provision. All determinations and calculations made in this paragraph shall be made by an independent accounting firm selected by the Company prior to the Change in Control (the “</w:t>
      </w:r>
      <w:r>
        <w:rPr>
          <w:rFonts w:ascii="Times New Roman" w:cs="Times New Roman" w:eastAsia="Times New Roman" w:hAnsi="Times New Roman"/>
          <w:sz w:val="20"/>
          <w:szCs w:val="20"/>
          <w:u w:val="single" w:color="auto"/>
          <w:color w:val="00171E"/>
        </w:rPr>
        <w:t>Accounting Firm</w:t>
      </w:r>
      <w:r>
        <w:rPr>
          <w:rFonts w:ascii="Times New Roman" w:cs="Times New Roman" w:eastAsia="Times New Roman" w:hAnsi="Times New Roman"/>
          <w:sz w:val="20"/>
          <w:szCs w:val="20"/>
          <w:color w:val="00171E"/>
        </w:rPr>
        <w:t xml:space="preserve">”) and the Company will bear all costs and expenses incurred by the Accounting Firm in connection with its determination. The Accounting Firm shall be a nationally recognized United States public accounting firm which has not, during the two (2) years preceding the date of its selection, acted in any way on behalf of (x) the Company or any affiliate thereof or (y) Executive. If any payments or benefits are reduced pursuant to this </w:t>
      </w:r>
      <w:r>
        <w:rPr>
          <w:rFonts w:ascii="Times New Roman" w:cs="Times New Roman" w:eastAsia="Times New Roman" w:hAnsi="Times New Roman"/>
          <w:sz w:val="20"/>
          <w:szCs w:val="20"/>
          <w:u w:val="single" w:color="auto"/>
          <w:color w:val="00171E"/>
        </w:rPr>
        <w:t>Section 16(b)</w:t>
      </w:r>
      <w:r>
        <w:rPr>
          <w:rFonts w:ascii="Times New Roman" w:cs="Times New Roman" w:eastAsia="Times New Roman" w:hAnsi="Times New Roman"/>
          <w:sz w:val="20"/>
          <w:szCs w:val="20"/>
          <w:color w:val="00171E"/>
        </w:rPr>
        <w:t>, they shall be reduced in the following order: First all payments and benefits that do not constitute “nonqualified deferred compensation” within the meaning of Section 409A or that are exempt from Section 409A (with the payments or benefits being reduced in reverse order of when they otherwise would be made or provided); second, all payments or benefits that constitute “nonqualified deferred compensation” within the meaning of Section 409A that are not exempt from Section 409A that were granted to Executive in the 12-month period of time preceding the applicable Change in Control, in the order such benefits were granted to Executive; and third, all remaining payments and benefits shall be reduced pro-rata. Notwithstanding the foregoing, if (i) reducing payments or benefits in the order described above would result in the imposition on Executive of an additional tax under Section 409A, (ii) Executive so notifies the Company before such reductions and payments are made and benefits provided, and (iii) reducing the payments or benefits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171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2"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6"/>
          <w:szCs w:val="16"/>
          <w:b w:val="1"/>
          <w:bCs w:val="1"/>
          <w:color w:val="auto"/>
        </w:rPr>
        <w:t>E</w:t>
      </w:r>
      <w:r>
        <w:rPr>
          <w:rFonts w:ascii="Times New Roman" w:cs="Times New Roman" w:eastAsia="Times New Roman" w:hAnsi="Times New Roman"/>
          <w:sz w:val="10"/>
          <w:szCs w:val="10"/>
          <w:b w:val="1"/>
          <w:bCs w:val="1"/>
          <w:color w:val="auto"/>
        </w:rPr>
        <w:t>xecutive</w:t>
      </w:r>
      <w:r>
        <w:rPr>
          <w:rFonts w:ascii="Times New Roman" w:cs="Times New Roman" w:eastAsia="Times New Roman" w:hAnsi="Times New Roman"/>
          <w:sz w:val="16"/>
          <w:szCs w:val="16"/>
          <w:b w:val="1"/>
          <w:bCs w:val="1"/>
          <w:color w:val="auto"/>
        </w:rPr>
        <w:t xml:space="preserve"> E</w:t>
      </w:r>
      <w:r>
        <w:rPr>
          <w:rFonts w:ascii="Times New Roman" w:cs="Times New Roman" w:eastAsia="Times New Roman" w:hAnsi="Times New Roman"/>
          <w:sz w:val="10"/>
          <w:szCs w:val="10"/>
          <w:b w:val="1"/>
          <w:bCs w:val="1"/>
          <w:color w:val="auto"/>
        </w:rPr>
        <w:t>mployment</w:t>
      </w:r>
      <w:r>
        <w:rPr>
          <w:rFonts w:ascii="Times New Roman" w:cs="Times New Roman" w:eastAsia="Times New Roman" w:hAnsi="Times New Roman"/>
          <w:sz w:val="16"/>
          <w:szCs w:val="16"/>
          <w:b w:val="1"/>
          <w:bCs w:val="1"/>
          <w:color w:val="auto"/>
        </w:rPr>
        <w:t xml:space="preserve"> A</w:t>
      </w:r>
      <w:r>
        <w:rPr>
          <w:rFonts w:ascii="Times New Roman" w:cs="Times New Roman" w:eastAsia="Times New Roman" w:hAnsi="Times New Roman"/>
          <w:sz w:val="10"/>
          <w:szCs w:val="10"/>
          <w:b w:val="1"/>
          <w:bCs w:val="1"/>
          <w:color w:val="auto"/>
        </w:rPr>
        <w:t>gmt</w:t>
      </w:r>
      <w:r>
        <w:rPr>
          <w:rFonts w:ascii="Times New Roman" w:cs="Times New Roman" w:eastAsia="Times New Roman" w:hAnsi="Times New Roman"/>
          <w:sz w:val="16"/>
          <w:szCs w:val="16"/>
          <w:b w:val="1"/>
          <w:bCs w:val="1"/>
          <w:color w:val="auto"/>
        </w:rPr>
        <w:t xml:space="preserve"> S</w:t>
      </w:r>
      <w:r>
        <w:rPr>
          <w:rFonts w:ascii="Times New Roman" w:cs="Times New Roman" w:eastAsia="Times New Roman" w:hAnsi="Times New Roman"/>
          <w:sz w:val="10"/>
          <w:szCs w:val="10"/>
          <w:b w:val="1"/>
          <w:bCs w:val="1"/>
          <w:color w:val="auto"/>
        </w:rPr>
        <w:t>td</w:t>
      </w:r>
      <w:r>
        <w:rPr>
          <w:rFonts w:ascii="Times New Roman" w:cs="Times New Roman" w:eastAsia="Times New Roman" w:hAnsi="Times New Roman"/>
          <w:sz w:val="16"/>
          <w:szCs w:val="16"/>
          <w:b w:val="1"/>
          <w:bCs w:val="1"/>
          <w:color w:val="auto"/>
        </w:rPr>
        <w:t xml:space="preserve"> 11.1.24</w:t>
      </w:r>
      <w:r>
        <w:rPr>
          <w:sz w:val="20"/>
          <w:szCs w:val="20"/>
          <w:color w:val="auto"/>
        </w:rPr>
        <w:tab/>
      </w:r>
      <w:r>
        <w:rPr>
          <w:rFonts w:ascii="Times New Roman" w:cs="Times New Roman" w:eastAsia="Times New Roman" w:hAnsi="Times New Roman"/>
          <w:sz w:val="16"/>
          <w:szCs w:val="16"/>
          <w:b w:val="1"/>
          <w:bCs w:val="1"/>
          <w:color w:val="auto"/>
        </w:rPr>
        <w:t>A</w:t>
      </w:r>
      <w:r>
        <w:rPr>
          <w:rFonts w:ascii="Times New Roman" w:cs="Times New Roman" w:eastAsia="Times New Roman" w:hAnsi="Times New Roman"/>
          <w:sz w:val="10"/>
          <w:szCs w:val="10"/>
          <w:b w:val="1"/>
          <w:bCs w:val="1"/>
          <w:color w:val="auto"/>
        </w:rPr>
        <w:t>ccuray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5" w:name="page96"/>
    <w:bookmarkEnd w:id="95"/>
    <w:p>
      <w:pPr>
        <w:ind w:left="6560"/>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17</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NUMPAGES \* Arabic \* MERGEFORMAT 31</w:t>
      </w:r>
    </w:p>
    <w:p>
      <w:pPr>
        <w:spacing w:after="0" w:line="200" w:lineRule="exact"/>
        <w:rPr>
          <w:sz w:val="20"/>
          <w:szCs w:val="20"/>
          <w:color w:val="auto"/>
        </w:rPr>
      </w:pPr>
    </w:p>
    <w:p>
      <w:pPr>
        <w:spacing w:after="0" w:line="24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00171E"/>
        </w:rPr>
        <w:t>another order would not result in the imposition on Executive of an additional tax under Section 409A , payments and benefits shall instead be reduced in such other order.</w:t>
      </w:r>
    </w:p>
    <w:p>
      <w:pPr>
        <w:spacing w:after="0" w:line="51" w:lineRule="exact"/>
        <w:rPr>
          <w:sz w:val="20"/>
          <w:szCs w:val="20"/>
          <w:color w:val="auto"/>
        </w:rPr>
      </w:pPr>
    </w:p>
    <w:p>
      <w:pPr>
        <w:ind w:left="2040" w:hanging="535"/>
        <w:spacing w:after="0"/>
        <w:tabs>
          <w:tab w:leader="none" w:pos="2040" w:val="left"/>
        </w:tabs>
        <w:numPr>
          <w:ilvl w:val="0"/>
          <w:numId w:val="79"/>
        </w:numPr>
        <w:rPr>
          <w:rFonts w:ascii="Times New Roman" w:cs="Times New Roman" w:eastAsia="Times New Roman" w:hAnsi="Times New Roman"/>
          <w:sz w:val="20"/>
          <w:szCs w:val="20"/>
          <w:u w:val="single" w:color="auto"/>
          <w:color w:val="00171E"/>
        </w:rPr>
      </w:pPr>
      <w:r>
        <w:rPr>
          <w:rFonts w:ascii="Times New Roman" w:cs="Times New Roman" w:eastAsia="Times New Roman" w:hAnsi="Times New Roman"/>
          <w:sz w:val="20"/>
          <w:szCs w:val="20"/>
          <w:u w:val="single" w:color="auto"/>
          <w:color w:val="00171E"/>
        </w:rPr>
        <w:t>Section 409A Compliance</w:t>
      </w:r>
      <w:r>
        <w:rPr>
          <w:rFonts w:ascii="Times New Roman" w:cs="Times New Roman" w:eastAsia="Times New Roman" w:hAnsi="Times New Roman"/>
          <w:sz w:val="20"/>
          <w:szCs w:val="20"/>
          <w:color w:val="00171E"/>
        </w:rPr>
        <w:t>.</w:t>
      </w:r>
    </w:p>
    <w:p>
      <w:pPr>
        <w:spacing w:after="0" w:line="107" w:lineRule="exact"/>
        <w:rPr>
          <w:rFonts w:ascii="Times New Roman" w:cs="Times New Roman" w:eastAsia="Times New Roman" w:hAnsi="Times New Roman"/>
          <w:sz w:val="20"/>
          <w:szCs w:val="20"/>
          <w:u w:val="single" w:color="auto"/>
          <w:color w:val="00171E"/>
        </w:rPr>
      </w:pPr>
    </w:p>
    <w:p>
      <w:pPr>
        <w:jc w:val="both"/>
        <w:ind w:firstLine="2254"/>
        <w:spacing w:after="0" w:line="242" w:lineRule="auto"/>
        <w:tabs>
          <w:tab w:leader="none" w:pos="2546" w:val="left"/>
        </w:tabs>
        <w:numPr>
          <w:ilvl w:val="1"/>
          <w:numId w:val="79"/>
        </w:numPr>
        <w:rPr>
          <w:rFonts w:ascii="Times New Roman" w:cs="Times New Roman" w:eastAsia="Times New Roman" w:hAnsi="Times New Roman"/>
          <w:sz w:val="20"/>
          <w:szCs w:val="20"/>
          <w:color w:val="00171E"/>
        </w:rPr>
      </w:pPr>
      <w:r>
        <w:rPr>
          <w:rFonts w:ascii="Times New Roman" w:cs="Times New Roman" w:eastAsia="Times New Roman" w:hAnsi="Times New Roman"/>
          <w:sz w:val="20"/>
          <w:szCs w:val="20"/>
          <w:color w:val="00171E"/>
        </w:rPr>
        <w:t>With respect to any reimbursement of expenses or any provision of in-kind benefits to Executive specified under this Agreement, such reimbursement of expenses or provision of in-kind benefits shall be subject to the following conditions: (1) the expenses eligible for reimbursement or the amount of in-kind benefits provided in one taxable year shall not affect the expenses eligible for reimbursement or the amount of in-kind benefits provided in any other taxable year, except for any medical reimbursement arrangements providing for the reimbursement of expenses referred to in section 105(b) of the Code; (2) the reimbursement of an eligible expense shall be made no later than the end of the year following the year in which such expense was incurred; and (3) the right to reimbursement or in-kind benefits shall not be subject to liquidation or exchange for another benefit. To the extent any bonus that becomes payable to Executive under the Bonus Plan constitutes “deferred compensation” within the meaning of Section 409A of the Code, then notwithstanding any payment timing provisions in the Bonus Plan to the contrary, such payment will be made in the calendar year in which the applicable performance period ends.</w:t>
      </w:r>
    </w:p>
    <w:p>
      <w:pPr>
        <w:spacing w:after="0" w:line="84" w:lineRule="exact"/>
        <w:rPr>
          <w:rFonts w:ascii="Times New Roman" w:cs="Times New Roman" w:eastAsia="Times New Roman" w:hAnsi="Times New Roman"/>
          <w:sz w:val="20"/>
          <w:szCs w:val="20"/>
          <w:color w:val="00171E"/>
        </w:rPr>
      </w:pPr>
    </w:p>
    <w:p>
      <w:pPr>
        <w:jc w:val="both"/>
        <w:ind w:firstLine="2254"/>
        <w:spacing w:after="0" w:line="245" w:lineRule="auto"/>
        <w:tabs>
          <w:tab w:leader="none" w:pos="2546" w:val="left"/>
        </w:tabs>
        <w:numPr>
          <w:ilvl w:val="1"/>
          <w:numId w:val="79"/>
        </w:numPr>
        <w:rPr>
          <w:rFonts w:ascii="Times New Roman" w:cs="Times New Roman" w:eastAsia="Times New Roman" w:hAnsi="Times New Roman"/>
          <w:sz w:val="20"/>
          <w:szCs w:val="20"/>
          <w:color w:val="00171E"/>
        </w:rPr>
      </w:pPr>
      <w:r>
        <w:rPr>
          <w:rFonts w:ascii="Times New Roman" w:cs="Times New Roman" w:eastAsia="Times New Roman" w:hAnsi="Times New Roman"/>
          <w:sz w:val="20"/>
          <w:szCs w:val="20"/>
          <w:color w:val="00171E"/>
        </w:rPr>
        <w:t>A termination of employment shall not be deemed to have occurred for purposes of any provision of this Agreement providing for the payment of any amounts or benefits considered “deferred compensation” (as defined under Treasury Regulation section 1.409A-1(b)(1), after giving effect to the exemptions in Treasury Regulation sections 1.409A-1(b)(3) through (b)(12)) upon or following a termination of employment unless such termination is also a “separation from service” within the meaning of Section 409A and, for purposes of any such provision of this Agreement, references to a “termination,” “termination of employment” or like terms shall mean “separation from service” within the meaning of Section 409A.</w:t>
      </w:r>
    </w:p>
    <w:p>
      <w:pPr>
        <w:spacing w:after="0" w:line="76" w:lineRule="exact"/>
        <w:rPr>
          <w:sz w:val="20"/>
          <w:szCs w:val="20"/>
          <w:color w:val="auto"/>
        </w:rPr>
      </w:pPr>
    </w:p>
    <w:p>
      <w:pPr>
        <w:jc w:val="both"/>
        <w:ind w:firstLine="2246"/>
        <w:spacing w:after="0" w:line="242" w:lineRule="auto"/>
        <w:rPr>
          <w:sz w:val="20"/>
          <w:szCs w:val="20"/>
          <w:color w:val="auto"/>
        </w:rPr>
      </w:pPr>
      <w:r>
        <w:rPr>
          <w:rFonts w:ascii="Times New Roman" w:cs="Times New Roman" w:eastAsia="Times New Roman" w:hAnsi="Times New Roman"/>
          <w:sz w:val="20"/>
          <w:szCs w:val="20"/>
          <w:color w:val="00171E"/>
        </w:rPr>
        <w:t>(iii)Notwithstanding anything in this Agreement to the contrary, if a payment obligation arises on account of Executive’s separation from service while Executive is a “specified employee” as described in Section 409A of the Code and any final regulations and guidance thereunder and any applicable state or local law equivalent, as each may be amended or promulgated from time to time (collectively, “</w:t>
      </w:r>
      <w:r>
        <w:rPr>
          <w:rFonts w:ascii="Times New Roman" w:cs="Times New Roman" w:eastAsia="Times New Roman" w:hAnsi="Times New Roman"/>
          <w:sz w:val="20"/>
          <w:szCs w:val="20"/>
          <w:u w:val="single" w:color="auto"/>
          <w:color w:val="00171E"/>
        </w:rPr>
        <w:t>Section 409A</w:t>
      </w:r>
      <w:r>
        <w:rPr>
          <w:rFonts w:ascii="Times New Roman" w:cs="Times New Roman" w:eastAsia="Times New Roman" w:hAnsi="Times New Roman"/>
          <w:sz w:val="20"/>
          <w:szCs w:val="20"/>
          <w:color w:val="00171E"/>
        </w:rPr>
        <w:t>”), and as determined by Company in accordance with its procedures, by which determination Executive is bound, any payment of “deferred compensation” (as defined under Treasury Regulation section 1.409A-1(b)(1), after giving effect to the exemptions in Treasury Regulation sections 1.409A-1(b)(3) through (b)(12)) shall be made on the first business day of the seventh month following the date of Executive’s separation from service (or, if earlier, within fifteen (15) days after the appointment of the personal representative or executor of Executive’s estate following Executive’s death) together with interest on them for the period of delay at a rate equal to the average prime interest rate published in the Wall Street Journal on any day chosen by the Company during that period. Thereafter, Executive shall receive any remaining payments as if there had not been an earlier delay.</w:t>
      </w:r>
    </w:p>
    <w:p>
      <w:pPr>
        <w:spacing w:after="0" w:line="84" w:lineRule="exact"/>
        <w:rPr>
          <w:sz w:val="20"/>
          <w:szCs w:val="20"/>
          <w:color w:val="auto"/>
        </w:rPr>
      </w:pPr>
    </w:p>
    <w:p>
      <w:pPr>
        <w:jc w:val="both"/>
        <w:ind w:firstLine="2246"/>
        <w:spacing w:after="0" w:line="245" w:lineRule="auto"/>
        <w:rPr>
          <w:sz w:val="20"/>
          <w:szCs w:val="20"/>
          <w:color w:val="auto"/>
        </w:rPr>
      </w:pPr>
      <w:r>
        <w:rPr>
          <w:rFonts w:ascii="Times New Roman" w:cs="Times New Roman" w:eastAsia="Times New Roman" w:hAnsi="Times New Roman"/>
          <w:sz w:val="20"/>
          <w:szCs w:val="20"/>
          <w:color w:val="00171E"/>
        </w:rPr>
        <w:t>(iv)Notwithstanding anything to the contrary contained in this Agreement, (i) the Executive shall have no legally-enforceable right to, and the Company shall have no obligation to make, any payment or provide any benefit to Executive if having such a right or obligation would result in the imposition of additional taxes under Section 409A, and (ii) any provision that would cause any payment or benefit to fail to satisfy Section 409A will have no force and effect until amended to comply therewith (which amendment may be retroactive to the extent permitted by Section 409A and may be accomplished by the Company without the Executive’s consent). Each payment made under this Agreement is intended to be a separate payment for the purposes of section 409A of the Code.</w:t>
      </w:r>
    </w:p>
    <w:p>
      <w:pPr>
        <w:spacing w:after="0" w:line="76" w:lineRule="exact"/>
        <w:rPr>
          <w:sz w:val="20"/>
          <w:szCs w:val="20"/>
          <w:color w:val="auto"/>
        </w:rPr>
      </w:pPr>
    </w:p>
    <w:p>
      <w:pPr>
        <w:jc w:val="both"/>
        <w:ind w:firstLine="2254"/>
        <w:spacing w:after="0" w:line="254" w:lineRule="auto"/>
        <w:tabs>
          <w:tab w:leader="none" w:pos="2546" w:val="left"/>
        </w:tabs>
        <w:numPr>
          <w:ilvl w:val="0"/>
          <w:numId w:val="80"/>
        </w:numPr>
        <w:rPr>
          <w:rFonts w:ascii="Times New Roman" w:cs="Times New Roman" w:eastAsia="Times New Roman" w:hAnsi="Times New Roman"/>
          <w:sz w:val="20"/>
          <w:szCs w:val="20"/>
          <w:color w:val="00171E"/>
        </w:rPr>
      </w:pPr>
      <w:r>
        <w:rPr>
          <w:rFonts w:ascii="Times New Roman" w:cs="Times New Roman" w:eastAsia="Times New Roman" w:hAnsi="Times New Roman"/>
          <w:sz w:val="20"/>
          <w:szCs w:val="20"/>
          <w:color w:val="00171E"/>
        </w:rPr>
        <w:t>The Company does not guarantee any particular tax effect to Executive under this Agreement. Company shall not be liable to Executive for reporting in good faith any payment made under this Agreement as an amount includible in gross income under Section 409A. In no event 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71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75"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6"/>
          <w:szCs w:val="16"/>
          <w:b w:val="1"/>
          <w:bCs w:val="1"/>
          <w:color w:val="auto"/>
        </w:rPr>
        <w:t>E</w:t>
      </w:r>
      <w:r>
        <w:rPr>
          <w:rFonts w:ascii="Times New Roman" w:cs="Times New Roman" w:eastAsia="Times New Roman" w:hAnsi="Times New Roman"/>
          <w:sz w:val="10"/>
          <w:szCs w:val="10"/>
          <w:b w:val="1"/>
          <w:bCs w:val="1"/>
          <w:color w:val="auto"/>
        </w:rPr>
        <w:t>xecutive</w:t>
      </w:r>
      <w:r>
        <w:rPr>
          <w:rFonts w:ascii="Times New Roman" w:cs="Times New Roman" w:eastAsia="Times New Roman" w:hAnsi="Times New Roman"/>
          <w:sz w:val="16"/>
          <w:szCs w:val="16"/>
          <w:b w:val="1"/>
          <w:bCs w:val="1"/>
          <w:color w:val="auto"/>
        </w:rPr>
        <w:t xml:space="preserve"> E</w:t>
      </w:r>
      <w:r>
        <w:rPr>
          <w:rFonts w:ascii="Times New Roman" w:cs="Times New Roman" w:eastAsia="Times New Roman" w:hAnsi="Times New Roman"/>
          <w:sz w:val="10"/>
          <w:szCs w:val="10"/>
          <w:b w:val="1"/>
          <w:bCs w:val="1"/>
          <w:color w:val="auto"/>
        </w:rPr>
        <w:t>mployment</w:t>
      </w:r>
      <w:r>
        <w:rPr>
          <w:rFonts w:ascii="Times New Roman" w:cs="Times New Roman" w:eastAsia="Times New Roman" w:hAnsi="Times New Roman"/>
          <w:sz w:val="16"/>
          <w:szCs w:val="16"/>
          <w:b w:val="1"/>
          <w:bCs w:val="1"/>
          <w:color w:val="auto"/>
        </w:rPr>
        <w:t xml:space="preserve"> A</w:t>
      </w:r>
      <w:r>
        <w:rPr>
          <w:rFonts w:ascii="Times New Roman" w:cs="Times New Roman" w:eastAsia="Times New Roman" w:hAnsi="Times New Roman"/>
          <w:sz w:val="10"/>
          <w:szCs w:val="10"/>
          <w:b w:val="1"/>
          <w:bCs w:val="1"/>
          <w:color w:val="auto"/>
        </w:rPr>
        <w:t>gmt</w:t>
      </w:r>
      <w:r>
        <w:rPr>
          <w:rFonts w:ascii="Times New Roman" w:cs="Times New Roman" w:eastAsia="Times New Roman" w:hAnsi="Times New Roman"/>
          <w:sz w:val="16"/>
          <w:szCs w:val="16"/>
          <w:b w:val="1"/>
          <w:bCs w:val="1"/>
          <w:color w:val="auto"/>
        </w:rPr>
        <w:t xml:space="preserve"> S</w:t>
      </w:r>
      <w:r>
        <w:rPr>
          <w:rFonts w:ascii="Times New Roman" w:cs="Times New Roman" w:eastAsia="Times New Roman" w:hAnsi="Times New Roman"/>
          <w:sz w:val="10"/>
          <w:szCs w:val="10"/>
          <w:b w:val="1"/>
          <w:bCs w:val="1"/>
          <w:color w:val="auto"/>
        </w:rPr>
        <w:t>td</w:t>
      </w:r>
      <w:r>
        <w:rPr>
          <w:rFonts w:ascii="Times New Roman" w:cs="Times New Roman" w:eastAsia="Times New Roman" w:hAnsi="Times New Roman"/>
          <w:sz w:val="16"/>
          <w:szCs w:val="16"/>
          <w:b w:val="1"/>
          <w:bCs w:val="1"/>
          <w:color w:val="auto"/>
        </w:rPr>
        <w:t xml:space="preserve"> 11.1.24</w:t>
      </w:r>
      <w:r>
        <w:rPr>
          <w:sz w:val="20"/>
          <w:szCs w:val="20"/>
          <w:color w:val="auto"/>
        </w:rPr>
        <w:tab/>
      </w:r>
      <w:r>
        <w:rPr>
          <w:rFonts w:ascii="Times New Roman" w:cs="Times New Roman" w:eastAsia="Times New Roman" w:hAnsi="Times New Roman"/>
          <w:sz w:val="16"/>
          <w:szCs w:val="16"/>
          <w:b w:val="1"/>
          <w:bCs w:val="1"/>
          <w:color w:val="auto"/>
        </w:rPr>
        <w:t>A</w:t>
      </w:r>
      <w:r>
        <w:rPr>
          <w:rFonts w:ascii="Times New Roman" w:cs="Times New Roman" w:eastAsia="Times New Roman" w:hAnsi="Times New Roman"/>
          <w:sz w:val="10"/>
          <w:szCs w:val="10"/>
          <w:b w:val="1"/>
          <w:bCs w:val="1"/>
          <w:color w:val="auto"/>
        </w:rPr>
        <w:t>ccuray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18</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NUMPAGES \* Arabic \* MERGEFORMAT 31</w:t>
      </w:r>
    </w:p>
    <w:p>
      <w:pPr>
        <w:spacing w:after="0" w:line="200" w:lineRule="exact"/>
        <w:rPr>
          <w:sz w:val="20"/>
          <w:szCs w:val="20"/>
          <w:color w:val="auto"/>
        </w:rPr>
      </w:pPr>
    </w:p>
    <w:p>
      <w:pPr>
        <w:spacing w:after="0" w:line="24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00171E"/>
        </w:rPr>
        <w:t>the Company or any of its affiliates have any obligation, liability or responsibility to reimburse or indemnify Executive or hold Executive harmless for any taxes imposed, or other costs incurred, as a result of Section 409A. The parties intend this Agreement to be exempt from, or comply with, the requirements of Section 409A so that none of the payments and benefits to be provided hereunder will be subject to the additional tax imposed by Section 409A. Any ambiguities or ambiguous terms shall be interpreted to so be exempt or comply, and this Agreement shall be administered in accordance with such intent.</w:t>
      </w:r>
    </w:p>
    <w:p>
      <w:pPr>
        <w:spacing w:after="0" w:line="73" w:lineRule="exact"/>
        <w:rPr>
          <w:sz w:val="20"/>
          <w:szCs w:val="20"/>
          <w:color w:val="auto"/>
        </w:rPr>
      </w:pPr>
    </w:p>
    <w:p>
      <w:pPr>
        <w:jc w:val="both"/>
        <w:ind w:firstLine="757"/>
        <w:spacing w:after="0" w:line="250" w:lineRule="auto"/>
        <w:tabs>
          <w:tab w:leader="none" w:pos="1018" w:val="left"/>
        </w:tabs>
        <w:numPr>
          <w:ilvl w:val="0"/>
          <w:numId w:val="81"/>
        </w:numPr>
        <w:rPr>
          <w:rFonts w:ascii="Times New Roman" w:cs="Times New Roman" w:eastAsia="Times New Roman" w:hAnsi="Times New Roman"/>
          <w:sz w:val="20"/>
          <w:szCs w:val="20"/>
          <w:b w:val="1"/>
          <w:bCs w:val="1"/>
          <w:color w:val="00171E"/>
        </w:rPr>
      </w:pPr>
      <w:r>
        <w:rPr>
          <w:rFonts w:ascii="Times New Roman" w:cs="Times New Roman" w:eastAsia="Times New Roman" w:hAnsi="Times New Roman"/>
          <w:sz w:val="20"/>
          <w:szCs w:val="20"/>
          <w:b w:val="1"/>
          <w:bCs w:val="1"/>
          <w:color w:val="00171E"/>
        </w:rPr>
        <w:t xml:space="preserve">U.S. Citizenship and Immigration Services; Confidentiality and Inventions Agreement. </w:t>
      </w:r>
      <w:r>
        <w:rPr>
          <w:rFonts w:ascii="Times New Roman" w:cs="Times New Roman" w:eastAsia="Times New Roman" w:hAnsi="Times New Roman"/>
          <w:sz w:val="20"/>
          <w:szCs w:val="20"/>
          <w:color w:val="00171E"/>
        </w:rPr>
        <w:t>Executive agrees to timely file all</w:t>
      </w:r>
      <w:r>
        <w:rPr>
          <w:rFonts w:ascii="Times New Roman" w:cs="Times New Roman" w:eastAsia="Times New Roman" w:hAnsi="Times New Roman"/>
          <w:sz w:val="20"/>
          <w:szCs w:val="20"/>
          <w:b w:val="1"/>
          <w:bCs w:val="1"/>
          <w:color w:val="00171E"/>
        </w:rPr>
        <w:t xml:space="preserve"> </w:t>
      </w:r>
      <w:r>
        <w:rPr>
          <w:rFonts w:ascii="Times New Roman" w:cs="Times New Roman" w:eastAsia="Times New Roman" w:hAnsi="Times New Roman"/>
          <w:sz w:val="20"/>
          <w:szCs w:val="20"/>
          <w:color w:val="00171E"/>
        </w:rPr>
        <w:t>documents required by the Department of Homeland Security to verify his/her identity and lawful employment in the United States. In addition, as a condition to Executive’s employment with the Company, Executive is required to complete, sign, return, and abide by the Company’s Employee Confidentiality and Inventions Agreement.</w:t>
      </w:r>
    </w:p>
    <w:p>
      <w:pPr>
        <w:spacing w:after="0" w:line="67" w:lineRule="exact"/>
        <w:rPr>
          <w:rFonts w:ascii="Times New Roman" w:cs="Times New Roman" w:eastAsia="Times New Roman" w:hAnsi="Times New Roman"/>
          <w:sz w:val="20"/>
          <w:szCs w:val="20"/>
          <w:b w:val="1"/>
          <w:bCs w:val="1"/>
          <w:color w:val="00171E"/>
        </w:rPr>
      </w:pPr>
    </w:p>
    <w:p>
      <w:pPr>
        <w:ind w:firstLine="757"/>
        <w:spacing w:after="0" w:line="273" w:lineRule="auto"/>
        <w:tabs>
          <w:tab w:leader="none" w:pos="1018" w:val="left"/>
        </w:tabs>
        <w:numPr>
          <w:ilvl w:val="0"/>
          <w:numId w:val="81"/>
        </w:numPr>
        <w:rPr>
          <w:rFonts w:ascii="Times New Roman" w:cs="Times New Roman" w:eastAsia="Times New Roman" w:hAnsi="Times New Roman"/>
          <w:sz w:val="20"/>
          <w:szCs w:val="20"/>
          <w:b w:val="1"/>
          <w:bCs w:val="1"/>
          <w:color w:val="00171E"/>
        </w:rPr>
      </w:pPr>
      <w:r>
        <w:rPr>
          <w:rFonts w:ascii="Times New Roman" w:cs="Times New Roman" w:eastAsia="Times New Roman" w:hAnsi="Times New Roman"/>
          <w:sz w:val="20"/>
          <w:szCs w:val="20"/>
          <w:b w:val="1"/>
          <w:bCs w:val="1"/>
          <w:color w:val="00171E"/>
        </w:rPr>
        <w:t xml:space="preserve">Counterparts. </w:t>
      </w:r>
      <w:r>
        <w:rPr>
          <w:rFonts w:ascii="Times New Roman" w:cs="Times New Roman" w:eastAsia="Times New Roman" w:hAnsi="Times New Roman"/>
          <w:sz w:val="20"/>
          <w:szCs w:val="20"/>
          <w:color w:val="00171E"/>
        </w:rPr>
        <w:t>This Agreement may be executed in one or more counterparts, each of which shall be deemed to be an original</w:t>
      </w:r>
      <w:r>
        <w:rPr>
          <w:rFonts w:ascii="Times New Roman" w:cs="Times New Roman" w:eastAsia="Times New Roman" w:hAnsi="Times New Roman"/>
          <w:sz w:val="20"/>
          <w:szCs w:val="20"/>
          <w:b w:val="1"/>
          <w:bCs w:val="1"/>
          <w:color w:val="00171E"/>
        </w:rPr>
        <w:t xml:space="preserve"> </w:t>
      </w:r>
      <w:r>
        <w:rPr>
          <w:rFonts w:ascii="Times New Roman" w:cs="Times New Roman" w:eastAsia="Times New Roman" w:hAnsi="Times New Roman"/>
          <w:sz w:val="20"/>
          <w:szCs w:val="20"/>
          <w:color w:val="00171E"/>
        </w:rPr>
        <w:t>but all of which together shall constitute the same instrument.</w:t>
      </w:r>
    </w:p>
    <w:p>
      <w:pPr>
        <w:spacing w:after="0" w:line="43" w:lineRule="exact"/>
        <w:rPr>
          <w:rFonts w:ascii="Times New Roman" w:cs="Times New Roman" w:eastAsia="Times New Roman" w:hAnsi="Times New Roman"/>
          <w:sz w:val="20"/>
          <w:szCs w:val="20"/>
          <w:b w:val="1"/>
          <w:bCs w:val="1"/>
          <w:color w:val="00171E"/>
        </w:rPr>
      </w:pPr>
    </w:p>
    <w:p>
      <w:pPr>
        <w:jc w:val="both"/>
        <w:ind w:firstLine="757"/>
        <w:spacing w:after="0" w:line="243" w:lineRule="auto"/>
        <w:tabs>
          <w:tab w:leader="none" w:pos="1144" w:val="left"/>
        </w:tabs>
        <w:numPr>
          <w:ilvl w:val="0"/>
          <w:numId w:val="81"/>
        </w:numPr>
        <w:rPr>
          <w:rFonts w:ascii="Times New Roman" w:cs="Times New Roman" w:eastAsia="Times New Roman" w:hAnsi="Times New Roman"/>
          <w:sz w:val="20"/>
          <w:szCs w:val="20"/>
          <w:b w:val="1"/>
          <w:bCs w:val="1"/>
          <w:color w:val="00171E"/>
        </w:rPr>
      </w:pPr>
      <w:r>
        <w:rPr>
          <w:rFonts w:ascii="Times New Roman" w:cs="Times New Roman" w:eastAsia="Times New Roman" w:hAnsi="Times New Roman"/>
          <w:sz w:val="20"/>
          <w:szCs w:val="20"/>
          <w:b w:val="1"/>
          <w:bCs w:val="1"/>
          <w:color w:val="00171E"/>
        </w:rPr>
        <w:t xml:space="preserve">Resignation from Positions. </w:t>
      </w:r>
      <w:r>
        <w:rPr>
          <w:rFonts w:ascii="Times New Roman" w:cs="Times New Roman" w:eastAsia="Times New Roman" w:hAnsi="Times New Roman"/>
          <w:sz w:val="20"/>
          <w:szCs w:val="20"/>
          <w:color w:val="00171E"/>
        </w:rPr>
        <w:t>Upon Executive’s cessation of employment with the Company for any reason, Executive agrees</w:t>
      </w:r>
      <w:r>
        <w:rPr>
          <w:rFonts w:ascii="Times New Roman" w:cs="Times New Roman" w:eastAsia="Times New Roman" w:hAnsi="Times New Roman"/>
          <w:sz w:val="20"/>
          <w:szCs w:val="20"/>
          <w:b w:val="1"/>
          <w:bCs w:val="1"/>
          <w:color w:val="00171E"/>
        </w:rPr>
        <w:t xml:space="preserve"> </w:t>
      </w:r>
      <w:r>
        <w:rPr>
          <w:rFonts w:ascii="Times New Roman" w:cs="Times New Roman" w:eastAsia="Times New Roman" w:hAnsi="Times New Roman"/>
          <w:sz w:val="20"/>
          <w:szCs w:val="20"/>
          <w:color w:val="00171E"/>
        </w:rPr>
        <w:t xml:space="preserve">that Executive shall be deemed to have resigned as an officer and as a director (if applicable) from the Company and every subsidiary of the Company on which Executive is then serving as an officer or director, and from any other entity or company on which Executive is then serving as a director or officer at the request of the Company, in each case effective as of the date of Executive’s cessation of employment. In the event of Executive’s cessation of employment, Executive agrees to execute a general resignation resigning from all positions then held by Executive on every subsidiary of the Company and other entity or company on which Executive is then serving as a director or officer at the request of the Company. Executive hereby grants the corporate secretary of the Company an irrevocable power of attorney to execute on behalf of Executive all such resignations, documents and instruments and to take all such other actions as reasonably necessary to carry out the intention of this </w:t>
      </w:r>
      <w:r>
        <w:rPr>
          <w:rFonts w:ascii="Times New Roman" w:cs="Times New Roman" w:eastAsia="Times New Roman" w:hAnsi="Times New Roman"/>
          <w:sz w:val="20"/>
          <w:szCs w:val="20"/>
          <w:u w:val="single" w:color="auto"/>
          <w:color w:val="00171E"/>
        </w:rPr>
        <w:t>Section 19</w:t>
      </w:r>
      <w:r>
        <w:rPr>
          <w:rFonts w:ascii="Times New Roman" w:cs="Times New Roman" w:eastAsia="Times New Roman" w:hAnsi="Times New Roman"/>
          <w:sz w:val="20"/>
          <w:szCs w:val="20"/>
          <w:color w:val="00171E"/>
        </w:rPr>
        <w:t>.</w:t>
      </w:r>
    </w:p>
    <w:p>
      <w:pPr>
        <w:spacing w:after="0" w:line="77" w:lineRule="exact"/>
        <w:rPr>
          <w:rFonts w:ascii="Times New Roman" w:cs="Times New Roman" w:eastAsia="Times New Roman" w:hAnsi="Times New Roman"/>
          <w:sz w:val="20"/>
          <w:szCs w:val="20"/>
          <w:b w:val="1"/>
          <w:bCs w:val="1"/>
          <w:color w:val="00171E"/>
        </w:rPr>
      </w:pPr>
    </w:p>
    <w:p>
      <w:pPr>
        <w:jc w:val="both"/>
        <w:ind w:firstLine="757"/>
        <w:spacing w:after="0" w:line="256" w:lineRule="auto"/>
        <w:tabs>
          <w:tab w:leader="none" w:pos="1225" w:val="left"/>
        </w:tabs>
        <w:numPr>
          <w:ilvl w:val="0"/>
          <w:numId w:val="81"/>
        </w:numPr>
        <w:rPr>
          <w:rFonts w:ascii="Times New Roman" w:cs="Times New Roman" w:eastAsia="Times New Roman" w:hAnsi="Times New Roman"/>
          <w:sz w:val="20"/>
          <w:szCs w:val="20"/>
          <w:b w:val="1"/>
          <w:bCs w:val="1"/>
          <w:color w:val="00171E"/>
        </w:rPr>
      </w:pPr>
      <w:r>
        <w:rPr>
          <w:rFonts w:ascii="Times New Roman" w:cs="Times New Roman" w:eastAsia="Times New Roman" w:hAnsi="Times New Roman"/>
          <w:sz w:val="20"/>
          <w:szCs w:val="20"/>
          <w:b w:val="1"/>
          <w:bCs w:val="1"/>
          <w:color w:val="00171E"/>
        </w:rPr>
        <w:t xml:space="preserve">Executive’s Commencement of Employment. </w:t>
      </w:r>
      <w:r>
        <w:rPr>
          <w:rFonts w:ascii="Times New Roman" w:cs="Times New Roman" w:eastAsia="Times New Roman" w:hAnsi="Times New Roman"/>
          <w:sz w:val="20"/>
          <w:szCs w:val="20"/>
          <w:color w:val="00171E"/>
        </w:rPr>
        <w:t>It is a condition precedent to the effectiveness of this Agreement that</w:t>
      </w:r>
      <w:r>
        <w:rPr>
          <w:rFonts w:ascii="Times New Roman" w:cs="Times New Roman" w:eastAsia="Times New Roman" w:hAnsi="Times New Roman"/>
          <w:sz w:val="20"/>
          <w:szCs w:val="20"/>
          <w:b w:val="1"/>
          <w:bCs w:val="1"/>
          <w:color w:val="00171E"/>
        </w:rPr>
        <w:t xml:space="preserve"> </w:t>
      </w:r>
      <w:r>
        <w:rPr>
          <w:rFonts w:ascii="Times New Roman" w:cs="Times New Roman" w:eastAsia="Times New Roman" w:hAnsi="Times New Roman"/>
          <w:sz w:val="20"/>
          <w:szCs w:val="20"/>
          <w:color w:val="00171E"/>
        </w:rPr>
        <w:t>Executive commences working full-time for the Company. If Executive does not commence such full-time employment on the Effective Date, then this Agreement shall be null and void and the Company shall have no obligations hereunder or otherwise to Executive.</w:t>
      </w:r>
    </w:p>
    <w:p>
      <w:pPr>
        <w:spacing w:after="0" w:line="60" w:lineRule="exact"/>
        <w:rPr>
          <w:rFonts w:ascii="Times New Roman" w:cs="Times New Roman" w:eastAsia="Times New Roman" w:hAnsi="Times New Roman"/>
          <w:sz w:val="20"/>
          <w:szCs w:val="20"/>
          <w:b w:val="1"/>
          <w:bCs w:val="1"/>
          <w:color w:val="00171E"/>
        </w:rPr>
      </w:pPr>
    </w:p>
    <w:p>
      <w:pPr>
        <w:ind w:left="1160" w:hanging="403"/>
        <w:spacing w:after="0"/>
        <w:tabs>
          <w:tab w:leader="none" w:pos="1160" w:val="left"/>
        </w:tabs>
        <w:numPr>
          <w:ilvl w:val="0"/>
          <w:numId w:val="81"/>
        </w:numPr>
        <w:rPr>
          <w:rFonts w:ascii="Times New Roman" w:cs="Times New Roman" w:eastAsia="Times New Roman" w:hAnsi="Times New Roman"/>
          <w:sz w:val="20"/>
          <w:szCs w:val="20"/>
          <w:b w:val="1"/>
          <w:bCs w:val="1"/>
          <w:color w:val="00171E"/>
        </w:rPr>
      </w:pPr>
      <w:r>
        <w:rPr>
          <w:rFonts w:ascii="Times New Roman" w:cs="Times New Roman" w:eastAsia="Times New Roman" w:hAnsi="Times New Roman"/>
          <w:sz w:val="20"/>
          <w:szCs w:val="20"/>
          <w:b w:val="1"/>
          <w:bCs w:val="1"/>
          <w:color w:val="00171E"/>
        </w:rPr>
        <w:t>Executive’s Acknowledgement.</w:t>
      </w:r>
    </w:p>
    <w:p>
      <w:pPr>
        <w:spacing w:after="0" w:line="125" w:lineRule="exact"/>
        <w:rPr>
          <w:sz w:val="20"/>
          <w:szCs w:val="20"/>
          <w:color w:val="auto"/>
        </w:rPr>
      </w:pPr>
    </w:p>
    <w:p>
      <w:pPr>
        <w:jc w:val="both"/>
        <w:ind w:left="460" w:right="440"/>
        <w:spacing w:after="0" w:line="246" w:lineRule="auto"/>
        <w:rPr>
          <w:sz w:val="20"/>
          <w:szCs w:val="20"/>
          <w:color w:val="auto"/>
        </w:rPr>
      </w:pPr>
      <w:r>
        <w:rPr>
          <w:rFonts w:ascii="Times New Roman" w:cs="Times New Roman" w:eastAsia="Times New Roman" w:hAnsi="Times New Roman"/>
          <w:sz w:val="20"/>
          <w:szCs w:val="20"/>
          <w:color w:val="00171E"/>
        </w:rPr>
        <w:t>EXECUTIVE ACKNOWLEDGES THAT ALL UNDERSTANDINGS AND AGREEMENTS BETWEEN THE COMPANY AND HIM/HER RELATING TO THE SUBJECTS COVERED IN THIS AGREEMENT ARE CONTAINED IN IT (INCLUDING THE AGREEMENTS SET FORTH AS EXHIBITS) AND THAT HE/SHE HAS ENTERED INTO THIS AGREEMENT VOLUNTARILY AND NOT IN RELIANCE ON ANY PROMISES OR REPRESENTATIONS BY THE COMPANY OTHER THAN THOSE CONTAINED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-744220</wp:posOffset>
            </wp:positionV>
            <wp:extent cx="6707505" cy="18040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707505" cy="1804035"/>
                    </a:xfrm>
                    <a:prstGeom prst="rect">
                      <a:avLst/>
                    </a:prstGeom>
                    <a:noFill/>
                  </pic:spPr>
                </pic:pic>
              </a:graphicData>
            </a:graphic>
          </wp:anchor>
        </w:drawing>
      </w:r>
    </w:p>
    <w:p>
      <w:pPr>
        <w:spacing w:after="0" w:line="178" w:lineRule="exact"/>
        <w:rPr>
          <w:sz w:val="20"/>
          <w:szCs w:val="20"/>
          <w:color w:val="auto"/>
        </w:rPr>
      </w:pPr>
    </w:p>
    <w:p>
      <w:pPr>
        <w:jc w:val="both"/>
        <w:ind w:left="460" w:right="460"/>
        <w:spacing w:after="0" w:line="245" w:lineRule="auto"/>
        <w:rPr>
          <w:sz w:val="20"/>
          <w:szCs w:val="20"/>
          <w:color w:val="auto"/>
        </w:rPr>
      </w:pPr>
      <w:r>
        <w:rPr>
          <w:rFonts w:ascii="Times New Roman" w:cs="Times New Roman" w:eastAsia="Times New Roman" w:hAnsi="Times New Roman"/>
          <w:sz w:val="20"/>
          <w:szCs w:val="20"/>
          <w:color w:val="00171E"/>
        </w:rPr>
        <w:t>EXECUTIVE FURTHER ACKNOWLEDGES THAT HE/SHE HAS CAREFULLY READ THIS AGREEMENT (INCLUDING THE AGREEMENTS SET FORTH AS EXHIBITS), THAT HE/SHE UNDERSTANDS ALL OF SUCH AGREEMENTS, AND THAT HE/SHE HAS BEEN GIVEN THE OPPORTUNITY TO DISCUSS SUCH AGREEMENTS WITH HIS/HER PRIVATE LEGAL COUNSEL AND HAS AVAILED HIMSELF/HERSELF OF THAT OPPORTUNITY TO THE EXTENT HE/SHE WISHED TO DO SO. EXECUTIVE UNDERSTANDS THAT THE DISPUTE RESOLUTION PROVISIONS OF THIS AGREEMENT GIVE UP THE RIGHT TO A JURY TRIAL ON MATTERS COVERED BY THEM.</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00171E"/>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171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12"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6"/>
          <w:szCs w:val="16"/>
          <w:b w:val="1"/>
          <w:bCs w:val="1"/>
          <w:color w:val="auto"/>
        </w:rPr>
        <w:t>E</w:t>
      </w:r>
      <w:r>
        <w:rPr>
          <w:rFonts w:ascii="Times New Roman" w:cs="Times New Roman" w:eastAsia="Times New Roman" w:hAnsi="Times New Roman"/>
          <w:sz w:val="10"/>
          <w:szCs w:val="10"/>
          <w:b w:val="1"/>
          <w:bCs w:val="1"/>
          <w:color w:val="auto"/>
        </w:rPr>
        <w:t>xecutive</w:t>
      </w:r>
      <w:r>
        <w:rPr>
          <w:rFonts w:ascii="Times New Roman" w:cs="Times New Roman" w:eastAsia="Times New Roman" w:hAnsi="Times New Roman"/>
          <w:sz w:val="16"/>
          <w:szCs w:val="16"/>
          <w:b w:val="1"/>
          <w:bCs w:val="1"/>
          <w:color w:val="auto"/>
        </w:rPr>
        <w:t xml:space="preserve"> E</w:t>
      </w:r>
      <w:r>
        <w:rPr>
          <w:rFonts w:ascii="Times New Roman" w:cs="Times New Roman" w:eastAsia="Times New Roman" w:hAnsi="Times New Roman"/>
          <w:sz w:val="10"/>
          <w:szCs w:val="10"/>
          <w:b w:val="1"/>
          <w:bCs w:val="1"/>
          <w:color w:val="auto"/>
        </w:rPr>
        <w:t>mployment</w:t>
      </w:r>
      <w:r>
        <w:rPr>
          <w:rFonts w:ascii="Times New Roman" w:cs="Times New Roman" w:eastAsia="Times New Roman" w:hAnsi="Times New Roman"/>
          <w:sz w:val="16"/>
          <w:szCs w:val="16"/>
          <w:b w:val="1"/>
          <w:bCs w:val="1"/>
          <w:color w:val="auto"/>
        </w:rPr>
        <w:t xml:space="preserve"> A</w:t>
      </w:r>
      <w:r>
        <w:rPr>
          <w:rFonts w:ascii="Times New Roman" w:cs="Times New Roman" w:eastAsia="Times New Roman" w:hAnsi="Times New Roman"/>
          <w:sz w:val="10"/>
          <w:szCs w:val="10"/>
          <w:b w:val="1"/>
          <w:bCs w:val="1"/>
          <w:color w:val="auto"/>
        </w:rPr>
        <w:t>gmt</w:t>
      </w:r>
      <w:r>
        <w:rPr>
          <w:rFonts w:ascii="Times New Roman" w:cs="Times New Roman" w:eastAsia="Times New Roman" w:hAnsi="Times New Roman"/>
          <w:sz w:val="16"/>
          <w:szCs w:val="16"/>
          <w:b w:val="1"/>
          <w:bCs w:val="1"/>
          <w:color w:val="auto"/>
        </w:rPr>
        <w:t xml:space="preserve"> S</w:t>
      </w:r>
      <w:r>
        <w:rPr>
          <w:rFonts w:ascii="Times New Roman" w:cs="Times New Roman" w:eastAsia="Times New Roman" w:hAnsi="Times New Roman"/>
          <w:sz w:val="10"/>
          <w:szCs w:val="10"/>
          <w:b w:val="1"/>
          <w:bCs w:val="1"/>
          <w:color w:val="auto"/>
        </w:rPr>
        <w:t>td</w:t>
      </w:r>
      <w:r>
        <w:rPr>
          <w:rFonts w:ascii="Times New Roman" w:cs="Times New Roman" w:eastAsia="Times New Roman" w:hAnsi="Times New Roman"/>
          <w:sz w:val="16"/>
          <w:szCs w:val="16"/>
          <w:b w:val="1"/>
          <w:bCs w:val="1"/>
          <w:color w:val="auto"/>
        </w:rPr>
        <w:t xml:space="preserve"> 11.1.24</w:t>
      </w:r>
      <w:r>
        <w:rPr>
          <w:sz w:val="20"/>
          <w:szCs w:val="20"/>
          <w:color w:val="auto"/>
        </w:rPr>
        <w:tab/>
      </w:r>
      <w:r>
        <w:rPr>
          <w:rFonts w:ascii="Times New Roman" w:cs="Times New Roman" w:eastAsia="Times New Roman" w:hAnsi="Times New Roman"/>
          <w:sz w:val="16"/>
          <w:szCs w:val="16"/>
          <w:b w:val="1"/>
          <w:bCs w:val="1"/>
          <w:color w:val="auto"/>
        </w:rPr>
        <w:t>A</w:t>
      </w:r>
      <w:r>
        <w:rPr>
          <w:rFonts w:ascii="Times New Roman" w:cs="Times New Roman" w:eastAsia="Times New Roman" w:hAnsi="Times New Roman"/>
          <w:sz w:val="10"/>
          <w:szCs w:val="10"/>
          <w:b w:val="1"/>
          <w:bCs w:val="1"/>
          <w:color w:val="auto"/>
        </w:rPr>
        <w:t>ccuray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19</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NUMPAGES \* Arabic \* MERGEFORMAT 31</w:t>
      </w:r>
    </w:p>
    <w:p>
      <w:pPr>
        <w:spacing w:after="0" w:line="200" w:lineRule="exact"/>
        <w:rPr>
          <w:sz w:val="20"/>
          <w:szCs w:val="20"/>
          <w:color w:val="auto"/>
        </w:rPr>
      </w:pPr>
    </w:p>
    <w:p>
      <w:pPr>
        <w:spacing w:after="0" w:line="24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00171E"/>
        </w:rPr>
        <w:t>IN WITNESS WHEREOF, the parties have executed this Agreement as of the date first written above.</w:t>
      </w:r>
    </w:p>
    <w:p>
      <w:pPr>
        <w:spacing w:after="0" w:line="225"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0"/>
          <w:szCs w:val="20"/>
          <w:b w:val="1"/>
          <w:bCs w:val="1"/>
          <w:color w:val="00171E"/>
        </w:rPr>
        <w:t>A</w:t>
      </w:r>
      <w:r>
        <w:rPr>
          <w:rFonts w:ascii="Times New Roman" w:cs="Times New Roman" w:eastAsia="Times New Roman" w:hAnsi="Times New Roman"/>
          <w:sz w:val="13"/>
          <w:szCs w:val="13"/>
          <w:b w:val="1"/>
          <w:bCs w:val="1"/>
          <w:color w:val="00171E"/>
        </w:rPr>
        <w:t>ccuray</w:t>
      </w:r>
      <w:r>
        <w:rPr>
          <w:rFonts w:ascii="Times New Roman" w:cs="Times New Roman" w:eastAsia="Times New Roman" w:hAnsi="Times New Roman"/>
          <w:sz w:val="20"/>
          <w:szCs w:val="20"/>
          <w:b w:val="1"/>
          <w:bCs w:val="1"/>
          <w:color w:val="00171E"/>
        </w:rPr>
        <w:t xml:space="preserve"> I</w:t>
      </w:r>
      <w:r>
        <w:rPr>
          <w:rFonts w:ascii="Times New Roman" w:cs="Times New Roman" w:eastAsia="Times New Roman" w:hAnsi="Times New Roman"/>
          <w:sz w:val="13"/>
          <w:szCs w:val="13"/>
          <w:b w:val="1"/>
          <w:bCs w:val="1"/>
          <w:color w:val="00171E"/>
        </w:rPr>
        <w:t>ncorporated</w:t>
      </w:r>
      <w:r>
        <w:rPr>
          <w:rFonts w:ascii="Times New Roman" w:cs="Times New Roman" w:eastAsia="Times New Roman" w:hAnsi="Times New Roman"/>
          <w:sz w:val="20"/>
          <w:szCs w:val="20"/>
          <w:color w:val="00171E"/>
        </w:rPr>
        <w:t>,</w:t>
      </w:r>
    </w:p>
    <w:p>
      <w:pPr>
        <w:spacing w:after="0" w:line="26"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0"/>
          <w:szCs w:val="20"/>
          <w:color w:val="00171E"/>
        </w:rPr>
        <w:t>a Delaware Corporation</w:t>
      </w:r>
    </w:p>
    <w:p>
      <w:pPr>
        <w:spacing w:after="0" w:line="200" w:lineRule="exact"/>
        <w:rPr>
          <w:sz w:val="20"/>
          <w:szCs w:val="20"/>
          <w:color w:val="auto"/>
        </w:rPr>
      </w:pPr>
    </w:p>
    <w:p>
      <w:pPr>
        <w:spacing w:after="0" w:line="237"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0"/>
          <w:szCs w:val="20"/>
          <w:color w:val="00171E"/>
        </w:rPr>
        <w:t>By: /s/ Jesse Chew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1725295</wp:posOffset>
            </wp:positionH>
            <wp:positionV relativeFrom="paragraph">
              <wp:posOffset>-10795</wp:posOffset>
            </wp:positionV>
            <wp:extent cx="154559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545590" cy="8255"/>
                    </a:xfrm>
                    <a:prstGeom prst="rect">
                      <a:avLst/>
                    </a:prstGeom>
                    <a:noFill/>
                  </pic:spPr>
                </pic:pic>
              </a:graphicData>
            </a:graphic>
          </wp:anchor>
        </w:drawing>
      </w:r>
    </w:p>
    <w:p>
      <w:pPr>
        <w:spacing w:after="0" w:line="1" w:lineRule="exact"/>
        <w:rPr>
          <w:sz w:val="20"/>
          <w:szCs w:val="20"/>
          <w:color w:val="auto"/>
        </w:rPr>
      </w:pPr>
    </w:p>
    <w:p>
      <w:pPr>
        <w:ind w:left="2380"/>
        <w:spacing w:after="0"/>
        <w:tabs>
          <w:tab w:leader="none" w:pos="3160" w:val="left"/>
        </w:tabs>
        <w:rPr>
          <w:sz w:val="20"/>
          <w:szCs w:val="20"/>
          <w:color w:val="auto"/>
        </w:rPr>
      </w:pPr>
      <w:r>
        <w:rPr>
          <w:rFonts w:ascii="Times New Roman" w:cs="Times New Roman" w:eastAsia="Times New Roman" w:hAnsi="Times New Roman"/>
          <w:sz w:val="20"/>
          <w:szCs w:val="20"/>
          <w:color w:val="00171E"/>
        </w:rPr>
        <w:t>Name:</w:t>
        <w:tab/>
        <w:t>Jesse Chew</w:t>
      </w:r>
    </w:p>
    <w:p>
      <w:pPr>
        <w:ind w:left="2380"/>
        <w:spacing w:after="0"/>
        <w:tabs>
          <w:tab w:leader="none" w:pos="3160" w:val="left"/>
        </w:tabs>
        <w:rPr>
          <w:sz w:val="20"/>
          <w:szCs w:val="20"/>
          <w:color w:val="auto"/>
        </w:rPr>
      </w:pPr>
      <w:r>
        <w:rPr>
          <w:rFonts w:ascii="Times New Roman" w:cs="Times New Roman" w:eastAsia="Times New Roman" w:hAnsi="Times New Roman"/>
          <w:sz w:val="20"/>
          <w:szCs w:val="20"/>
          <w:color w:val="00171E"/>
        </w:rPr>
        <w:t>Title:</w:t>
      </w:r>
      <w:r>
        <w:rPr>
          <w:sz w:val="20"/>
          <w:szCs w:val="20"/>
          <w:color w:val="auto"/>
        </w:rPr>
        <w:tab/>
      </w:r>
      <w:r>
        <w:rPr>
          <w:rFonts w:ascii="Times New Roman" w:cs="Times New Roman" w:eastAsia="Times New Roman" w:hAnsi="Times New Roman"/>
          <w:sz w:val="20"/>
          <w:szCs w:val="20"/>
          <w:color w:val="00171E"/>
        </w:rPr>
        <w:t>Chief Legal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171E"/>
        </w:rPr>
        <w:t>Accepted and Agreed,</w:t>
      </w:r>
    </w:p>
    <w:p>
      <w:pPr>
        <w:spacing w:after="0" w:line="200" w:lineRule="exact"/>
        <w:rPr>
          <w:sz w:val="20"/>
          <w:szCs w:val="20"/>
          <w:color w:val="auto"/>
        </w:rPr>
      </w:pPr>
    </w:p>
    <w:p>
      <w:pPr>
        <w:spacing w:after="0" w:line="259" w:lineRule="exact"/>
        <w:rPr>
          <w:sz w:val="20"/>
          <w:szCs w:val="20"/>
          <w:color w:val="auto"/>
        </w:rPr>
      </w:pPr>
    </w:p>
    <w:p>
      <w:pPr>
        <w:spacing w:after="0"/>
        <w:tabs>
          <w:tab w:leader="none" w:pos="1620" w:val="left"/>
        </w:tabs>
        <w:rPr>
          <w:sz w:val="20"/>
          <w:szCs w:val="20"/>
          <w:color w:val="auto"/>
        </w:rPr>
      </w:pPr>
      <w:r>
        <w:rPr>
          <w:rFonts w:ascii="Times New Roman" w:cs="Times New Roman" w:eastAsia="Times New Roman" w:hAnsi="Times New Roman"/>
          <w:sz w:val="20"/>
          <w:szCs w:val="20"/>
          <w:color w:val="00171E"/>
        </w:rPr>
        <w:t>Suzanne Winter:</w:t>
      </w:r>
      <w:r>
        <w:rPr>
          <w:sz w:val="20"/>
          <w:szCs w:val="20"/>
          <w:color w:val="auto"/>
        </w:rPr>
        <w:tab/>
      </w:r>
      <w:r>
        <w:rPr>
          <w:rFonts w:ascii="Times New Roman" w:cs="Times New Roman" w:eastAsia="Times New Roman" w:hAnsi="Times New Roman"/>
          <w:sz w:val="19"/>
          <w:szCs w:val="19"/>
          <w:color w:val="00171E"/>
        </w:rPr>
        <w:t>/s/ Suzanne Winter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356870</wp:posOffset>
            </wp:positionV>
            <wp:extent cx="7132320" cy="171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1010285</wp:posOffset>
            </wp:positionH>
            <wp:positionV relativeFrom="paragraph">
              <wp:posOffset>-10795</wp:posOffset>
            </wp:positionV>
            <wp:extent cx="150749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507490" cy="8255"/>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6"/>
          <w:szCs w:val="16"/>
          <w:b w:val="1"/>
          <w:bCs w:val="1"/>
          <w:color w:val="auto"/>
        </w:rPr>
        <w:t>E</w:t>
      </w:r>
      <w:r>
        <w:rPr>
          <w:rFonts w:ascii="Times New Roman" w:cs="Times New Roman" w:eastAsia="Times New Roman" w:hAnsi="Times New Roman"/>
          <w:sz w:val="10"/>
          <w:szCs w:val="10"/>
          <w:b w:val="1"/>
          <w:bCs w:val="1"/>
          <w:color w:val="auto"/>
        </w:rPr>
        <w:t>xecutive</w:t>
      </w:r>
      <w:r>
        <w:rPr>
          <w:rFonts w:ascii="Times New Roman" w:cs="Times New Roman" w:eastAsia="Times New Roman" w:hAnsi="Times New Roman"/>
          <w:sz w:val="16"/>
          <w:szCs w:val="16"/>
          <w:b w:val="1"/>
          <w:bCs w:val="1"/>
          <w:color w:val="auto"/>
        </w:rPr>
        <w:t xml:space="preserve"> E</w:t>
      </w:r>
      <w:r>
        <w:rPr>
          <w:rFonts w:ascii="Times New Roman" w:cs="Times New Roman" w:eastAsia="Times New Roman" w:hAnsi="Times New Roman"/>
          <w:sz w:val="10"/>
          <w:szCs w:val="10"/>
          <w:b w:val="1"/>
          <w:bCs w:val="1"/>
          <w:color w:val="auto"/>
        </w:rPr>
        <w:t>mployment</w:t>
      </w:r>
      <w:r>
        <w:rPr>
          <w:rFonts w:ascii="Times New Roman" w:cs="Times New Roman" w:eastAsia="Times New Roman" w:hAnsi="Times New Roman"/>
          <w:sz w:val="16"/>
          <w:szCs w:val="16"/>
          <w:b w:val="1"/>
          <w:bCs w:val="1"/>
          <w:color w:val="auto"/>
        </w:rPr>
        <w:t xml:space="preserve"> A</w:t>
      </w:r>
      <w:r>
        <w:rPr>
          <w:rFonts w:ascii="Times New Roman" w:cs="Times New Roman" w:eastAsia="Times New Roman" w:hAnsi="Times New Roman"/>
          <w:sz w:val="10"/>
          <w:szCs w:val="10"/>
          <w:b w:val="1"/>
          <w:bCs w:val="1"/>
          <w:color w:val="auto"/>
        </w:rPr>
        <w:t>gmt</w:t>
      </w:r>
      <w:r>
        <w:rPr>
          <w:rFonts w:ascii="Times New Roman" w:cs="Times New Roman" w:eastAsia="Times New Roman" w:hAnsi="Times New Roman"/>
          <w:sz w:val="16"/>
          <w:szCs w:val="16"/>
          <w:b w:val="1"/>
          <w:bCs w:val="1"/>
          <w:color w:val="auto"/>
        </w:rPr>
        <w:t xml:space="preserve"> S</w:t>
      </w:r>
      <w:r>
        <w:rPr>
          <w:rFonts w:ascii="Times New Roman" w:cs="Times New Roman" w:eastAsia="Times New Roman" w:hAnsi="Times New Roman"/>
          <w:sz w:val="10"/>
          <w:szCs w:val="10"/>
          <w:b w:val="1"/>
          <w:bCs w:val="1"/>
          <w:color w:val="auto"/>
        </w:rPr>
        <w:t>td</w:t>
      </w:r>
      <w:r>
        <w:rPr>
          <w:rFonts w:ascii="Times New Roman" w:cs="Times New Roman" w:eastAsia="Times New Roman" w:hAnsi="Times New Roman"/>
          <w:sz w:val="16"/>
          <w:szCs w:val="16"/>
          <w:b w:val="1"/>
          <w:bCs w:val="1"/>
          <w:color w:val="auto"/>
        </w:rPr>
        <w:t xml:space="preserve"> 11.1.24</w:t>
      </w:r>
      <w:r>
        <w:rPr>
          <w:sz w:val="20"/>
          <w:szCs w:val="20"/>
          <w:color w:val="auto"/>
        </w:rPr>
        <w:tab/>
      </w:r>
      <w:r>
        <w:rPr>
          <w:rFonts w:ascii="Times New Roman" w:cs="Times New Roman" w:eastAsia="Times New Roman" w:hAnsi="Times New Roman"/>
          <w:sz w:val="16"/>
          <w:szCs w:val="16"/>
          <w:b w:val="1"/>
          <w:bCs w:val="1"/>
          <w:color w:val="auto"/>
        </w:rPr>
        <w:t>A</w:t>
      </w:r>
      <w:r>
        <w:rPr>
          <w:rFonts w:ascii="Times New Roman" w:cs="Times New Roman" w:eastAsia="Times New Roman" w:hAnsi="Times New Roman"/>
          <w:sz w:val="10"/>
          <w:szCs w:val="10"/>
          <w:b w:val="1"/>
          <w:bCs w:val="1"/>
          <w:color w:val="auto"/>
        </w:rPr>
        <w:t>ccuray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20</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NUMPAGES \* Arabic \* MERGEFORMAT 31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00171E"/>
        </w:rPr>
        <w:t>Exhibit A</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00171E"/>
        </w:rPr>
        <w:t>SECTION 7 OF THE DEFEND TRADE SECRETS ACT OF 2016</w:t>
      </w:r>
    </w:p>
    <w:p>
      <w:pPr>
        <w:spacing w:after="0" w:line="200" w:lineRule="exact"/>
        <w:rPr>
          <w:sz w:val="20"/>
          <w:szCs w:val="20"/>
          <w:color w:val="auto"/>
        </w:rPr>
      </w:pPr>
    </w:p>
    <w:p>
      <w:pPr>
        <w:spacing w:after="0" w:line="23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00171E"/>
        </w:rPr>
        <w:t>“ . . . An individual shall not be held criminally or civilly liable under any Federal or State trade secret law for the disclosure of a trade secret that—(A) is made—(i)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 . . An individual who files a lawsuit for retaliation by an employer for reporting a suspected violation of law may disclose the trade secret to the attorney of the individual and use the trade secret information in the court proceeding, if the individual—(A) files any document containing the trade secret under seal; and (B) does not disclose the trade secret, except pursuant to court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483870</wp:posOffset>
            </wp:positionV>
            <wp:extent cx="7132320" cy="171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6"/>
          <w:szCs w:val="16"/>
          <w:b w:val="1"/>
          <w:bCs w:val="1"/>
          <w:color w:val="auto"/>
        </w:rPr>
        <w:t>E</w:t>
      </w:r>
      <w:r>
        <w:rPr>
          <w:rFonts w:ascii="Times New Roman" w:cs="Times New Roman" w:eastAsia="Times New Roman" w:hAnsi="Times New Roman"/>
          <w:sz w:val="10"/>
          <w:szCs w:val="10"/>
          <w:b w:val="1"/>
          <w:bCs w:val="1"/>
          <w:color w:val="auto"/>
        </w:rPr>
        <w:t>xecutive</w:t>
      </w:r>
      <w:r>
        <w:rPr>
          <w:rFonts w:ascii="Times New Roman" w:cs="Times New Roman" w:eastAsia="Times New Roman" w:hAnsi="Times New Roman"/>
          <w:sz w:val="16"/>
          <w:szCs w:val="16"/>
          <w:b w:val="1"/>
          <w:bCs w:val="1"/>
          <w:color w:val="auto"/>
        </w:rPr>
        <w:t xml:space="preserve"> E</w:t>
      </w:r>
      <w:r>
        <w:rPr>
          <w:rFonts w:ascii="Times New Roman" w:cs="Times New Roman" w:eastAsia="Times New Roman" w:hAnsi="Times New Roman"/>
          <w:sz w:val="10"/>
          <w:szCs w:val="10"/>
          <w:b w:val="1"/>
          <w:bCs w:val="1"/>
          <w:color w:val="auto"/>
        </w:rPr>
        <w:t>mployment</w:t>
      </w:r>
      <w:r>
        <w:rPr>
          <w:rFonts w:ascii="Times New Roman" w:cs="Times New Roman" w:eastAsia="Times New Roman" w:hAnsi="Times New Roman"/>
          <w:sz w:val="16"/>
          <w:szCs w:val="16"/>
          <w:b w:val="1"/>
          <w:bCs w:val="1"/>
          <w:color w:val="auto"/>
        </w:rPr>
        <w:t xml:space="preserve"> A</w:t>
      </w:r>
      <w:r>
        <w:rPr>
          <w:rFonts w:ascii="Times New Roman" w:cs="Times New Roman" w:eastAsia="Times New Roman" w:hAnsi="Times New Roman"/>
          <w:sz w:val="10"/>
          <w:szCs w:val="10"/>
          <w:b w:val="1"/>
          <w:bCs w:val="1"/>
          <w:color w:val="auto"/>
        </w:rPr>
        <w:t>gmt</w:t>
      </w:r>
      <w:r>
        <w:rPr>
          <w:rFonts w:ascii="Times New Roman" w:cs="Times New Roman" w:eastAsia="Times New Roman" w:hAnsi="Times New Roman"/>
          <w:sz w:val="16"/>
          <w:szCs w:val="16"/>
          <w:b w:val="1"/>
          <w:bCs w:val="1"/>
          <w:color w:val="auto"/>
        </w:rPr>
        <w:t xml:space="preserve"> S</w:t>
      </w:r>
      <w:r>
        <w:rPr>
          <w:rFonts w:ascii="Times New Roman" w:cs="Times New Roman" w:eastAsia="Times New Roman" w:hAnsi="Times New Roman"/>
          <w:sz w:val="10"/>
          <w:szCs w:val="10"/>
          <w:b w:val="1"/>
          <w:bCs w:val="1"/>
          <w:color w:val="auto"/>
        </w:rPr>
        <w:t>td</w:t>
      </w:r>
      <w:r>
        <w:rPr>
          <w:rFonts w:ascii="Times New Roman" w:cs="Times New Roman" w:eastAsia="Times New Roman" w:hAnsi="Times New Roman"/>
          <w:sz w:val="16"/>
          <w:szCs w:val="16"/>
          <w:b w:val="1"/>
          <w:bCs w:val="1"/>
          <w:color w:val="auto"/>
        </w:rPr>
        <w:t xml:space="preserve"> 11.1.24</w:t>
      </w:r>
      <w:r>
        <w:rPr>
          <w:sz w:val="20"/>
          <w:szCs w:val="20"/>
          <w:color w:val="auto"/>
        </w:rPr>
        <w:tab/>
      </w:r>
      <w:r>
        <w:rPr>
          <w:rFonts w:ascii="Times New Roman" w:cs="Times New Roman" w:eastAsia="Times New Roman" w:hAnsi="Times New Roman"/>
          <w:sz w:val="16"/>
          <w:szCs w:val="16"/>
          <w:b w:val="1"/>
          <w:bCs w:val="1"/>
          <w:color w:val="auto"/>
        </w:rPr>
        <w:t>A</w:t>
      </w:r>
      <w:r>
        <w:rPr>
          <w:rFonts w:ascii="Times New Roman" w:cs="Times New Roman" w:eastAsia="Times New Roman" w:hAnsi="Times New Roman"/>
          <w:sz w:val="10"/>
          <w:szCs w:val="10"/>
          <w:b w:val="1"/>
          <w:bCs w:val="1"/>
          <w:color w:val="auto"/>
        </w:rPr>
        <w:t>ccuray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9" w:name="page100"/>
    <w:bookmarkEnd w:id="99"/>
    <w:p>
      <w:pPr>
        <w:ind w:left="48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808480" cy="21463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clrChange>
                        <a:clrFrom>
                          <a:srgbClr val="FFFFFF"/>
                        </a:clrFrom>
                        <a:clrTo>
                          <a:srgbClr val="FFFFFF">
                            <a:alpha val="0"/>
                          </a:srgbClr>
                        </a:clrTo>
                      </a:clrChange>
                      <a:extLst>
                        <a:ext uri="{28A0092B-C50C-407E-A947-70E740481C1C}"/>
                      </a:extLst>
                    </a:blip>
                    <a:srcRect/>
                    <a:stretch>
                      <a:fillRect/>
                    </a:stretch>
                  </pic:blipFill>
                  <pic:spPr bwMode="auto">
                    <a:xfrm>
                      <a:off x="0" y="0"/>
                      <a:ext cx="1808480" cy="214630"/>
                    </a:xfrm>
                    <a:prstGeom prst="rect">
                      <a:avLst/>
                    </a:prstGeom>
                    <a:noFill/>
                  </pic:spPr>
                </pic:pic>
              </a:graphicData>
            </a:graphic>
          </wp:anchor>
        </w:drawing>
        <w:t>EXHIBIT 10.3</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1</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NUMPAGES 34</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00171E"/>
        </w:rPr>
        <w:t>EXECUTIVE EMPLOYMENT AGREEMENT</w:t>
      </w:r>
    </w:p>
    <w:p>
      <w:pPr>
        <w:spacing w:after="0" w:line="220"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00171E"/>
        </w:rPr>
        <w:t>This Employment Agreement (“</w:t>
      </w:r>
      <w:r>
        <w:rPr>
          <w:rFonts w:ascii="Times New Roman" w:cs="Times New Roman" w:eastAsia="Times New Roman" w:hAnsi="Times New Roman"/>
          <w:sz w:val="20"/>
          <w:szCs w:val="20"/>
          <w:u w:val="single" w:color="auto"/>
          <w:color w:val="00171E"/>
        </w:rPr>
        <w:t>Agreement</w:t>
      </w:r>
      <w:r>
        <w:rPr>
          <w:rFonts w:ascii="Times New Roman" w:cs="Times New Roman" w:eastAsia="Times New Roman" w:hAnsi="Times New Roman"/>
          <w:sz w:val="20"/>
          <w:szCs w:val="20"/>
          <w:color w:val="00171E"/>
        </w:rPr>
        <w:t>”) is entered into and effective as of February 3, 2025 (“</w:t>
      </w:r>
      <w:r>
        <w:rPr>
          <w:rFonts w:ascii="Times New Roman" w:cs="Times New Roman" w:eastAsia="Times New Roman" w:hAnsi="Times New Roman"/>
          <w:sz w:val="20"/>
          <w:szCs w:val="20"/>
          <w:u w:val="single" w:color="auto"/>
          <w:color w:val="00171E"/>
        </w:rPr>
        <w:t>Effective Date</w:t>
      </w:r>
      <w:r>
        <w:rPr>
          <w:rFonts w:ascii="Times New Roman" w:cs="Times New Roman" w:eastAsia="Times New Roman" w:hAnsi="Times New Roman"/>
          <w:sz w:val="20"/>
          <w:szCs w:val="20"/>
          <w:color w:val="00171E"/>
        </w:rPr>
        <w:t>”), by and between Accuray Incorporated, a Delaware corporation (the “</w:t>
      </w:r>
      <w:r>
        <w:rPr>
          <w:rFonts w:ascii="Times New Roman" w:cs="Times New Roman" w:eastAsia="Times New Roman" w:hAnsi="Times New Roman"/>
          <w:sz w:val="20"/>
          <w:szCs w:val="20"/>
          <w:u w:val="single" w:color="auto"/>
          <w:color w:val="00171E"/>
        </w:rPr>
        <w:t>Company</w:t>
      </w:r>
      <w:r>
        <w:rPr>
          <w:rFonts w:ascii="Times New Roman" w:cs="Times New Roman" w:eastAsia="Times New Roman" w:hAnsi="Times New Roman"/>
          <w:sz w:val="20"/>
          <w:szCs w:val="20"/>
          <w:color w:val="00171E"/>
        </w:rPr>
        <w:t>”), and Ali Pervaiz (“</w:t>
      </w:r>
      <w:r>
        <w:rPr>
          <w:rFonts w:ascii="Times New Roman" w:cs="Times New Roman" w:eastAsia="Times New Roman" w:hAnsi="Times New Roman"/>
          <w:sz w:val="20"/>
          <w:szCs w:val="20"/>
          <w:u w:val="single" w:color="auto"/>
          <w:color w:val="00171E"/>
        </w:rPr>
        <w:t>Executive</w:t>
      </w:r>
      <w:r>
        <w:rPr>
          <w:rFonts w:ascii="Times New Roman" w:cs="Times New Roman" w:eastAsia="Times New Roman" w:hAnsi="Times New Roman"/>
          <w:sz w:val="20"/>
          <w:szCs w:val="20"/>
          <w:color w:val="00171E"/>
        </w:rPr>
        <w: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00171E"/>
        </w:rPr>
        <w:t>RECITALS</w:t>
      </w:r>
    </w:p>
    <w:p>
      <w:pPr>
        <w:spacing w:after="0" w:line="220" w:lineRule="exact"/>
        <w:rPr>
          <w:sz w:val="20"/>
          <w:szCs w:val="20"/>
          <w:color w:val="auto"/>
        </w:rPr>
      </w:pPr>
    </w:p>
    <w:p>
      <w:pPr>
        <w:ind w:right="40" w:firstLine="757"/>
        <w:spacing w:after="0" w:line="269" w:lineRule="auto"/>
        <w:tabs>
          <w:tab w:leader="none" w:pos="1145" w:val="left"/>
        </w:tabs>
        <w:numPr>
          <w:ilvl w:val="0"/>
          <w:numId w:val="83"/>
        </w:numPr>
        <w:rPr>
          <w:rFonts w:ascii="Times New Roman" w:cs="Times New Roman" w:eastAsia="Times New Roman" w:hAnsi="Times New Roman"/>
          <w:sz w:val="20"/>
          <w:szCs w:val="20"/>
          <w:color w:val="00171E"/>
        </w:rPr>
      </w:pPr>
      <w:r>
        <w:rPr>
          <w:rFonts w:ascii="Times New Roman" w:cs="Times New Roman" w:eastAsia="Times New Roman" w:hAnsi="Times New Roman"/>
          <w:sz w:val="20"/>
          <w:szCs w:val="20"/>
          <w:color w:val="00171E"/>
        </w:rPr>
        <w:t>The Company is in the business of developing, manufacturing and selling radiation oncology, including radio surgery and radiation therapy, technologies and devices (the “</w:t>
      </w:r>
      <w:r>
        <w:rPr>
          <w:rFonts w:ascii="Times New Roman" w:cs="Times New Roman" w:eastAsia="Times New Roman" w:hAnsi="Times New Roman"/>
          <w:sz w:val="20"/>
          <w:szCs w:val="20"/>
          <w:u w:val="single" w:color="auto"/>
          <w:color w:val="00171E"/>
        </w:rPr>
        <w:t>Business</w:t>
      </w:r>
      <w:r>
        <w:rPr>
          <w:rFonts w:ascii="Times New Roman" w:cs="Times New Roman" w:eastAsia="Times New Roman" w:hAnsi="Times New Roman"/>
          <w:sz w:val="20"/>
          <w:szCs w:val="20"/>
          <w:color w:val="00171E"/>
        </w:rPr>
        <w:t>”).</w:t>
      </w:r>
    </w:p>
    <w:p>
      <w:pPr>
        <w:spacing w:after="0" w:line="159" w:lineRule="exact"/>
        <w:rPr>
          <w:rFonts w:ascii="Times New Roman" w:cs="Times New Roman" w:eastAsia="Times New Roman" w:hAnsi="Times New Roman"/>
          <w:sz w:val="20"/>
          <w:szCs w:val="20"/>
          <w:color w:val="00171E"/>
        </w:rPr>
      </w:pPr>
    </w:p>
    <w:p>
      <w:pPr>
        <w:ind w:right="20" w:firstLine="757"/>
        <w:spacing w:after="0" w:line="269" w:lineRule="auto"/>
        <w:tabs>
          <w:tab w:leader="none" w:pos="1145" w:val="left"/>
        </w:tabs>
        <w:numPr>
          <w:ilvl w:val="0"/>
          <w:numId w:val="83"/>
        </w:numPr>
        <w:rPr>
          <w:rFonts w:ascii="Times New Roman" w:cs="Times New Roman" w:eastAsia="Times New Roman" w:hAnsi="Times New Roman"/>
          <w:sz w:val="20"/>
          <w:szCs w:val="20"/>
          <w:color w:val="00171E"/>
        </w:rPr>
      </w:pPr>
      <w:r>
        <w:rPr>
          <w:rFonts w:ascii="Times New Roman" w:cs="Times New Roman" w:eastAsia="Times New Roman" w:hAnsi="Times New Roman"/>
          <w:sz w:val="20"/>
          <w:szCs w:val="20"/>
          <w:color w:val="00171E"/>
        </w:rPr>
        <w:t>The Company wishes to employ Executive to serve as Senior Vice President, Chief Financial Officer and Executive desires to serve the Company in such capacity pursuant to the terms and conditions in this Agreement.</w:t>
      </w:r>
    </w:p>
    <w:p>
      <w:pPr>
        <w:spacing w:after="0" w:line="159" w:lineRule="exact"/>
        <w:rPr>
          <w:rFonts w:ascii="Times New Roman" w:cs="Times New Roman" w:eastAsia="Times New Roman" w:hAnsi="Times New Roman"/>
          <w:sz w:val="20"/>
          <w:szCs w:val="20"/>
          <w:color w:val="00171E"/>
        </w:rPr>
      </w:pPr>
    </w:p>
    <w:p>
      <w:pPr>
        <w:ind w:left="1160" w:hanging="403"/>
        <w:spacing w:after="0"/>
        <w:tabs>
          <w:tab w:leader="none" w:pos="1160" w:val="left"/>
        </w:tabs>
        <w:numPr>
          <w:ilvl w:val="0"/>
          <w:numId w:val="83"/>
        </w:numPr>
        <w:rPr>
          <w:rFonts w:ascii="Times New Roman" w:cs="Times New Roman" w:eastAsia="Times New Roman" w:hAnsi="Times New Roman"/>
          <w:sz w:val="20"/>
          <w:szCs w:val="20"/>
          <w:color w:val="00171E"/>
        </w:rPr>
      </w:pPr>
      <w:r>
        <w:rPr>
          <w:rFonts w:ascii="Times New Roman" w:cs="Times New Roman" w:eastAsia="Times New Roman" w:hAnsi="Times New Roman"/>
          <w:sz w:val="20"/>
          <w:szCs w:val="20"/>
          <w:color w:val="00171E"/>
        </w:rPr>
        <w:t>As of the Effective Date, Executive has commenced full-time employment with the Company.</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00171E"/>
        </w:rPr>
        <w:t>NOW, THEREFORE, the parties agree as follows:</w:t>
      </w:r>
    </w:p>
    <w:p>
      <w:pPr>
        <w:spacing w:after="0" w:line="212" w:lineRule="exact"/>
        <w:rPr>
          <w:sz w:val="20"/>
          <w:szCs w:val="20"/>
          <w:color w:val="auto"/>
        </w:rPr>
      </w:pPr>
    </w:p>
    <w:p>
      <w:pPr>
        <w:ind w:left="1020" w:hanging="263"/>
        <w:spacing w:after="0"/>
        <w:tabs>
          <w:tab w:leader="none" w:pos="1020" w:val="left"/>
        </w:tabs>
        <w:numPr>
          <w:ilvl w:val="0"/>
          <w:numId w:val="84"/>
        </w:numPr>
        <w:rPr>
          <w:rFonts w:ascii="Times New Roman" w:cs="Times New Roman" w:eastAsia="Times New Roman" w:hAnsi="Times New Roman"/>
          <w:sz w:val="20"/>
          <w:szCs w:val="20"/>
          <w:b w:val="1"/>
          <w:bCs w:val="1"/>
          <w:color w:val="00171E"/>
        </w:rPr>
      </w:pPr>
      <w:r>
        <w:rPr>
          <w:rFonts w:ascii="Times New Roman" w:cs="Times New Roman" w:eastAsia="Times New Roman" w:hAnsi="Times New Roman"/>
          <w:sz w:val="20"/>
          <w:szCs w:val="20"/>
          <w:b w:val="1"/>
          <w:bCs w:val="1"/>
          <w:color w:val="00171E"/>
        </w:rPr>
        <w:t>Position and Duties.</w:t>
      </w:r>
    </w:p>
    <w:p>
      <w:pPr>
        <w:spacing w:after="0" w:line="219" w:lineRule="exact"/>
        <w:rPr>
          <w:rFonts w:ascii="Times New Roman" w:cs="Times New Roman" w:eastAsia="Times New Roman" w:hAnsi="Times New Roman"/>
          <w:sz w:val="20"/>
          <w:szCs w:val="20"/>
          <w:b w:val="1"/>
          <w:bCs w:val="1"/>
          <w:color w:val="00171E"/>
        </w:rPr>
      </w:pPr>
    </w:p>
    <w:p>
      <w:pPr>
        <w:jc w:val="both"/>
        <w:ind w:firstLine="1505"/>
        <w:spacing w:after="0" w:line="249" w:lineRule="auto"/>
        <w:tabs>
          <w:tab w:leader="none" w:pos="2036" w:val="left"/>
        </w:tabs>
        <w:numPr>
          <w:ilvl w:val="1"/>
          <w:numId w:val="84"/>
        </w:numPr>
        <w:rPr>
          <w:rFonts w:ascii="Times New Roman" w:cs="Times New Roman" w:eastAsia="Times New Roman" w:hAnsi="Times New Roman"/>
          <w:sz w:val="20"/>
          <w:szCs w:val="20"/>
          <w:u w:val="single" w:color="auto"/>
          <w:color w:val="00171E"/>
        </w:rPr>
      </w:pPr>
      <w:r>
        <w:rPr>
          <w:rFonts w:ascii="Times New Roman" w:cs="Times New Roman" w:eastAsia="Times New Roman" w:hAnsi="Times New Roman"/>
          <w:sz w:val="20"/>
          <w:szCs w:val="20"/>
          <w:color w:val="00171E"/>
        </w:rPr>
        <w:t>During the term of this Agreement, Executive will be employed by the Company to serve as Senior Vice President, Chief Financial Officer of the Company, reporting to the President and Chief Executive Officer of the Company. Executive will be responsible for: (i) performing the duties and responsibilities customarily expected to be performed by such position and (ii) performing such other duties and functions as are reasonably required and/or as may be reasonably prescribed by the Company from time to time.</w:t>
      </w:r>
    </w:p>
    <w:p>
      <w:pPr>
        <w:spacing w:after="0" w:line="179" w:lineRule="exact"/>
        <w:rPr>
          <w:rFonts w:ascii="Times New Roman" w:cs="Times New Roman" w:eastAsia="Times New Roman" w:hAnsi="Times New Roman"/>
          <w:sz w:val="20"/>
          <w:szCs w:val="20"/>
          <w:u w:val="single" w:color="auto"/>
          <w:color w:val="00171E"/>
        </w:rPr>
      </w:pPr>
    </w:p>
    <w:p>
      <w:pPr>
        <w:jc w:val="both"/>
        <w:ind w:firstLine="1505"/>
        <w:spacing w:after="0" w:line="254" w:lineRule="auto"/>
        <w:tabs>
          <w:tab w:leader="none" w:pos="2036" w:val="left"/>
        </w:tabs>
        <w:numPr>
          <w:ilvl w:val="1"/>
          <w:numId w:val="84"/>
        </w:numPr>
        <w:rPr>
          <w:rFonts w:ascii="Times New Roman" w:cs="Times New Roman" w:eastAsia="Times New Roman" w:hAnsi="Times New Roman"/>
          <w:sz w:val="20"/>
          <w:szCs w:val="20"/>
          <w:u w:val="single" w:color="auto"/>
          <w:color w:val="00171E"/>
        </w:rPr>
      </w:pPr>
      <w:r>
        <w:rPr>
          <w:rFonts w:ascii="Times New Roman" w:cs="Times New Roman" w:eastAsia="Times New Roman" w:hAnsi="Times New Roman"/>
          <w:sz w:val="20"/>
          <w:szCs w:val="20"/>
          <w:color w:val="00171E"/>
        </w:rPr>
        <w:t>The location of Executive’s employment will be the Company’s headquarters offices, but Executive will (i) have the flexibility to work from home consistent with past practice and (ii) will be required to travel to the Company’s offices and other geographic locations in connection with the performance of his/her duties.</w:t>
      </w:r>
    </w:p>
    <w:p>
      <w:pPr>
        <w:spacing w:after="0" w:line="170" w:lineRule="exact"/>
        <w:rPr>
          <w:rFonts w:ascii="Times New Roman" w:cs="Times New Roman" w:eastAsia="Times New Roman" w:hAnsi="Times New Roman"/>
          <w:sz w:val="20"/>
          <w:szCs w:val="20"/>
          <w:u w:val="single" w:color="auto"/>
          <w:color w:val="00171E"/>
        </w:rPr>
      </w:pPr>
    </w:p>
    <w:p>
      <w:pPr>
        <w:jc w:val="both"/>
        <w:ind w:firstLine="757"/>
        <w:spacing w:after="0" w:line="245" w:lineRule="auto"/>
        <w:tabs>
          <w:tab w:leader="none" w:pos="1018" w:val="left"/>
        </w:tabs>
        <w:numPr>
          <w:ilvl w:val="0"/>
          <w:numId w:val="84"/>
        </w:numPr>
        <w:rPr>
          <w:rFonts w:ascii="Times New Roman" w:cs="Times New Roman" w:eastAsia="Times New Roman" w:hAnsi="Times New Roman"/>
          <w:sz w:val="20"/>
          <w:szCs w:val="20"/>
          <w:b w:val="1"/>
          <w:bCs w:val="1"/>
          <w:color w:val="00171E"/>
        </w:rPr>
      </w:pPr>
      <w:r>
        <w:rPr>
          <w:rFonts w:ascii="Times New Roman" w:cs="Times New Roman" w:eastAsia="Times New Roman" w:hAnsi="Times New Roman"/>
          <w:sz w:val="20"/>
          <w:szCs w:val="20"/>
          <w:b w:val="1"/>
          <w:bCs w:val="1"/>
          <w:color w:val="00171E"/>
        </w:rPr>
        <w:t xml:space="preserve">Standards of Performance. </w:t>
      </w:r>
      <w:r>
        <w:rPr>
          <w:rFonts w:ascii="Times New Roman" w:cs="Times New Roman" w:eastAsia="Times New Roman" w:hAnsi="Times New Roman"/>
          <w:sz w:val="20"/>
          <w:szCs w:val="20"/>
          <w:color w:val="00171E"/>
        </w:rPr>
        <w:t>Executive will at all times faithfully, industriously and to the best of his/her ability, experience and</w:t>
      </w:r>
      <w:r>
        <w:rPr>
          <w:rFonts w:ascii="Times New Roman" w:cs="Times New Roman" w:eastAsia="Times New Roman" w:hAnsi="Times New Roman"/>
          <w:sz w:val="20"/>
          <w:szCs w:val="20"/>
          <w:b w:val="1"/>
          <w:bCs w:val="1"/>
          <w:color w:val="00171E"/>
        </w:rPr>
        <w:t xml:space="preserve"> </w:t>
      </w:r>
      <w:r>
        <w:rPr>
          <w:rFonts w:ascii="Times New Roman" w:cs="Times New Roman" w:eastAsia="Times New Roman" w:hAnsi="Times New Roman"/>
          <w:sz w:val="20"/>
          <w:szCs w:val="20"/>
          <w:color w:val="00171E"/>
        </w:rPr>
        <w:t>talents perform all of the duties required of and from him/her pursuant to the terms of this Agreement. Executive will devote his/her full business energies and abilities and all of his/her business time to the performance of his/her duties hereunder and will not, without the Company’s prior written consent, render to others any service of any kind (whether or not for compensation) that, in the Company’s sole but reasonable judgment, would conflict with the full performance of his/her duties hereunder. In no event will Executive engage in any activities that could reasonably create a conflict of interest or the appearance of a conflict of interest. Executive shall be subject to the Company’s policies, procedures and approval practices, as generally in effect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7132320" cy="171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92"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6"/>
          <w:szCs w:val="16"/>
          <w:b w:val="1"/>
          <w:bCs w:val="1"/>
          <w:color w:val="auto"/>
        </w:rPr>
        <w:t>E</w:t>
      </w:r>
      <w:r>
        <w:rPr>
          <w:rFonts w:ascii="Times New Roman" w:cs="Times New Roman" w:eastAsia="Times New Roman" w:hAnsi="Times New Roman"/>
          <w:sz w:val="10"/>
          <w:szCs w:val="10"/>
          <w:b w:val="1"/>
          <w:bCs w:val="1"/>
          <w:color w:val="auto"/>
        </w:rPr>
        <w:t>xecutive</w:t>
      </w:r>
      <w:r>
        <w:rPr>
          <w:rFonts w:ascii="Times New Roman" w:cs="Times New Roman" w:eastAsia="Times New Roman" w:hAnsi="Times New Roman"/>
          <w:sz w:val="16"/>
          <w:szCs w:val="16"/>
          <w:b w:val="1"/>
          <w:bCs w:val="1"/>
          <w:color w:val="auto"/>
        </w:rPr>
        <w:t xml:space="preserve"> E</w:t>
      </w:r>
      <w:r>
        <w:rPr>
          <w:rFonts w:ascii="Times New Roman" w:cs="Times New Roman" w:eastAsia="Times New Roman" w:hAnsi="Times New Roman"/>
          <w:sz w:val="10"/>
          <w:szCs w:val="10"/>
          <w:b w:val="1"/>
          <w:bCs w:val="1"/>
          <w:color w:val="auto"/>
        </w:rPr>
        <w:t>mployment</w:t>
      </w:r>
      <w:r>
        <w:rPr>
          <w:rFonts w:ascii="Times New Roman" w:cs="Times New Roman" w:eastAsia="Times New Roman" w:hAnsi="Times New Roman"/>
          <w:sz w:val="16"/>
          <w:szCs w:val="16"/>
          <w:b w:val="1"/>
          <w:bCs w:val="1"/>
          <w:color w:val="auto"/>
        </w:rPr>
        <w:t xml:space="preserve"> A</w:t>
      </w:r>
      <w:r>
        <w:rPr>
          <w:rFonts w:ascii="Times New Roman" w:cs="Times New Roman" w:eastAsia="Times New Roman" w:hAnsi="Times New Roman"/>
          <w:sz w:val="10"/>
          <w:szCs w:val="10"/>
          <w:b w:val="1"/>
          <w:bCs w:val="1"/>
          <w:color w:val="auto"/>
        </w:rPr>
        <w:t>gmt</w:t>
      </w:r>
      <w:r>
        <w:rPr>
          <w:rFonts w:ascii="Times New Roman" w:cs="Times New Roman" w:eastAsia="Times New Roman" w:hAnsi="Times New Roman"/>
          <w:sz w:val="16"/>
          <w:szCs w:val="16"/>
          <w:b w:val="1"/>
          <w:bCs w:val="1"/>
          <w:color w:val="auto"/>
        </w:rPr>
        <w:t xml:space="preserve"> S</w:t>
      </w:r>
      <w:r>
        <w:rPr>
          <w:rFonts w:ascii="Times New Roman" w:cs="Times New Roman" w:eastAsia="Times New Roman" w:hAnsi="Times New Roman"/>
          <w:sz w:val="10"/>
          <w:szCs w:val="10"/>
          <w:b w:val="1"/>
          <w:bCs w:val="1"/>
          <w:color w:val="auto"/>
        </w:rPr>
        <w:t>td</w:t>
      </w:r>
      <w:r>
        <w:rPr>
          <w:rFonts w:ascii="Times New Roman" w:cs="Times New Roman" w:eastAsia="Times New Roman" w:hAnsi="Times New Roman"/>
          <w:sz w:val="16"/>
          <w:szCs w:val="16"/>
          <w:b w:val="1"/>
          <w:bCs w:val="1"/>
          <w:color w:val="auto"/>
        </w:rPr>
        <w:t xml:space="preserve"> 11.1.24</w:t>
      </w:r>
      <w:r>
        <w:rPr>
          <w:sz w:val="20"/>
          <w:szCs w:val="20"/>
          <w:color w:val="auto"/>
        </w:rPr>
        <w:tab/>
      </w:r>
      <w:r>
        <w:rPr>
          <w:rFonts w:ascii="Times New Roman" w:cs="Times New Roman" w:eastAsia="Times New Roman" w:hAnsi="Times New Roman"/>
          <w:sz w:val="16"/>
          <w:szCs w:val="16"/>
          <w:b w:val="1"/>
          <w:bCs w:val="1"/>
          <w:color w:val="auto"/>
        </w:rPr>
        <w:t>A</w:t>
      </w:r>
      <w:r>
        <w:rPr>
          <w:rFonts w:ascii="Times New Roman" w:cs="Times New Roman" w:eastAsia="Times New Roman" w:hAnsi="Times New Roman"/>
          <w:sz w:val="10"/>
          <w:szCs w:val="10"/>
          <w:b w:val="1"/>
          <w:bCs w:val="1"/>
          <w:color w:val="auto"/>
        </w:rPr>
        <w:t>ccuray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NUMPAGES \* Arabic \* MERGEFORMAT 31</w:t>
      </w:r>
    </w:p>
    <w:p>
      <w:pPr>
        <w:spacing w:after="0" w:line="200" w:lineRule="exact"/>
        <w:rPr>
          <w:sz w:val="20"/>
          <w:szCs w:val="20"/>
          <w:color w:val="auto"/>
        </w:rPr>
      </w:pPr>
    </w:p>
    <w:p>
      <w:pPr>
        <w:spacing w:after="0" w:line="255" w:lineRule="exact"/>
        <w:rPr>
          <w:sz w:val="20"/>
          <w:szCs w:val="20"/>
          <w:color w:val="auto"/>
        </w:rPr>
      </w:pPr>
    </w:p>
    <w:p>
      <w:pPr>
        <w:ind w:left="1020" w:hanging="263"/>
        <w:spacing w:after="0"/>
        <w:tabs>
          <w:tab w:leader="none" w:pos="1020" w:val="left"/>
        </w:tabs>
        <w:numPr>
          <w:ilvl w:val="0"/>
          <w:numId w:val="85"/>
        </w:numPr>
        <w:rPr>
          <w:rFonts w:ascii="Times New Roman" w:cs="Times New Roman" w:eastAsia="Times New Roman" w:hAnsi="Times New Roman"/>
          <w:sz w:val="20"/>
          <w:szCs w:val="20"/>
          <w:b w:val="1"/>
          <w:bCs w:val="1"/>
          <w:color w:val="00171E"/>
        </w:rPr>
      </w:pPr>
      <w:r>
        <w:rPr>
          <w:rFonts w:ascii="Times New Roman" w:cs="Times New Roman" w:eastAsia="Times New Roman" w:hAnsi="Times New Roman"/>
          <w:sz w:val="18"/>
          <w:szCs w:val="18"/>
          <w:b w:val="1"/>
          <w:bCs w:val="1"/>
          <w:color w:val="00171E"/>
        </w:rPr>
        <w:t>Term.</w:t>
      </w:r>
    </w:p>
    <w:p>
      <w:pPr>
        <w:spacing w:after="0" w:line="202" w:lineRule="exact"/>
        <w:rPr>
          <w:sz w:val="20"/>
          <w:szCs w:val="20"/>
          <w:color w:val="auto"/>
        </w:rPr>
      </w:pPr>
    </w:p>
    <w:p>
      <w:pPr>
        <w:jc w:val="both"/>
        <w:ind w:firstLine="1505"/>
        <w:spacing w:after="0" w:line="241" w:lineRule="auto"/>
        <w:tabs>
          <w:tab w:leader="none" w:pos="2036" w:val="left"/>
        </w:tabs>
        <w:numPr>
          <w:ilvl w:val="1"/>
          <w:numId w:val="86"/>
        </w:numPr>
        <w:rPr>
          <w:rFonts w:ascii="Times New Roman" w:cs="Times New Roman" w:eastAsia="Times New Roman" w:hAnsi="Times New Roman"/>
          <w:sz w:val="20"/>
          <w:szCs w:val="20"/>
          <w:u w:val="single" w:color="auto"/>
          <w:color w:val="00171E"/>
        </w:rPr>
      </w:pPr>
      <w:r>
        <w:rPr>
          <w:rFonts w:ascii="Times New Roman" w:cs="Times New Roman" w:eastAsia="Times New Roman" w:hAnsi="Times New Roman"/>
          <w:sz w:val="20"/>
          <w:szCs w:val="20"/>
          <w:u w:val="single" w:color="auto"/>
          <w:color w:val="00171E"/>
        </w:rPr>
        <w:t>Term of Agreement</w:t>
      </w:r>
      <w:r>
        <w:rPr>
          <w:rFonts w:ascii="Times New Roman" w:cs="Times New Roman" w:eastAsia="Times New Roman" w:hAnsi="Times New Roman"/>
          <w:sz w:val="20"/>
          <w:szCs w:val="20"/>
          <w:color w:val="00171E"/>
        </w:rPr>
        <w:t>. This Agreement will have an initial term of three (3) years commencing on the Effective Date (the “</w:t>
      </w:r>
      <w:r>
        <w:rPr>
          <w:rFonts w:ascii="Times New Roman" w:cs="Times New Roman" w:eastAsia="Times New Roman" w:hAnsi="Times New Roman"/>
          <w:sz w:val="20"/>
          <w:szCs w:val="20"/>
          <w:u w:val="single" w:color="auto"/>
          <w:color w:val="00171E"/>
        </w:rPr>
        <w:t>Initial Term</w:t>
      </w:r>
      <w:r>
        <w:rPr>
          <w:rFonts w:ascii="Times New Roman" w:cs="Times New Roman" w:eastAsia="Times New Roman" w:hAnsi="Times New Roman"/>
          <w:sz w:val="20"/>
          <w:szCs w:val="20"/>
          <w:color w:val="00171E"/>
        </w:rPr>
        <w:t>”). On the third anniversary of the Effective Date, this Agreement will renew automatically for additional three (3) year terms (each, an “</w:t>
      </w:r>
      <w:r>
        <w:rPr>
          <w:rFonts w:ascii="Times New Roman" w:cs="Times New Roman" w:eastAsia="Times New Roman" w:hAnsi="Times New Roman"/>
          <w:sz w:val="20"/>
          <w:szCs w:val="20"/>
          <w:u w:val="single" w:color="auto"/>
          <w:color w:val="00171E"/>
        </w:rPr>
        <w:t>Additional Term</w:t>
      </w:r>
      <w:r>
        <w:rPr>
          <w:rFonts w:ascii="Times New Roman" w:cs="Times New Roman" w:eastAsia="Times New Roman" w:hAnsi="Times New Roman"/>
          <w:sz w:val="20"/>
          <w:szCs w:val="20"/>
          <w:color w:val="00171E"/>
        </w:rPr>
        <w:t>” and together with the Initial Term, the “</w:t>
      </w:r>
      <w:r>
        <w:rPr>
          <w:rFonts w:ascii="Times New Roman" w:cs="Times New Roman" w:eastAsia="Times New Roman" w:hAnsi="Times New Roman"/>
          <w:sz w:val="20"/>
          <w:szCs w:val="20"/>
          <w:u w:val="single" w:color="auto"/>
          <w:color w:val="00171E"/>
        </w:rPr>
        <w:t>Term</w:t>
      </w:r>
      <w:r>
        <w:rPr>
          <w:rFonts w:ascii="Times New Roman" w:cs="Times New Roman" w:eastAsia="Times New Roman" w:hAnsi="Times New Roman"/>
          <w:sz w:val="20"/>
          <w:szCs w:val="20"/>
          <w:color w:val="00171E"/>
        </w:rPr>
        <w:t xml:space="preserve">”), unless either party provides the other party with written notice of non-renewal at least sixty (60) days prior to the date of automatic renewal; provided, however, that if the Company enters into a definitive agreement to be acquired and the transactions contemplated thereby would result in the occurrence of a Change in Control (as defined below) if consummated, then the Company will no longer be permitted to provide Executive with written notice to not renew this Agreement unless such definitive agreement is terminated without the Change in Control being consummated. If the Change in Control is consummated, the Agreement will continue in effect through the longer of the date that is twenty-four (24) months following the effective date of the Change in Control or the remainder of the Term then in effect (for purposes of clarification, it will be possible for the Term of the Agreement to automatically extend after the Company enters into the definitive agreement, but before the Change in Control is consummated). If the definitive agreement is terminated without the transactions contemplated thereby having been consummated and at the time of such termination there is at least twelve (12) months remaining in the Term, the Agreement will continue in effect for the remainder of the Term then in effect, but if there is less than twelve (12) months remaining in the Term then in effect, the Agreement will automatically extend for an additional three (3) years from the date the definitive agreement is terminated. If Executive becomes entitled to benefits under </w:t>
      </w:r>
      <w:r>
        <w:rPr>
          <w:rFonts w:ascii="Times New Roman" w:cs="Times New Roman" w:eastAsia="Times New Roman" w:hAnsi="Times New Roman"/>
          <w:sz w:val="20"/>
          <w:szCs w:val="20"/>
          <w:u w:val="single" w:color="auto"/>
          <w:color w:val="00171E"/>
        </w:rPr>
        <w:t>Section 5</w:t>
      </w:r>
      <w:r>
        <w:rPr>
          <w:rFonts w:ascii="Times New Roman" w:cs="Times New Roman" w:eastAsia="Times New Roman" w:hAnsi="Times New Roman"/>
          <w:sz w:val="20"/>
          <w:szCs w:val="20"/>
          <w:color w:val="00171E"/>
        </w:rPr>
        <w:t xml:space="preserve"> during the term of this Agreement, the Agreement will not terminate until all of the obligations of the parties hereto with respect to this Agreement have been satisfied.</w:t>
      </w:r>
    </w:p>
    <w:p>
      <w:pPr>
        <w:spacing w:after="0" w:line="193" w:lineRule="exact"/>
        <w:rPr>
          <w:rFonts w:ascii="Times New Roman" w:cs="Times New Roman" w:eastAsia="Times New Roman" w:hAnsi="Times New Roman"/>
          <w:sz w:val="20"/>
          <w:szCs w:val="20"/>
          <w:u w:val="single" w:color="auto"/>
          <w:color w:val="00171E"/>
        </w:rPr>
      </w:pPr>
    </w:p>
    <w:p>
      <w:pPr>
        <w:jc w:val="both"/>
        <w:ind w:firstLine="1505"/>
        <w:spacing w:after="0" w:line="246" w:lineRule="auto"/>
        <w:tabs>
          <w:tab w:leader="none" w:pos="2036" w:val="left"/>
        </w:tabs>
        <w:numPr>
          <w:ilvl w:val="1"/>
          <w:numId w:val="86"/>
        </w:numPr>
        <w:rPr>
          <w:rFonts w:ascii="Times New Roman" w:cs="Times New Roman" w:eastAsia="Times New Roman" w:hAnsi="Times New Roman"/>
          <w:sz w:val="20"/>
          <w:szCs w:val="20"/>
          <w:u w:val="single" w:color="auto"/>
          <w:color w:val="00171E"/>
        </w:rPr>
      </w:pPr>
      <w:r>
        <w:rPr>
          <w:rFonts w:ascii="Times New Roman" w:cs="Times New Roman" w:eastAsia="Times New Roman" w:hAnsi="Times New Roman"/>
          <w:sz w:val="20"/>
          <w:szCs w:val="20"/>
          <w:u w:val="single" w:color="auto"/>
          <w:color w:val="00171E"/>
        </w:rPr>
        <w:t>At-Will Employment</w:t>
      </w:r>
      <w:r>
        <w:rPr>
          <w:rFonts w:ascii="Times New Roman" w:cs="Times New Roman" w:eastAsia="Times New Roman" w:hAnsi="Times New Roman"/>
          <w:sz w:val="20"/>
          <w:szCs w:val="20"/>
          <w:color w:val="00171E"/>
        </w:rPr>
        <w:t xml:space="preserve">. The Company and Executive acknowledge that, notwithstanding the foregoing, Executive’s employment is and will continue to be at-will, as defined under applicable law. As an at-will employee, either the Company or the Executive may terminate the employment relationship and this Agreement at any time, with or without cause; provided, however, that in connection with such termination, the Company will provide Executive with any applicable benefits under </w:t>
      </w:r>
      <w:r>
        <w:rPr>
          <w:rFonts w:ascii="Times New Roman" w:cs="Times New Roman" w:eastAsia="Times New Roman" w:hAnsi="Times New Roman"/>
          <w:sz w:val="20"/>
          <w:szCs w:val="20"/>
          <w:u w:val="single" w:color="auto"/>
          <w:color w:val="00171E"/>
        </w:rPr>
        <w:t>Section 5</w:t>
      </w:r>
      <w:r>
        <w:rPr>
          <w:rFonts w:ascii="Times New Roman" w:cs="Times New Roman" w:eastAsia="Times New Roman" w:hAnsi="Times New Roman"/>
          <w:sz w:val="20"/>
          <w:szCs w:val="20"/>
          <w:color w:val="00171E"/>
        </w:rPr>
        <w:t xml:space="preserve"> to which Executive is entitled, all in accordance with the terms and conditions thereof.</w:t>
      </w:r>
    </w:p>
    <w:p>
      <w:pPr>
        <w:spacing w:after="0" w:line="180" w:lineRule="exact"/>
        <w:rPr>
          <w:rFonts w:ascii="Times New Roman" w:cs="Times New Roman" w:eastAsia="Times New Roman" w:hAnsi="Times New Roman"/>
          <w:sz w:val="20"/>
          <w:szCs w:val="20"/>
          <w:u w:val="single" w:color="auto"/>
          <w:color w:val="00171E"/>
        </w:rPr>
      </w:pPr>
    </w:p>
    <w:p>
      <w:pPr>
        <w:ind w:left="1020" w:hanging="263"/>
        <w:spacing w:after="0"/>
        <w:tabs>
          <w:tab w:leader="none" w:pos="1020" w:val="left"/>
        </w:tabs>
        <w:numPr>
          <w:ilvl w:val="0"/>
          <w:numId w:val="87"/>
        </w:numPr>
        <w:rPr>
          <w:rFonts w:ascii="Times New Roman" w:cs="Times New Roman" w:eastAsia="Times New Roman" w:hAnsi="Times New Roman"/>
          <w:sz w:val="20"/>
          <w:szCs w:val="20"/>
          <w:b w:val="1"/>
          <w:bCs w:val="1"/>
          <w:color w:val="00171E"/>
        </w:rPr>
      </w:pPr>
      <w:r>
        <w:rPr>
          <w:rFonts w:ascii="Times New Roman" w:cs="Times New Roman" w:eastAsia="Times New Roman" w:hAnsi="Times New Roman"/>
          <w:sz w:val="20"/>
          <w:szCs w:val="20"/>
          <w:b w:val="1"/>
          <w:bCs w:val="1"/>
          <w:color w:val="00171E"/>
        </w:rPr>
        <w:t>Compensation and Benefits.</w:t>
      </w:r>
    </w:p>
    <w:p>
      <w:pPr>
        <w:spacing w:after="0" w:line="219" w:lineRule="exact"/>
        <w:rPr>
          <w:rFonts w:ascii="Times New Roman" w:cs="Times New Roman" w:eastAsia="Times New Roman" w:hAnsi="Times New Roman"/>
          <w:sz w:val="20"/>
          <w:szCs w:val="20"/>
          <w:b w:val="1"/>
          <w:bCs w:val="1"/>
          <w:color w:val="00171E"/>
        </w:rPr>
      </w:pPr>
    </w:p>
    <w:p>
      <w:pPr>
        <w:jc w:val="both"/>
        <w:ind w:firstLine="1505"/>
        <w:spacing w:after="0" w:line="246" w:lineRule="auto"/>
        <w:tabs>
          <w:tab w:leader="none" w:pos="2036" w:val="left"/>
        </w:tabs>
        <w:numPr>
          <w:ilvl w:val="1"/>
          <w:numId w:val="87"/>
        </w:numPr>
        <w:rPr>
          <w:rFonts w:ascii="Times New Roman" w:cs="Times New Roman" w:eastAsia="Times New Roman" w:hAnsi="Times New Roman"/>
          <w:sz w:val="20"/>
          <w:szCs w:val="20"/>
          <w:u w:val="single" w:color="auto"/>
          <w:color w:val="00171E"/>
        </w:rPr>
      </w:pPr>
      <w:r>
        <w:rPr>
          <w:rFonts w:ascii="Times New Roman" w:cs="Times New Roman" w:eastAsia="Times New Roman" w:hAnsi="Times New Roman"/>
          <w:sz w:val="20"/>
          <w:szCs w:val="20"/>
          <w:u w:val="single" w:color="auto"/>
          <w:color w:val="00171E"/>
        </w:rPr>
        <w:t>Base Salary</w:t>
      </w:r>
      <w:r>
        <w:rPr>
          <w:rFonts w:ascii="Times New Roman" w:cs="Times New Roman" w:eastAsia="Times New Roman" w:hAnsi="Times New Roman"/>
          <w:sz w:val="20"/>
          <w:szCs w:val="20"/>
          <w:color w:val="00171E"/>
        </w:rPr>
        <w:t>. As an annual base salary (“</w:t>
      </w:r>
      <w:r>
        <w:rPr>
          <w:rFonts w:ascii="Times New Roman" w:cs="Times New Roman" w:eastAsia="Times New Roman" w:hAnsi="Times New Roman"/>
          <w:sz w:val="20"/>
          <w:szCs w:val="20"/>
          <w:u w:val="single" w:color="auto"/>
          <w:color w:val="00171E"/>
        </w:rPr>
        <w:t>Base Salary</w:t>
      </w:r>
      <w:r>
        <w:rPr>
          <w:rFonts w:ascii="Times New Roman" w:cs="Times New Roman" w:eastAsia="Times New Roman" w:hAnsi="Times New Roman"/>
          <w:sz w:val="20"/>
          <w:szCs w:val="20"/>
          <w:color w:val="00171E"/>
        </w:rPr>
        <w:t>”) for all services rendered pursuant to this Agreement, Executive will be paid an initial Base Salary in the gross amount of $450,600 calculated on an annualized basis, less necessary withholdings and authorized deductions, and payable pursuant to the Company’s regular payroll practices at the time. The Base Salary will be subject to review and adjustments will be made based upon the Company’s normal performance review practices as determined by the Company in its sole discretion.</w:t>
      </w:r>
    </w:p>
    <w:p>
      <w:pPr>
        <w:spacing w:after="0" w:line="184" w:lineRule="exact"/>
        <w:rPr>
          <w:rFonts w:ascii="Times New Roman" w:cs="Times New Roman" w:eastAsia="Times New Roman" w:hAnsi="Times New Roman"/>
          <w:sz w:val="20"/>
          <w:szCs w:val="20"/>
          <w:u w:val="single" w:color="auto"/>
          <w:color w:val="00171E"/>
        </w:rPr>
      </w:pPr>
    </w:p>
    <w:p>
      <w:pPr>
        <w:jc w:val="both"/>
        <w:ind w:firstLine="1505"/>
        <w:spacing w:after="0" w:line="242" w:lineRule="auto"/>
        <w:tabs>
          <w:tab w:leader="none" w:pos="2036" w:val="left"/>
        </w:tabs>
        <w:numPr>
          <w:ilvl w:val="1"/>
          <w:numId w:val="87"/>
        </w:numPr>
        <w:rPr>
          <w:rFonts w:ascii="Times New Roman" w:cs="Times New Roman" w:eastAsia="Times New Roman" w:hAnsi="Times New Roman"/>
          <w:sz w:val="20"/>
          <w:szCs w:val="20"/>
          <w:u w:val="single" w:color="auto"/>
          <w:color w:val="00171E"/>
        </w:rPr>
      </w:pPr>
      <w:r>
        <w:rPr>
          <w:rFonts w:ascii="Times New Roman" w:cs="Times New Roman" w:eastAsia="Times New Roman" w:hAnsi="Times New Roman"/>
          <w:sz w:val="20"/>
          <w:szCs w:val="20"/>
          <w:u w:val="single" w:color="auto"/>
          <w:color w:val="00171E"/>
        </w:rPr>
        <w:t>Bonus</w:t>
      </w:r>
      <w:r>
        <w:rPr>
          <w:rFonts w:ascii="Times New Roman" w:cs="Times New Roman" w:eastAsia="Times New Roman" w:hAnsi="Times New Roman"/>
          <w:sz w:val="20"/>
          <w:szCs w:val="20"/>
          <w:color w:val="00171E"/>
        </w:rPr>
        <w:t>. During Executive’s employment under this Agreement, Executive will be eligible for an annual bonus, subject to the terms and conditions of the Company’s bonus plan, as in effect from time to time (the “</w:t>
      </w:r>
      <w:r>
        <w:rPr>
          <w:rFonts w:ascii="Times New Roman" w:cs="Times New Roman" w:eastAsia="Times New Roman" w:hAnsi="Times New Roman"/>
          <w:sz w:val="20"/>
          <w:szCs w:val="20"/>
          <w:u w:val="single" w:color="auto"/>
          <w:color w:val="00171E"/>
        </w:rPr>
        <w:t>Bonus Plan</w:t>
      </w:r>
      <w:r>
        <w:rPr>
          <w:rFonts w:ascii="Times New Roman" w:cs="Times New Roman" w:eastAsia="Times New Roman" w:hAnsi="Times New Roman"/>
          <w:sz w:val="20"/>
          <w:szCs w:val="20"/>
          <w:color w:val="00171E"/>
        </w:rPr>
        <w:t>”), which is applicable to senior executives of the Company. The target amount of Executive’s annual bonus is 70% of Executive’s annual Base Salary (as defined in the Company’s Bonus Plan). However, the actual amount of each annual bonus (if any) will be conditioned on the Company’s achievement of corporate performance objectives approved by the Company and, if applicable, Executive’s achievement of individual performance metrics to be established annually and approved by the Company, all as established pursuant to the Company’s Bonus Plan, and the amount of an annual bonus may be zero. For the avoidance of doubt, an annual bonus will be payable only if the corporate and/or individual performance objectives approved by the Company are achieved as determined by the Company, subject to the Company’s right to exercise discretion in determining the amount of the annual bonus to be awarded, if any, as set forth in the Company’s Bonus Plan. To encourage continued tenure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132320" cy="171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1"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6"/>
          <w:szCs w:val="16"/>
          <w:b w:val="1"/>
          <w:bCs w:val="1"/>
          <w:color w:val="auto"/>
        </w:rPr>
        <w:t>E</w:t>
      </w:r>
      <w:r>
        <w:rPr>
          <w:rFonts w:ascii="Times New Roman" w:cs="Times New Roman" w:eastAsia="Times New Roman" w:hAnsi="Times New Roman"/>
          <w:sz w:val="10"/>
          <w:szCs w:val="10"/>
          <w:b w:val="1"/>
          <w:bCs w:val="1"/>
          <w:color w:val="auto"/>
        </w:rPr>
        <w:t>xecutive</w:t>
      </w:r>
      <w:r>
        <w:rPr>
          <w:rFonts w:ascii="Times New Roman" w:cs="Times New Roman" w:eastAsia="Times New Roman" w:hAnsi="Times New Roman"/>
          <w:sz w:val="16"/>
          <w:szCs w:val="16"/>
          <w:b w:val="1"/>
          <w:bCs w:val="1"/>
          <w:color w:val="auto"/>
        </w:rPr>
        <w:t xml:space="preserve"> E</w:t>
      </w:r>
      <w:r>
        <w:rPr>
          <w:rFonts w:ascii="Times New Roman" w:cs="Times New Roman" w:eastAsia="Times New Roman" w:hAnsi="Times New Roman"/>
          <w:sz w:val="10"/>
          <w:szCs w:val="10"/>
          <w:b w:val="1"/>
          <w:bCs w:val="1"/>
          <w:color w:val="auto"/>
        </w:rPr>
        <w:t>mployment</w:t>
      </w:r>
      <w:r>
        <w:rPr>
          <w:rFonts w:ascii="Times New Roman" w:cs="Times New Roman" w:eastAsia="Times New Roman" w:hAnsi="Times New Roman"/>
          <w:sz w:val="16"/>
          <w:szCs w:val="16"/>
          <w:b w:val="1"/>
          <w:bCs w:val="1"/>
          <w:color w:val="auto"/>
        </w:rPr>
        <w:t xml:space="preserve"> A</w:t>
      </w:r>
      <w:r>
        <w:rPr>
          <w:rFonts w:ascii="Times New Roman" w:cs="Times New Roman" w:eastAsia="Times New Roman" w:hAnsi="Times New Roman"/>
          <w:sz w:val="10"/>
          <w:szCs w:val="10"/>
          <w:b w:val="1"/>
          <w:bCs w:val="1"/>
          <w:color w:val="auto"/>
        </w:rPr>
        <w:t>gmt</w:t>
      </w:r>
      <w:r>
        <w:rPr>
          <w:rFonts w:ascii="Times New Roman" w:cs="Times New Roman" w:eastAsia="Times New Roman" w:hAnsi="Times New Roman"/>
          <w:sz w:val="16"/>
          <w:szCs w:val="16"/>
          <w:b w:val="1"/>
          <w:bCs w:val="1"/>
          <w:color w:val="auto"/>
        </w:rPr>
        <w:t xml:space="preserve"> S</w:t>
      </w:r>
      <w:r>
        <w:rPr>
          <w:rFonts w:ascii="Times New Roman" w:cs="Times New Roman" w:eastAsia="Times New Roman" w:hAnsi="Times New Roman"/>
          <w:sz w:val="10"/>
          <w:szCs w:val="10"/>
          <w:b w:val="1"/>
          <w:bCs w:val="1"/>
          <w:color w:val="auto"/>
        </w:rPr>
        <w:t>td</w:t>
      </w:r>
      <w:r>
        <w:rPr>
          <w:rFonts w:ascii="Times New Roman" w:cs="Times New Roman" w:eastAsia="Times New Roman" w:hAnsi="Times New Roman"/>
          <w:sz w:val="16"/>
          <w:szCs w:val="16"/>
          <w:b w:val="1"/>
          <w:bCs w:val="1"/>
          <w:color w:val="auto"/>
        </w:rPr>
        <w:t xml:space="preserve"> 11.1.24</w:t>
      </w:r>
      <w:r>
        <w:rPr>
          <w:sz w:val="20"/>
          <w:szCs w:val="20"/>
          <w:color w:val="auto"/>
        </w:rPr>
        <w:tab/>
      </w:r>
      <w:r>
        <w:rPr>
          <w:rFonts w:ascii="Times New Roman" w:cs="Times New Roman" w:eastAsia="Times New Roman" w:hAnsi="Times New Roman"/>
          <w:sz w:val="16"/>
          <w:szCs w:val="16"/>
          <w:b w:val="1"/>
          <w:bCs w:val="1"/>
          <w:color w:val="auto"/>
        </w:rPr>
        <w:t>A</w:t>
      </w:r>
      <w:r>
        <w:rPr>
          <w:rFonts w:ascii="Times New Roman" w:cs="Times New Roman" w:eastAsia="Times New Roman" w:hAnsi="Times New Roman"/>
          <w:sz w:val="10"/>
          <w:szCs w:val="10"/>
          <w:b w:val="1"/>
          <w:bCs w:val="1"/>
          <w:color w:val="auto"/>
        </w:rPr>
        <w:t>ccuray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1" w:name="page102"/>
    <w:bookmarkEnd w:id="101"/>
    <w:p>
      <w:pPr>
        <w:ind w:left="6660"/>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3</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NUMPAGES \* Arabic \* MERGEFORMAT 31</w:t>
      </w:r>
    </w:p>
    <w:p>
      <w:pPr>
        <w:spacing w:after="0" w:line="200" w:lineRule="exact"/>
        <w:rPr>
          <w:sz w:val="20"/>
          <w:szCs w:val="20"/>
          <w:color w:val="auto"/>
        </w:rPr>
      </w:pPr>
    </w:p>
    <w:p>
      <w:pPr>
        <w:spacing w:after="0" w:line="24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00171E"/>
        </w:rPr>
        <w:t xml:space="preserve">with the Company, Executive must be employed by the Company as of the payment date to earn and be eligible for an annual bonus for the year to which the annual bonus relates, unless otherwise provided in </w:t>
      </w:r>
      <w:r>
        <w:rPr>
          <w:rFonts w:ascii="Times New Roman" w:cs="Times New Roman" w:eastAsia="Times New Roman" w:hAnsi="Times New Roman"/>
          <w:sz w:val="20"/>
          <w:szCs w:val="20"/>
          <w:u w:val="single" w:color="auto"/>
          <w:color w:val="00171E"/>
        </w:rPr>
        <w:t>Section 5</w:t>
      </w:r>
      <w:r>
        <w:rPr>
          <w:rFonts w:ascii="Times New Roman" w:cs="Times New Roman" w:eastAsia="Times New Roman" w:hAnsi="Times New Roman"/>
          <w:sz w:val="20"/>
          <w:szCs w:val="20"/>
          <w:color w:val="00171E"/>
        </w:rPr>
        <w:t>. Bonuses will be paid out according to the terms of the Bonus Plan.</w:t>
      </w:r>
    </w:p>
    <w:p>
      <w:pPr>
        <w:spacing w:after="0" w:line="174" w:lineRule="exact"/>
        <w:rPr>
          <w:sz w:val="20"/>
          <w:szCs w:val="20"/>
          <w:color w:val="auto"/>
        </w:rPr>
      </w:pPr>
    </w:p>
    <w:p>
      <w:pPr>
        <w:jc w:val="both"/>
        <w:ind w:firstLine="1505"/>
        <w:spacing w:after="0" w:line="246" w:lineRule="auto"/>
        <w:tabs>
          <w:tab w:leader="none" w:pos="2036" w:val="left"/>
        </w:tabs>
        <w:numPr>
          <w:ilvl w:val="1"/>
          <w:numId w:val="88"/>
        </w:numPr>
        <w:rPr>
          <w:rFonts w:ascii="Times New Roman" w:cs="Times New Roman" w:eastAsia="Times New Roman" w:hAnsi="Times New Roman"/>
          <w:sz w:val="20"/>
          <w:szCs w:val="20"/>
          <w:u w:val="single" w:color="auto"/>
          <w:color w:val="00171E"/>
        </w:rPr>
      </w:pPr>
      <w:r>
        <w:rPr>
          <w:rFonts w:ascii="Times New Roman" w:cs="Times New Roman" w:eastAsia="Times New Roman" w:hAnsi="Times New Roman"/>
          <w:sz w:val="20"/>
          <w:szCs w:val="20"/>
          <w:u w:val="single" w:color="auto"/>
          <w:color w:val="00171E"/>
        </w:rPr>
        <w:t>Equity Incentive Awards</w:t>
      </w:r>
      <w:r>
        <w:rPr>
          <w:rFonts w:ascii="Times New Roman" w:cs="Times New Roman" w:eastAsia="Times New Roman" w:hAnsi="Times New Roman"/>
          <w:sz w:val="20"/>
          <w:szCs w:val="20"/>
          <w:color w:val="00171E"/>
        </w:rPr>
        <w:t>. Executive will be eligible to receive awards of stock options, restricted stock units, performance stock units, or other equity awards pursuant to any plans or arrangements the Company may have in effect from time to time. The Company’s Board of Directors (the “</w:t>
      </w:r>
      <w:r>
        <w:rPr>
          <w:rFonts w:ascii="Times New Roman" w:cs="Times New Roman" w:eastAsia="Times New Roman" w:hAnsi="Times New Roman"/>
          <w:sz w:val="20"/>
          <w:szCs w:val="20"/>
          <w:u w:val="single" w:color="auto"/>
          <w:color w:val="00171E"/>
        </w:rPr>
        <w:t>Board</w:t>
      </w:r>
      <w:r>
        <w:rPr>
          <w:rFonts w:ascii="Times New Roman" w:cs="Times New Roman" w:eastAsia="Times New Roman" w:hAnsi="Times New Roman"/>
          <w:sz w:val="20"/>
          <w:szCs w:val="20"/>
          <w:color w:val="00171E"/>
        </w:rPr>
        <w:t>”) or its Compensation Committee will determine in its discretion whether Executive will be granted any such equity awards and the terms of any such award in accordance with the terms of any applicable plan or arrangement that may be in effect from time to time.</w:t>
      </w:r>
    </w:p>
    <w:p>
      <w:pPr>
        <w:spacing w:after="0" w:line="184" w:lineRule="exact"/>
        <w:rPr>
          <w:rFonts w:ascii="Times New Roman" w:cs="Times New Roman" w:eastAsia="Times New Roman" w:hAnsi="Times New Roman"/>
          <w:sz w:val="20"/>
          <w:szCs w:val="20"/>
          <w:u w:val="single" w:color="auto"/>
          <w:color w:val="00171E"/>
        </w:rPr>
      </w:pPr>
    </w:p>
    <w:p>
      <w:pPr>
        <w:jc w:val="both"/>
        <w:ind w:firstLine="1505"/>
        <w:spacing w:after="0" w:line="243" w:lineRule="auto"/>
        <w:tabs>
          <w:tab w:leader="none" w:pos="2036" w:val="left"/>
        </w:tabs>
        <w:numPr>
          <w:ilvl w:val="1"/>
          <w:numId w:val="88"/>
        </w:numPr>
        <w:rPr>
          <w:rFonts w:ascii="Times New Roman" w:cs="Times New Roman" w:eastAsia="Times New Roman" w:hAnsi="Times New Roman"/>
          <w:sz w:val="20"/>
          <w:szCs w:val="20"/>
          <w:u w:val="single" w:color="auto"/>
          <w:color w:val="00171E"/>
        </w:rPr>
      </w:pPr>
      <w:r>
        <w:rPr>
          <w:rFonts w:ascii="Times New Roman" w:cs="Times New Roman" w:eastAsia="Times New Roman" w:hAnsi="Times New Roman"/>
          <w:sz w:val="20"/>
          <w:szCs w:val="20"/>
          <w:u w:val="single" w:color="auto"/>
          <w:color w:val="00171E"/>
        </w:rPr>
        <w:t>Flexible Time Off and Benefits</w:t>
      </w:r>
      <w:r>
        <w:rPr>
          <w:rFonts w:ascii="Times New Roman" w:cs="Times New Roman" w:eastAsia="Times New Roman" w:hAnsi="Times New Roman"/>
          <w:sz w:val="20"/>
          <w:szCs w:val="20"/>
          <w:color w:val="00171E"/>
        </w:rPr>
        <w:t>. Executive will be allowed to use flexible time off for vacation, illness and holidays pursuant to the Company’s policies that apply to executive officers of the Company. In addition, Executive will be entitled to participate in any plans regarding benefits of employment, including pension, profit sharing, group health, disability insurance and other employee pension and welfare benefit plans now existing or hereafter established to the extent that Executive is then eligible under the terms of such plans and if the other executive officers of the Company generally are eligible to participate in such plan. The Company may, in its sole discretion and from time to time, establish additional senior management benefit plans as it deems appropriate. Executive understands that any such plans may be modified or eliminated in the Company’s sole discretion in accordance with applicable law, provided that no such plan modification or elimination shall result in Executive becoming unvested, or being required to revest, in any of Executive’s benefits that already are then vested.</w:t>
      </w:r>
    </w:p>
    <w:p>
      <w:pPr>
        <w:spacing w:after="0" w:line="185" w:lineRule="exact"/>
        <w:rPr>
          <w:rFonts w:ascii="Times New Roman" w:cs="Times New Roman" w:eastAsia="Times New Roman" w:hAnsi="Times New Roman"/>
          <w:sz w:val="20"/>
          <w:szCs w:val="20"/>
          <w:u w:val="single" w:color="auto"/>
          <w:color w:val="00171E"/>
        </w:rPr>
      </w:pPr>
    </w:p>
    <w:p>
      <w:pPr>
        <w:jc w:val="both"/>
        <w:ind w:firstLine="1505"/>
        <w:spacing w:after="0" w:line="249" w:lineRule="auto"/>
        <w:tabs>
          <w:tab w:leader="none" w:pos="2036" w:val="left"/>
        </w:tabs>
        <w:numPr>
          <w:ilvl w:val="1"/>
          <w:numId w:val="88"/>
        </w:numPr>
        <w:rPr>
          <w:rFonts w:ascii="Times New Roman" w:cs="Times New Roman" w:eastAsia="Times New Roman" w:hAnsi="Times New Roman"/>
          <w:sz w:val="20"/>
          <w:szCs w:val="20"/>
          <w:u w:val="single" w:color="auto"/>
          <w:color w:val="00171E"/>
        </w:rPr>
      </w:pPr>
      <w:r>
        <w:rPr>
          <w:rFonts w:ascii="Times New Roman" w:cs="Times New Roman" w:eastAsia="Times New Roman" w:hAnsi="Times New Roman"/>
          <w:sz w:val="20"/>
          <w:szCs w:val="20"/>
          <w:u w:val="single" w:color="auto"/>
          <w:color w:val="00171E"/>
        </w:rPr>
        <w:t>Reimbursement of Business Expenses</w:t>
      </w:r>
      <w:r>
        <w:rPr>
          <w:rFonts w:ascii="Times New Roman" w:cs="Times New Roman" w:eastAsia="Times New Roman" w:hAnsi="Times New Roman"/>
          <w:sz w:val="20"/>
          <w:szCs w:val="20"/>
          <w:color w:val="00171E"/>
        </w:rPr>
        <w:t>. The Company will promptly reimburse to Executive his/her reasonable, customary and documented out-of-pocket reasonable and necessary business expenses in connection with the performance of his/her duties under this Agreement, and in accordance with the policies and procedures established by the Company; provided that each reimbursement shall be requested within two (2) months after being incurred.</w:t>
      </w:r>
    </w:p>
    <w:p>
      <w:pPr>
        <w:spacing w:after="0" w:line="179" w:lineRule="exact"/>
        <w:rPr>
          <w:rFonts w:ascii="Times New Roman" w:cs="Times New Roman" w:eastAsia="Times New Roman" w:hAnsi="Times New Roman"/>
          <w:sz w:val="20"/>
          <w:szCs w:val="20"/>
          <w:u w:val="single" w:color="auto"/>
          <w:color w:val="00171E"/>
        </w:rPr>
      </w:pPr>
    </w:p>
    <w:p>
      <w:pPr>
        <w:jc w:val="both"/>
        <w:ind w:firstLine="1505"/>
        <w:spacing w:after="0" w:line="242" w:lineRule="auto"/>
        <w:tabs>
          <w:tab w:leader="none" w:pos="2036" w:val="left"/>
        </w:tabs>
        <w:numPr>
          <w:ilvl w:val="1"/>
          <w:numId w:val="88"/>
        </w:numPr>
        <w:rPr>
          <w:rFonts w:ascii="Times New Roman" w:cs="Times New Roman" w:eastAsia="Times New Roman" w:hAnsi="Times New Roman"/>
          <w:sz w:val="20"/>
          <w:szCs w:val="20"/>
          <w:u w:val="single" w:color="auto"/>
          <w:color w:val="00171E"/>
        </w:rPr>
      </w:pPr>
      <w:r>
        <w:rPr>
          <w:rFonts w:ascii="Times New Roman" w:cs="Times New Roman" w:eastAsia="Times New Roman" w:hAnsi="Times New Roman"/>
          <w:sz w:val="20"/>
          <w:szCs w:val="20"/>
          <w:u w:val="single" w:color="auto"/>
          <w:color w:val="00171E"/>
        </w:rPr>
        <w:t>Sarbanes-Oxley Act Loan Prohibition and Company Compensation-Related Polices</w:t>
      </w:r>
      <w:r>
        <w:rPr>
          <w:rFonts w:ascii="Times New Roman" w:cs="Times New Roman" w:eastAsia="Times New Roman" w:hAnsi="Times New Roman"/>
          <w:sz w:val="20"/>
          <w:szCs w:val="20"/>
          <w:color w:val="00171E"/>
        </w:rPr>
        <w:t>. To the extent that any Company benefit, program, practice, arrangement or this Agreement would or might otherwise result in Executive’s receipt of an illegal loan (the “</w:t>
      </w:r>
      <w:r>
        <w:rPr>
          <w:rFonts w:ascii="Times New Roman" w:cs="Times New Roman" w:eastAsia="Times New Roman" w:hAnsi="Times New Roman"/>
          <w:sz w:val="20"/>
          <w:szCs w:val="20"/>
          <w:u w:val="single" w:color="auto"/>
          <w:color w:val="00171E"/>
        </w:rPr>
        <w:t>Loan</w:t>
      </w:r>
      <w:r>
        <w:rPr>
          <w:rFonts w:ascii="Times New Roman" w:cs="Times New Roman" w:eastAsia="Times New Roman" w:hAnsi="Times New Roman"/>
          <w:sz w:val="20"/>
          <w:szCs w:val="20"/>
          <w:color w:val="00171E"/>
        </w:rPr>
        <w:t>”), the Company shall use commercially reasonable efforts to provide Executive with a substitute for the Loan that is lawful and of at least equal value to Executive. If this cannot be done, or if doing so would be significantly more expensive to the Company than making the Loan, in each case as determined by the Company in its sole discretion, the Company need not make the Loan to Executive or provide him/her a substitute for it. Further, Executive acknowledges that any bonus or equity award provided for in this Agreement or otherwise awarded to him/her shall be subject to the Company’s policies regarding recoupment and clawback and, pursuant to the Company’s Compensation Recovery Policy (the “</w:t>
      </w:r>
      <w:r>
        <w:rPr>
          <w:rFonts w:ascii="Times New Roman" w:cs="Times New Roman" w:eastAsia="Times New Roman" w:hAnsi="Times New Roman"/>
          <w:sz w:val="20"/>
          <w:szCs w:val="20"/>
          <w:u w:val="single" w:color="auto"/>
          <w:color w:val="00171E"/>
        </w:rPr>
        <w:t>Clawback Policy</w:t>
      </w:r>
      <w:r>
        <w:rPr>
          <w:rFonts w:ascii="Times New Roman" w:cs="Times New Roman" w:eastAsia="Times New Roman" w:hAnsi="Times New Roman"/>
          <w:sz w:val="20"/>
          <w:szCs w:val="20"/>
          <w:color w:val="00171E"/>
        </w:rPr>
        <w:t>”), any of Executive’s “Incentive-Based Compensation” as defined therein shall be subject to the Clawback Policy, in each case as such policies may be amended from time to time, and Executive agrees that he/she will be subject to, and shall comply with, the Company’s stock ownership requirements which are set forth in its Amended and Restated Corporate Governance Guidelines, as such requirements may be amended from time to time, and the Company’s Insider Trading Policy, as amended from time to time.</w:t>
      </w:r>
    </w:p>
    <w:p>
      <w:pPr>
        <w:spacing w:after="0" w:line="183" w:lineRule="exact"/>
        <w:rPr>
          <w:rFonts w:ascii="Times New Roman" w:cs="Times New Roman" w:eastAsia="Times New Roman" w:hAnsi="Times New Roman"/>
          <w:sz w:val="20"/>
          <w:szCs w:val="20"/>
          <w:u w:val="single" w:color="auto"/>
          <w:color w:val="00171E"/>
        </w:rPr>
      </w:pPr>
    </w:p>
    <w:p>
      <w:pPr>
        <w:ind w:left="1020" w:hanging="263"/>
        <w:spacing w:after="0"/>
        <w:tabs>
          <w:tab w:leader="none" w:pos="1020" w:val="left"/>
        </w:tabs>
        <w:numPr>
          <w:ilvl w:val="0"/>
          <w:numId w:val="89"/>
        </w:numPr>
        <w:rPr>
          <w:rFonts w:ascii="Times New Roman" w:cs="Times New Roman" w:eastAsia="Times New Roman" w:hAnsi="Times New Roman"/>
          <w:sz w:val="20"/>
          <w:szCs w:val="20"/>
          <w:b w:val="1"/>
          <w:bCs w:val="1"/>
          <w:color w:val="00171E"/>
        </w:rPr>
      </w:pPr>
      <w:r>
        <w:rPr>
          <w:rFonts w:ascii="Times New Roman" w:cs="Times New Roman" w:eastAsia="Times New Roman" w:hAnsi="Times New Roman"/>
          <w:sz w:val="20"/>
          <w:szCs w:val="20"/>
          <w:b w:val="1"/>
          <w:bCs w:val="1"/>
          <w:color w:val="00171E"/>
        </w:rPr>
        <w:t>Termination of Employment.</w:t>
      </w:r>
    </w:p>
    <w:p>
      <w:pPr>
        <w:spacing w:after="0" w:line="219" w:lineRule="exact"/>
        <w:rPr>
          <w:rFonts w:ascii="Times New Roman" w:cs="Times New Roman" w:eastAsia="Times New Roman" w:hAnsi="Times New Roman"/>
          <w:sz w:val="20"/>
          <w:szCs w:val="20"/>
          <w:b w:val="1"/>
          <w:bCs w:val="1"/>
          <w:color w:val="00171E"/>
        </w:rPr>
      </w:pPr>
    </w:p>
    <w:p>
      <w:pPr>
        <w:jc w:val="both"/>
        <w:ind w:firstLine="1505"/>
        <w:spacing w:after="0" w:line="249" w:lineRule="auto"/>
        <w:tabs>
          <w:tab w:leader="none" w:pos="2036" w:val="left"/>
        </w:tabs>
        <w:numPr>
          <w:ilvl w:val="1"/>
          <w:numId w:val="89"/>
        </w:numPr>
        <w:rPr>
          <w:rFonts w:ascii="Times New Roman" w:cs="Times New Roman" w:eastAsia="Times New Roman" w:hAnsi="Times New Roman"/>
          <w:sz w:val="20"/>
          <w:szCs w:val="20"/>
          <w:u w:val="single" w:color="auto"/>
          <w:color w:val="00171E"/>
        </w:rPr>
      </w:pPr>
      <w:r>
        <w:rPr>
          <w:rFonts w:ascii="Times New Roman" w:cs="Times New Roman" w:eastAsia="Times New Roman" w:hAnsi="Times New Roman"/>
          <w:sz w:val="20"/>
          <w:szCs w:val="20"/>
          <w:u w:val="single" w:color="auto"/>
          <w:color w:val="00171E"/>
        </w:rPr>
        <w:t>By Company Without Cause</w:t>
      </w:r>
      <w:r>
        <w:rPr>
          <w:rFonts w:ascii="Times New Roman" w:cs="Times New Roman" w:eastAsia="Times New Roman" w:hAnsi="Times New Roman"/>
          <w:sz w:val="20"/>
          <w:szCs w:val="20"/>
          <w:color w:val="00171E"/>
        </w:rPr>
        <w:t xml:space="preserve">. Subject to the last paragraph of this </w:t>
      </w:r>
      <w:r>
        <w:rPr>
          <w:rFonts w:ascii="Times New Roman" w:cs="Times New Roman" w:eastAsia="Times New Roman" w:hAnsi="Times New Roman"/>
          <w:sz w:val="20"/>
          <w:szCs w:val="20"/>
          <w:u w:val="single" w:color="auto"/>
          <w:color w:val="00171E"/>
        </w:rPr>
        <w:t>Section 5(a)</w:t>
      </w:r>
      <w:r>
        <w:rPr>
          <w:rFonts w:ascii="Times New Roman" w:cs="Times New Roman" w:eastAsia="Times New Roman" w:hAnsi="Times New Roman"/>
          <w:sz w:val="20"/>
          <w:szCs w:val="20"/>
          <w:color w:val="00171E"/>
        </w:rPr>
        <w:t>, the Company may terminate Executive’s employment without Cause (as defined below) (excluding due to Executive’s death or Incapacity (as defined below)) effective on thirty (30) days’ written notice (such thirty (30)-day period, the “</w:t>
      </w:r>
      <w:r>
        <w:rPr>
          <w:rFonts w:ascii="Times New Roman" w:cs="Times New Roman" w:eastAsia="Times New Roman" w:hAnsi="Times New Roman"/>
          <w:sz w:val="20"/>
          <w:szCs w:val="20"/>
          <w:u w:val="single" w:color="auto"/>
          <w:color w:val="00171E"/>
        </w:rPr>
        <w:t>Notice Period</w:t>
      </w:r>
      <w:r>
        <w:rPr>
          <w:rFonts w:ascii="Times New Roman" w:cs="Times New Roman" w:eastAsia="Times New Roman" w:hAnsi="Times New Roman"/>
          <w:sz w:val="20"/>
          <w:szCs w:val="20"/>
          <w:color w:val="00171E"/>
        </w:rPr>
        <w:t>”, and such notice, the “</w:t>
      </w:r>
      <w:r>
        <w:rPr>
          <w:rFonts w:ascii="Times New Roman" w:cs="Times New Roman" w:eastAsia="Times New Roman" w:hAnsi="Times New Roman"/>
          <w:sz w:val="20"/>
          <w:szCs w:val="20"/>
          <w:u w:val="single" w:color="auto"/>
          <w:color w:val="00171E"/>
        </w:rPr>
        <w:t>Termination Notice</w:t>
      </w:r>
      <w:r>
        <w:rPr>
          <w:rFonts w:ascii="Times New Roman" w:cs="Times New Roman" w:eastAsia="Times New Roman" w:hAnsi="Times New Roman"/>
          <w:sz w:val="20"/>
          <w:szCs w:val="20"/>
          <w:color w:val="00171E"/>
        </w:rPr>
        <w:t>”), during which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8"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6"/>
          <w:szCs w:val="16"/>
          <w:b w:val="1"/>
          <w:bCs w:val="1"/>
          <w:color w:val="auto"/>
        </w:rPr>
        <w:t>E</w:t>
      </w:r>
      <w:r>
        <w:rPr>
          <w:rFonts w:ascii="Times New Roman" w:cs="Times New Roman" w:eastAsia="Times New Roman" w:hAnsi="Times New Roman"/>
          <w:sz w:val="10"/>
          <w:szCs w:val="10"/>
          <w:b w:val="1"/>
          <w:bCs w:val="1"/>
          <w:color w:val="auto"/>
        </w:rPr>
        <w:t>xecutive</w:t>
      </w:r>
      <w:r>
        <w:rPr>
          <w:rFonts w:ascii="Times New Roman" w:cs="Times New Roman" w:eastAsia="Times New Roman" w:hAnsi="Times New Roman"/>
          <w:sz w:val="16"/>
          <w:szCs w:val="16"/>
          <w:b w:val="1"/>
          <w:bCs w:val="1"/>
          <w:color w:val="auto"/>
        </w:rPr>
        <w:t xml:space="preserve"> E</w:t>
      </w:r>
      <w:r>
        <w:rPr>
          <w:rFonts w:ascii="Times New Roman" w:cs="Times New Roman" w:eastAsia="Times New Roman" w:hAnsi="Times New Roman"/>
          <w:sz w:val="10"/>
          <w:szCs w:val="10"/>
          <w:b w:val="1"/>
          <w:bCs w:val="1"/>
          <w:color w:val="auto"/>
        </w:rPr>
        <w:t>mployment</w:t>
      </w:r>
      <w:r>
        <w:rPr>
          <w:rFonts w:ascii="Times New Roman" w:cs="Times New Roman" w:eastAsia="Times New Roman" w:hAnsi="Times New Roman"/>
          <w:sz w:val="16"/>
          <w:szCs w:val="16"/>
          <w:b w:val="1"/>
          <w:bCs w:val="1"/>
          <w:color w:val="auto"/>
        </w:rPr>
        <w:t xml:space="preserve"> A</w:t>
      </w:r>
      <w:r>
        <w:rPr>
          <w:rFonts w:ascii="Times New Roman" w:cs="Times New Roman" w:eastAsia="Times New Roman" w:hAnsi="Times New Roman"/>
          <w:sz w:val="10"/>
          <w:szCs w:val="10"/>
          <w:b w:val="1"/>
          <w:bCs w:val="1"/>
          <w:color w:val="auto"/>
        </w:rPr>
        <w:t>gmt</w:t>
      </w:r>
      <w:r>
        <w:rPr>
          <w:rFonts w:ascii="Times New Roman" w:cs="Times New Roman" w:eastAsia="Times New Roman" w:hAnsi="Times New Roman"/>
          <w:sz w:val="16"/>
          <w:szCs w:val="16"/>
          <w:b w:val="1"/>
          <w:bCs w:val="1"/>
          <w:color w:val="auto"/>
        </w:rPr>
        <w:t xml:space="preserve"> S</w:t>
      </w:r>
      <w:r>
        <w:rPr>
          <w:rFonts w:ascii="Times New Roman" w:cs="Times New Roman" w:eastAsia="Times New Roman" w:hAnsi="Times New Roman"/>
          <w:sz w:val="10"/>
          <w:szCs w:val="10"/>
          <w:b w:val="1"/>
          <w:bCs w:val="1"/>
          <w:color w:val="auto"/>
        </w:rPr>
        <w:t>td</w:t>
      </w:r>
      <w:r>
        <w:rPr>
          <w:rFonts w:ascii="Times New Roman" w:cs="Times New Roman" w:eastAsia="Times New Roman" w:hAnsi="Times New Roman"/>
          <w:sz w:val="16"/>
          <w:szCs w:val="16"/>
          <w:b w:val="1"/>
          <w:bCs w:val="1"/>
          <w:color w:val="auto"/>
        </w:rPr>
        <w:t xml:space="preserve"> 11.1.24</w:t>
      </w:r>
      <w:r>
        <w:rPr>
          <w:sz w:val="20"/>
          <w:szCs w:val="20"/>
          <w:color w:val="auto"/>
        </w:rPr>
        <w:tab/>
      </w:r>
      <w:r>
        <w:rPr>
          <w:rFonts w:ascii="Times New Roman" w:cs="Times New Roman" w:eastAsia="Times New Roman" w:hAnsi="Times New Roman"/>
          <w:sz w:val="16"/>
          <w:szCs w:val="16"/>
          <w:b w:val="1"/>
          <w:bCs w:val="1"/>
          <w:color w:val="auto"/>
        </w:rPr>
        <w:t>A</w:t>
      </w:r>
      <w:r>
        <w:rPr>
          <w:rFonts w:ascii="Times New Roman" w:cs="Times New Roman" w:eastAsia="Times New Roman" w:hAnsi="Times New Roman"/>
          <w:sz w:val="10"/>
          <w:szCs w:val="10"/>
          <w:b w:val="1"/>
          <w:bCs w:val="1"/>
          <w:color w:val="auto"/>
        </w:rPr>
        <w:t>ccuray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2" w:name="page103"/>
    <w:bookmarkEnd w:id="102"/>
    <w:p>
      <w:pPr>
        <w:ind w:left="6660"/>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NUMPAGES \* Arabic \* MERGEFORMAT 31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00171E"/>
        </w:rPr>
        <w:t>period Executive may be relieved of his/her duties and placed on paid terminal leave. In such event and subject to the other provisions of this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171E"/>
        </w:rPr>
        <w:t>Agreement, Executive will be entitled to:</w:t>
      </w:r>
    </w:p>
    <w:p>
      <w:pPr>
        <w:spacing w:after="0" w:line="194" w:lineRule="exact"/>
        <w:rPr>
          <w:sz w:val="20"/>
          <w:szCs w:val="20"/>
          <w:color w:val="auto"/>
        </w:rPr>
      </w:pPr>
    </w:p>
    <w:p>
      <w:pPr>
        <w:jc w:val="both"/>
        <w:ind w:firstLine="2254"/>
        <w:spacing w:after="0" w:line="254" w:lineRule="auto"/>
        <w:tabs>
          <w:tab w:leader="none" w:pos="2546" w:val="left"/>
        </w:tabs>
        <w:numPr>
          <w:ilvl w:val="0"/>
          <w:numId w:val="90"/>
        </w:numPr>
        <w:rPr>
          <w:rFonts w:ascii="Times New Roman" w:cs="Times New Roman" w:eastAsia="Times New Roman" w:hAnsi="Times New Roman"/>
          <w:sz w:val="20"/>
          <w:szCs w:val="20"/>
          <w:color w:val="00171E"/>
        </w:rPr>
      </w:pPr>
      <w:r>
        <w:rPr>
          <w:rFonts w:ascii="Times New Roman" w:cs="Times New Roman" w:eastAsia="Times New Roman" w:hAnsi="Times New Roman"/>
          <w:sz w:val="20"/>
          <w:szCs w:val="20"/>
          <w:color w:val="00171E"/>
        </w:rPr>
        <w:t>continued coverage under the Company’s insurance-based benefit plans through the termination date and such other benefits to which he/she may be entitled pursuant to the terms and conditions of the Company’s benefit plans, provided, however, that Executive shall not participate in any severance plan of the Company;</w:t>
      </w:r>
    </w:p>
    <w:p>
      <w:pPr>
        <w:spacing w:after="0" w:line="174" w:lineRule="exact"/>
        <w:rPr>
          <w:rFonts w:ascii="Times New Roman" w:cs="Times New Roman" w:eastAsia="Times New Roman" w:hAnsi="Times New Roman"/>
          <w:sz w:val="20"/>
          <w:szCs w:val="20"/>
          <w:color w:val="00171E"/>
        </w:rPr>
      </w:pPr>
    </w:p>
    <w:p>
      <w:pPr>
        <w:ind w:right="20" w:firstLine="2254"/>
        <w:spacing w:after="0" w:line="269" w:lineRule="auto"/>
        <w:tabs>
          <w:tab w:leader="none" w:pos="2546" w:val="left"/>
        </w:tabs>
        <w:numPr>
          <w:ilvl w:val="0"/>
          <w:numId w:val="90"/>
        </w:numPr>
        <w:rPr>
          <w:rFonts w:ascii="Times New Roman" w:cs="Times New Roman" w:eastAsia="Times New Roman" w:hAnsi="Times New Roman"/>
          <w:sz w:val="20"/>
          <w:szCs w:val="20"/>
          <w:color w:val="00171E"/>
        </w:rPr>
      </w:pPr>
      <w:r>
        <w:rPr>
          <w:rFonts w:ascii="Times New Roman" w:cs="Times New Roman" w:eastAsia="Times New Roman" w:hAnsi="Times New Roman"/>
          <w:sz w:val="20"/>
          <w:szCs w:val="20"/>
          <w:color w:val="00171E"/>
        </w:rPr>
        <w:t>payment of all earned but unpaid compensation (including any accrued unpaid vacation, as applicable) through the effective date of termination, payable on or before the termination date; and</w:t>
      </w:r>
    </w:p>
    <w:p>
      <w:pPr>
        <w:spacing w:after="0" w:line="159" w:lineRule="exact"/>
        <w:rPr>
          <w:sz w:val="20"/>
          <w:szCs w:val="20"/>
          <w:color w:val="auto"/>
        </w:rPr>
      </w:pPr>
    </w:p>
    <w:p>
      <w:pPr>
        <w:jc w:val="both"/>
        <w:ind w:firstLine="2246"/>
        <w:spacing w:after="0" w:line="269" w:lineRule="auto"/>
        <w:rPr>
          <w:sz w:val="20"/>
          <w:szCs w:val="20"/>
          <w:color w:val="auto"/>
        </w:rPr>
      </w:pPr>
      <w:r>
        <w:rPr>
          <w:rFonts w:ascii="Times New Roman" w:cs="Times New Roman" w:eastAsia="Times New Roman" w:hAnsi="Times New Roman"/>
          <w:sz w:val="20"/>
          <w:szCs w:val="20"/>
          <w:color w:val="00171E"/>
        </w:rPr>
        <w:t xml:space="preserve">(iii)reimbursement of expenses incurred on or before the termination date in accordance with </w:t>
      </w:r>
      <w:r>
        <w:rPr>
          <w:rFonts w:ascii="Times New Roman" w:cs="Times New Roman" w:eastAsia="Times New Roman" w:hAnsi="Times New Roman"/>
          <w:sz w:val="20"/>
          <w:szCs w:val="20"/>
          <w:u w:val="single" w:color="auto"/>
          <w:color w:val="00171E"/>
        </w:rPr>
        <w:t>Section 4(e)</w:t>
      </w:r>
      <w:r>
        <w:rPr>
          <w:rFonts w:ascii="Times New Roman" w:cs="Times New Roman" w:eastAsia="Times New Roman" w:hAnsi="Times New Roman"/>
          <w:sz w:val="20"/>
          <w:szCs w:val="20"/>
          <w:color w:val="00171E"/>
        </w:rPr>
        <w:t>, above, if a request for reimbursement of the expenses was timely submitted to the Company; plus</w:t>
      </w:r>
    </w:p>
    <w:p>
      <w:pPr>
        <w:spacing w:after="0" w:line="159" w:lineRule="exact"/>
        <w:rPr>
          <w:sz w:val="20"/>
          <w:szCs w:val="20"/>
          <w:color w:val="auto"/>
        </w:rPr>
      </w:pPr>
    </w:p>
    <w:p>
      <w:pPr>
        <w:jc w:val="both"/>
        <w:ind w:firstLine="2246"/>
        <w:spacing w:after="0" w:line="245" w:lineRule="auto"/>
        <w:rPr>
          <w:sz w:val="20"/>
          <w:szCs w:val="20"/>
          <w:color w:val="auto"/>
        </w:rPr>
      </w:pPr>
      <w:r>
        <w:rPr>
          <w:rFonts w:ascii="Times New Roman" w:cs="Times New Roman" w:eastAsia="Times New Roman" w:hAnsi="Times New Roman"/>
          <w:sz w:val="20"/>
          <w:szCs w:val="20"/>
          <w:color w:val="00171E"/>
        </w:rPr>
        <w:t>(iv)payment of the equivalent of the Base Salary, as then in effect (provided that if there has been any reduction in the Base Salary that would otherwise constitute Good Reason, then the rate in effect prior to such reduction), that he/she would have earned over the next twelve (12) months following the termination date (less necessary withholdings and authorized deductions) (the “</w:t>
      </w:r>
      <w:r>
        <w:rPr>
          <w:rFonts w:ascii="Times New Roman" w:cs="Times New Roman" w:eastAsia="Times New Roman" w:hAnsi="Times New Roman"/>
          <w:sz w:val="20"/>
          <w:szCs w:val="20"/>
          <w:u w:val="single" w:color="auto"/>
          <w:color w:val="00171E"/>
        </w:rPr>
        <w:t>Severance Payment</w:t>
      </w:r>
      <w:r>
        <w:rPr>
          <w:rFonts w:ascii="Times New Roman" w:cs="Times New Roman" w:eastAsia="Times New Roman" w:hAnsi="Times New Roman"/>
          <w:sz w:val="20"/>
          <w:szCs w:val="20"/>
          <w:color w:val="00171E"/>
        </w:rPr>
        <w:t>”), payable in a lump sum on the first regularly scheduled payroll date following the date the Release becomes effective and irrevocable (the “</w:t>
      </w:r>
      <w:r>
        <w:rPr>
          <w:rFonts w:ascii="Times New Roman" w:cs="Times New Roman" w:eastAsia="Times New Roman" w:hAnsi="Times New Roman"/>
          <w:sz w:val="20"/>
          <w:szCs w:val="20"/>
          <w:u w:val="single" w:color="auto"/>
          <w:color w:val="00171E"/>
        </w:rPr>
        <w:t>Release Effective Date</w:t>
      </w:r>
      <w:r>
        <w:rPr>
          <w:rFonts w:ascii="Times New Roman" w:cs="Times New Roman" w:eastAsia="Times New Roman" w:hAnsi="Times New Roman"/>
          <w:sz w:val="20"/>
          <w:szCs w:val="20"/>
          <w:color w:val="00171E"/>
        </w:rPr>
        <w:t xml:space="preserve">”), but (1) in any event within 30 days after the Release Effective Date and (2) subject to </w:t>
      </w:r>
      <w:r>
        <w:rPr>
          <w:rFonts w:ascii="Times New Roman" w:cs="Times New Roman" w:eastAsia="Times New Roman" w:hAnsi="Times New Roman"/>
          <w:sz w:val="20"/>
          <w:szCs w:val="20"/>
          <w:u w:val="single" w:color="auto"/>
          <w:color w:val="00171E"/>
        </w:rPr>
        <w:t>Section</w:t>
      </w:r>
      <w:r>
        <w:rPr>
          <w:rFonts w:ascii="Times New Roman" w:cs="Times New Roman" w:eastAsia="Times New Roman" w:hAnsi="Times New Roman"/>
          <w:sz w:val="20"/>
          <w:szCs w:val="20"/>
          <w:color w:val="00171E"/>
        </w:rPr>
        <w:t xml:space="preserve"> </w:t>
      </w:r>
      <w:r>
        <w:rPr>
          <w:rFonts w:ascii="Times New Roman" w:cs="Times New Roman" w:eastAsia="Times New Roman" w:hAnsi="Times New Roman"/>
          <w:sz w:val="20"/>
          <w:szCs w:val="20"/>
          <w:u w:val="single" w:color="auto"/>
          <w:color w:val="00171E"/>
        </w:rPr>
        <w:t>16</w:t>
      </w:r>
      <w:r>
        <w:rPr>
          <w:rFonts w:ascii="Times New Roman" w:cs="Times New Roman" w:eastAsia="Times New Roman" w:hAnsi="Times New Roman"/>
          <w:sz w:val="20"/>
          <w:szCs w:val="20"/>
          <w:color w:val="00171E"/>
        </w:rPr>
        <w:t>, below;</w:t>
      </w:r>
    </w:p>
    <w:p>
      <w:pPr>
        <w:spacing w:after="0" w:line="184" w:lineRule="exact"/>
        <w:rPr>
          <w:sz w:val="20"/>
          <w:szCs w:val="20"/>
          <w:color w:val="auto"/>
        </w:rPr>
      </w:pPr>
    </w:p>
    <w:p>
      <w:pPr>
        <w:jc w:val="both"/>
        <w:ind w:firstLine="2254"/>
        <w:spacing w:after="0" w:line="241" w:lineRule="auto"/>
        <w:tabs>
          <w:tab w:leader="none" w:pos="2546" w:val="left"/>
        </w:tabs>
        <w:numPr>
          <w:ilvl w:val="0"/>
          <w:numId w:val="91"/>
        </w:numPr>
        <w:rPr>
          <w:rFonts w:ascii="Times New Roman" w:cs="Times New Roman" w:eastAsia="Times New Roman" w:hAnsi="Times New Roman"/>
          <w:sz w:val="20"/>
          <w:szCs w:val="20"/>
          <w:color w:val="00171E"/>
        </w:rPr>
      </w:pPr>
      <w:r>
        <w:rPr>
          <w:rFonts w:ascii="Times New Roman" w:cs="Times New Roman" w:eastAsia="Times New Roman" w:hAnsi="Times New Roman"/>
          <w:sz w:val="20"/>
          <w:szCs w:val="20"/>
          <w:color w:val="00171E"/>
        </w:rPr>
        <w:t>either (1) if Executive’s termination date occurs on or following the date on which bonus payments to similarly situated executives are made under the Bonus Plan for the fiscal year prior to the fiscal year in which Executive’s termination occurs (the “</w:t>
      </w:r>
      <w:r>
        <w:rPr>
          <w:rFonts w:ascii="Times New Roman" w:cs="Times New Roman" w:eastAsia="Times New Roman" w:hAnsi="Times New Roman"/>
          <w:sz w:val="20"/>
          <w:szCs w:val="20"/>
          <w:u w:val="single" w:color="auto"/>
          <w:color w:val="00171E"/>
        </w:rPr>
        <w:t>Prior Fiscal Year</w:t>
      </w:r>
      <w:r>
        <w:rPr>
          <w:rFonts w:ascii="Times New Roman" w:cs="Times New Roman" w:eastAsia="Times New Roman" w:hAnsi="Times New Roman"/>
          <w:sz w:val="20"/>
          <w:szCs w:val="20"/>
          <w:color w:val="00171E"/>
        </w:rPr>
        <w:t>”), then payment of a prorated portion of the actual bonus Executive would have otherwise received for the fiscal year during which the termination occurs, as if Executive had remained employed by the Company through the date that would have otherwise been required to earn the bonus, but without the Board or any committee of the Board exercising any negative discretion to reduce the amount of the award, calculated by dividing the number of days from the start of the fiscal year through the termination date by 365 and multiplying the amount of such actual bonus Executive would have otherwise received by this percentage (but not by more than 100%), and paid at the same time as bonuses are paid to other Company executives that are similarly situated to Executive but in any case in the same calendar year in which the performance period ends; provided, however, that if the termination date is after the seventh month of the fiscal year, the actual bonus will not be prorated and Executive will receive 100% of such actual bonus Executive would have otherwise received for that fiscal year (without the Board or any committee of the Board exercising any negative discretion) at the same time as bonuses are paid to other Company executives that are similarly situated to Executive but in any case in the same calendar year in which the performance period ends, or (2) if Executive’s termination date occurs prior to the date on which bonus payments to similarly situated Company executives are made under the Bonus Plan for the Prior Fiscal Year, then payment of the actual bonus Executive would have otherwise received under the Bonus Plan for the Prior Fiscal Year, as if Executive had remained employed by the Company through the date that would have otherwise been required to earn the bonus, but without the Board or any committee of the Board exercising any negative discretion to reduce the amount of the award, paid at the same time as bonuses are paid to other Company executives that are similarly situated to Executive but in any case in the same calendar year in which the applicable fiscal year ends;</w:t>
      </w:r>
    </w:p>
    <w:p>
      <w:pPr>
        <w:spacing w:after="0" w:line="190" w:lineRule="exact"/>
        <w:rPr>
          <w:sz w:val="20"/>
          <w:szCs w:val="20"/>
          <w:color w:val="auto"/>
        </w:rPr>
      </w:pPr>
    </w:p>
    <w:p>
      <w:pPr>
        <w:ind w:firstLine="2246"/>
        <w:spacing w:after="0" w:line="269" w:lineRule="auto"/>
        <w:rPr>
          <w:sz w:val="20"/>
          <w:szCs w:val="20"/>
          <w:color w:val="auto"/>
        </w:rPr>
      </w:pPr>
      <w:r>
        <w:rPr>
          <w:rFonts w:ascii="Times New Roman" w:cs="Times New Roman" w:eastAsia="Times New Roman" w:hAnsi="Times New Roman"/>
          <w:sz w:val="20"/>
          <w:szCs w:val="20"/>
          <w:color w:val="00171E"/>
        </w:rPr>
        <w:t xml:space="preserve">(vi)subject to </w:t>
      </w:r>
      <w:r>
        <w:rPr>
          <w:rFonts w:ascii="Times New Roman" w:cs="Times New Roman" w:eastAsia="Times New Roman" w:hAnsi="Times New Roman"/>
          <w:sz w:val="20"/>
          <w:szCs w:val="20"/>
          <w:u w:val="single" w:color="auto"/>
          <w:color w:val="00171E"/>
        </w:rPr>
        <w:t>Section 5(g)</w:t>
      </w:r>
      <w:r>
        <w:rPr>
          <w:rFonts w:ascii="Times New Roman" w:cs="Times New Roman" w:eastAsia="Times New Roman" w:hAnsi="Times New Roman"/>
          <w:sz w:val="20"/>
          <w:szCs w:val="20"/>
          <w:color w:val="00171E"/>
        </w:rPr>
        <w:t>, reimbursement of insurance premiums payable to retain group health coverage as of the termination date for himself/herself and his/her eligible dependents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171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8"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6"/>
          <w:szCs w:val="16"/>
          <w:b w:val="1"/>
          <w:bCs w:val="1"/>
          <w:color w:val="auto"/>
        </w:rPr>
        <w:t>E</w:t>
      </w:r>
      <w:r>
        <w:rPr>
          <w:rFonts w:ascii="Times New Roman" w:cs="Times New Roman" w:eastAsia="Times New Roman" w:hAnsi="Times New Roman"/>
          <w:sz w:val="10"/>
          <w:szCs w:val="10"/>
          <w:b w:val="1"/>
          <w:bCs w:val="1"/>
          <w:color w:val="auto"/>
        </w:rPr>
        <w:t>xecutive</w:t>
      </w:r>
      <w:r>
        <w:rPr>
          <w:rFonts w:ascii="Times New Roman" w:cs="Times New Roman" w:eastAsia="Times New Roman" w:hAnsi="Times New Roman"/>
          <w:sz w:val="16"/>
          <w:szCs w:val="16"/>
          <w:b w:val="1"/>
          <w:bCs w:val="1"/>
          <w:color w:val="auto"/>
        </w:rPr>
        <w:t xml:space="preserve"> E</w:t>
      </w:r>
      <w:r>
        <w:rPr>
          <w:rFonts w:ascii="Times New Roman" w:cs="Times New Roman" w:eastAsia="Times New Roman" w:hAnsi="Times New Roman"/>
          <w:sz w:val="10"/>
          <w:szCs w:val="10"/>
          <w:b w:val="1"/>
          <w:bCs w:val="1"/>
          <w:color w:val="auto"/>
        </w:rPr>
        <w:t>mployment</w:t>
      </w:r>
      <w:r>
        <w:rPr>
          <w:rFonts w:ascii="Times New Roman" w:cs="Times New Roman" w:eastAsia="Times New Roman" w:hAnsi="Times New Roman"/>
          <w:sz w:val="16"/>
          <w:szCs w:val="16"/>
          <w:b w:val="1"/>
          <w:bCs w:val="1"/>
          <w:color w:val="auto"/>
        </w:rPr>
        <w:t xml:space="preserve"> A</w:t>
      </w:r>
      <w:r>
        <w:rPr>
          <w:rFonts w:ascii="Times New Roman" w:cs="Times New Roman" w:eastAsia="Times New Roman" w:hAnsi="Times New Roman"/>
          <w:sz w:val="10"/>
          <w:szCs w:val="10"/>
          <w:b w:val="1"/>
          <w:bCs w:val="1"/>
          <w:color w:val="auto"/>
        </w:rPr>
        <w:t>gmt</w:t>
      </w:r>
      <w:r>
        <w:rPr>
          <w:rFonts w:ascii="Times New Roman" w:cs="Times New Roman" w:eastAsia="Times New Roman" w:hAnsi="Times New Roman"/>
          <w:sz w:val="16"/>
          <w:szCs w:val="16"/>
          <w:b w:val="1"/>
          <w:bCs w:val="1"/>
          <w:color w:val="auto"/>
        </w:rPr>
        <w:t xml:space="preserve"> S</w:t>
      </w:r>
      <w:r>
        <w:rPr>
          <w:rFonts w:ascii="Times New Roman" w:cs="Times New Roman" w:eastAsia="Times New Roman" w:hAnsi="Times New Roman"/>
          <w:sz w:val="10"/>
          <w:szCs w:val="10"/>
          <w:b w:val="1"/>
          <w:bCs w:val="1"/>
          <w:color w:val="auto"/>
        </w:rPr>
        <w:t>td</w:t>
      </w:r>
      <w:r>
        <w:rPr>
          <w:rFonts w:ascii="Times New Roman" w:cs="Times New Roman" w:eastAsia="Times New Roman" w:hAnsi="Times New Roman"/>
          <w:sz w:val="16"/>
          <w:szCs w:val="16"/>
          <w:b w:val="1"/>
          <w:bCs w:val="1"/>
          <w:color w:val="auto"/>
        </w:rPr>
        <w:t xml:space="preserve"> 11.1.24</w:t>
      </w:r>
      <w:r>
        <w:rPr>
          <w:sz w:val="20"/>
          <w:szCs w:val="20"/>
          <w:color w:val="auto"/>
        </w:rPr>
        <w:tab/>
      </w:r>
      <w:r>
        <w:rPr>
          <w:rFonts w:ascii="Times New Roman" w:cs="Times New Roman" w:eastAsia="Times New Roman" w:hAnsi="Times New Roman"/>
          <w:sz w:val="16"/>
          <w:szCs w:val="16"/>
          <w:b w:val="1"/>
          <w:bCs w:val="1"/>
          <w:color w:val="auto"/>
        </w:rPr>
        <w:t>A</w:t>
      </w:r>
      <w:r>
        <w:rPr>
          <w:rFonts w:ascii="Times New Roman" w:cs="Times New Roman" w:eastAsia="Times New Roman" w:hAnsi="Times New Roman"/>
          <w:sz w:val="10"/>
          <w:szCs w:val="10"/>
          <w:b w:val="1"/>
          <w:bCs w:val="1"/>
          <w:color w:val="auto"/>
        </w:rPr>
        <w:t>ccuray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3" w:name="page104"/>
    <w:bookmarkEnd w:id="103"/>
    <w:p>
      <w:pPr>
        <w:ind w:left="6660"/>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5</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NUMPAGES \* Arabic \* MERGEFORMAT 31</w:t>
      </w:r>
    </w:p>
    <w:p>
      <w:pPr>
        <w:spacing w:after="0" w:line="200" w:lineRule="exact"/>
        <w:rPr>
          <w:sz w:val="20"/>
          <w:szCs w:val="20"/>
          <w:color w:val="auto"/>
        </w:rPr>
      </w:pPr>
    </w:p>
    <w:p>
      <w:pPr>
        <w:spacing w:after="0" w:line="24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00171E"/>
        </w:rPr>
        <w:t>pursuant to the Consolidated Omnibus Budget Reconciliation Act of 1986, as amended (“</w:t>
      </w:r>
      <w:r>
        <w:rPr>
          <w:rFonts w:ascii="Times New Roman" w:cs="Times New Roman" w:eastAsia="Times New Roman" w:hAnsi="Times New Roman"/>
          <w:sz w:val="20"/>
          <w:szCs w:val="20"/>
          <w:u w:val="single" w:color="auto"/>
          <w:color w:val="00171E"/>
        </w:rPr>
        <w:t>COBRA</w:t>
      </w:r>
      <w:r>
        <w:rPr>
          <w:rFonts w:ascii="Times New Roman" w:cs="Times New Roman" w:eastAsia="Times New Roman" w:hAnsi="Times New Roman"/>
          <w:sz w:val="20"/>
          <w:szCs w:val="20"/>
          <w:color w:val="00171E"/>
        </w:rPr>
        <w:t xml:space="preserve">”), for twelve (12) months from the date Executive becomes COBRA eligible or the maximum period of COBRA coverage, whichever is less; provided that Executive must submit a reimbursement request in accordance with Company policy within thirty (30) days of paying such insurance premiums. The Company will reimburse Executive within thirty (30) days of receiving a properly submitted request. In addition, if Executive accepts other employment within such twelve (12) months, the Company’s obligation under this </w:t>
      </w:r>
      <w:r>
        <w:rPr>
          <w:rFonts w:ascii="Times New Roman" w:cs="Times New Roman" w:eastAsia="Times New Roman" w:hAnsi="Times New Roman"/>
          <w:sz w:val="20"/>
          <w:szCs w:val="20"/>
          <w:u w:val="single" w:color="auto"/>
          <w:color w:val="00171E"/>
        </w:rPr>
        <w:t>Section 5(a)(vi)</w:t>
      </w:r>
      <w:r>
        <w:rPr>
          <w:rFonts w:ascii="Times New Roman" w:cs="Times New Roman" w:eastAsia="Times New Roman" w:hAnsi="Times New Roman"/>
          <w:sz w:val="20"/>
          <w:szCs w:val="20"/>
          <w:color w:val="00171E"/>
        </w:rPr>
        <w:t xml:space="preserve"> will be extinguished as of the date Executive becomes eligible to be covered under the group health plan of Executive’s new employer; and</w:t>
      </w:r>
    </w:p>
    <w:p>
      <w:pPr>
        <w:spacing w:after="0" w:line="184" w:lineRule="exact"/>
        <w:rPr>
          <w:sz w:val="20"/>
          <w:szCs w:val="20"/>
          <w:color w:val="auto"/>
        </w:rPr>
      </w:pPr>
    </w:p>
    <w:p>
      <w:pPr>
        <w:jc w:val="both"/>
        <w:ind w:firstLine="2246"/>
        <w:spacing w:after="0" w:line="254" w:lineRule="auto"/>
        <w:rPr>
          <w:sz w:val="20"/>
          <w:szCs w:val="20"/>
          <w:color w:val="auto"/>
        </w:rPr>
      </w:pPr>
      <w:r>
        <w:rPr>
          <w:rFonts w:ascii="Times New Roman" w:cs="Times New Roman" w:eastAsia="Times New Roman" w:hAnsi="Times New Roman"/>
          <w:sz w:val="20"/>
          <w:szCs w:val="20"/>
          <w:color w:val="00171E"/>
        </w:rPr>
        <w:t>(vii)payment for executive outplacement assistance services with the Company’s then current outplacement services vendor and in accordance with the Company’s then current policies and practices with respect to outplacement assistance for other executives of the Company for up to twelve (12) months after the termination date.</w:t>
      </w:r>
    </w:p>
    <w:p>
      <w:pPr>
        <w:spacing w:after="0" w:line="174"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00171E"/>
        </w:rPr>
        <w:t xml:space="preserve">The payments and benefits set forth in </w:t>
      </w:r>
      <w:r>
        <w:rPr>
          <w:rFonts w:ascii="Times New Roman" w:cs="Times New Roman" w:eastAsia="Times New Roman" w:hAnsi="Times New Roman"/>
          <w:sz w:val="20"/>
          <w:szCs w:val="20"/>
          <w:u w:val="single" w:color="auto"/>
          <w:color w:val="00171E"/>
        </w:rPr>
        <w:t>Sections 5(a)(i)-(iii)</w:t>
      </w:r>
      <w:r>
        <w:rPr>
          <w:rFonts w:ascii="Times New Roman" w:cs="Times New Roman" w:eastAsia="Times New Roman" w:hAnsi="Times New Roman"/>
          <w:sz w:val="20"/>
          <w:szCs w:val="20"/>
          <w:color w:val="00171E"/>
        </w:rPr>
        <w:t xml:space="preserve"> shall be referred to as the “</w:t>
      </w:r>
      <w:r>
        <w:rPr>
          <w:rFonts w:ascii="Times New Roman" w:cs="Times New Roman" w:eastAsia="Times New Roman" w:hAnsi="Times New Roman"/>
          <w:sz w:val="20"/>
          <w:szCs w:val="20"/>
          <w:u w:val="single" w:color="auto"/>
          <w:color w:val="00171E"/>
        </w:rPr>
        <w:t>Accrued Benefits</w:t>
      </w:r>
      <w:r>
        <w:rPr>
          <w:rFonts w:ascii="Times New Roman" w:cs="Times New Roman" w:eastAsia="Times New Roman" w:hAnsi="Times New Roman"/>
          <w:sz w:val="20"/>
          <w:szCs w:val="20"/>
          <w:color w:val="00171E"/>
        </w:rPr>
        <w:t xml:space="preserve">”, and the payments and benefits set forth in </w:t>
      </w:r>
      <w:r>
        <w:rPr>
          <w:rFonts w:ascii="Times New Roman" w:cs="Times New Roman" w:eastAsia="Times New Roman" w:hAnsi="Times New Roman"/>
          <w:sz w:val="20"/>
          <w:szCs w:val="20"/>
          <w:u w:val="single" w:color="auto"/>
          <w:color w:val="00171E"/>
        </w:rPr>
        <w:t>Sections 5(a)(iv)-(vii)</w:t>
      </w:r>
      <w:r>
        <w:rPr>
          <w:rFonts w:ascii="Times New Roman" w:cs="Times New Roman" w:eastAsia="Times New Roman" w:hAnsi="Times New Roman"/>
          <w:sz w:val="20"/>
          <w:szCs w:val="20"/>
          <w:color w:val="00171E"/>
        </w:rPr>
        <w:t xml:space="preserve"> shall be referred to as the “</w:t>
      </w:r>
      <w:r>
        <w:rPr>
          <w:rFonts w:ascii="Times New Roman" w:cs="Times New Roman" w:eastAsia="Times New Roman" w:hAnsi="Times New Roman"/>
          <w:sz w:val="20"/>
          <w:szCs w:val="20"/>
          <w:u w:val="single" w:color="auto"/>
          <w:color w:val="00171E"/>
        </w:rPr>
        <w:t>Severance Benefits</w:t>
      </w:r>
      <w:r>
        <w:rPr>
          <w:rFonts w:ascii="Times New Roman" w:cs="Times New Roman" w:eastAsia="Times New Roman" w:hAnsi="Times New Roman"/>
          <w:sz w:val="20"/>
          <w:szCs w:val="20"/>
          <w:color w:val="00171E"/>
        </w:rPr>
        <w:t xml:space="preserve">”. Executive shall not receive the Severance Benefits, the “Enhanced Severance Benefits” as provided in </w:t>
      </w:r>
      <w:r>
        <w:rPr>
          <w:rFonts w:ascii="Times New Roman" w:cs="Times New Roman" w:eastAsia="Times New Roman" w:hAnsi="Times New Roman"/>
          <w:sz w:val="20"/>
          <w:szCs w:val="20"/>
          <w:u w:val="single" w:color="auto"/>
          <w:color w:val="00171E"/>
        </w:rPr>
        <w:t>Section 5(e)</w:t>
      </w:r>
      <w:r>
        <w:rPr>
          <w:rFonts w:ascii="Times New Roman" w:cs="Times New Roman" w:eastAsia="Times New Roman" w:hAnsi="Times New Roman"/>
          <w:sz w:val="20"/>
          <w:szCs w:val="20"/>
          <w:color w:val="00171E"/>
        </w:rPr>
        <w:t>, or the Termination Notice Replacement Payment (as defined below) unless Executive executes a separation agreement and general release in a form reasonably acceptable to the Company (the “</w:t>
      </w:r>
      <w:r>
        <w:rPr>
          <w:rFonts w:ascii="Times New Roman" w:cs="Times New Roman" w:eastAsia="Times New Roman" w:hAnsi="Times New Roman"/>
          <w:sz w:val="20"/>
          <w:szCs w:val="20"/>
          <w:u w:val="single" w:color="auto"/>
          <w:color w:val="00171E"/>
        </w:rPr>
        <w:t>Release</w:t>
      </w:r>
      <w:r>
        <w:rPr>
          <w:rFonts w:ascii="Times New Roman" w:cs="Times New Roman" w:eastAsia="Times New Roman" w:hAnsi="Times New Roman"/>
          <w:sz w:val="20"/>
          <w:szCs w:val="20"/>
          <w:color w:val="00171E"/>
        </w:rPr>
        <w:t xml:space="preserve">”), and the same becomes effective and irrevocable pursuant to its terms within the 60-day period following the termination of his/her employment. Notwithstanding the foregoing paragraphs of this </w:t>
      </w:r>
      <w:r>
        <w:rPr>
          <w:rFonts w:ascii="Times New Roman" w:cs="Times New Roman" w:eastAsia="Times New Roman" w:hAnsi="Times New Roman"/>
          <w:sz w:val="20"/>
          <w:szCs w:val="20"/>
          <w:u w:val="single" w:color="auto"/>
          <w:color w:val="00171E"/>
        </w:rPr>
        <w:t>Section 5(a)</w:t>
      </w:r>
      <w:r>
        <w:rPr>
          <w:rFonts w:ascii="Times New Roman" w:cs="Times New Roman" w:eastAsia="Times New Roman" w:hAnsi="Times New Roman"/>
          <w:sz w:val="20"/>
          <w:szCs w:val="20"/>
          <w:color w:val="00171E"/>
        </w:rPr>
        <w:t>, the Company may terminate Executive’s employment prior to the expiration of the Notice Period, and in the case of such termination, the Company shall pay Executive the equivalent of the Base Salary he/she would have earned over the remainder of the Notice Period (less necessary withholdings and authorized deductions) at his/her then current Base Salary rate (the “</w:t>
      </w:r>
      <w:r>
        <w:rPr>
          <w:rFonts w:ascii="Times New Roman" w:cs="Times New Roman" w:eastAsia="Times New Roman" w:hAnsi="Times New Roman"/>
          <w:sz w:val="20"/>
          <w:szCs w:val="20"/>
          <w:u w:val="single" w:color="auto"/>
          <w:color w:val="00171E"/>
        </w:rPr>
        <w:t>Termination Notice Replacement Payment</w:t>
      </w:r>
      <w:r>
        <w:rPr>
          <w:rFonts w:ascii="Times New Roman" w:cs="Times New Roman" w:eastAsia="Times New Roman" w:hAnsi="Times New Roman"/>
          <w:sz w:val="20"/>
          <w:szCs w:val="20"/>
          <w:color w:val="00171E"/>
        </w:rPr>
        <w:t>”), subject to Executive satisfying the requirements of the previous sentence. Any such Termination Notice Replacement will be paid in a lump sum at the same time as the Severance Payment.</w:t>
      </w:r>
    </w:p>
    <w:p>
      <w:pPr>
        <w:spacing w:after="0" w:line="192" w:lineRule="exact"/>
        <w:rPr>
          <w:sz w:val="20"/>
          <w:szCs w:val="20"/>
          <w:color w:val="auto"/>
        </w:rPr>
      </w:pPr>
    </w:p>
    <w:p>
      <w:pPr>
        <w:jc w:val="both"/>
        <w:ind w:firstLine="1505"/>
        <w:spacing w:after="0" w:line="241" w:lineRule="auto"/>
        <w:tabs>
          <w:tab w:leader="none" w:pos="2036" w:val="left"/>
        </w:tabs>
        <w:numPr>
          <w:ilvl w:val="0"/>
          <w:numId w:val="92"/>
        </w:numPr>
        <w:rPr>
          <w:rFonts w:ascii="Times New Roman" w:cs="Times New Roman" w:eastAsia="Times New Roman" w:hAnsi="Times New Roman"/>
          <w:sz w:val="20"/>
          <w:szCs w:val="20"/>
          <w:u w:val="single" w:color="auto"/>
          <w:color w:val="00171E"/>
        </w:rPr>
      </w:pPr>
      <w:r>
        <w:rPr>
          <w:rFonts w:ascii="Times New Roman" w:cs="Times New Roman" w:eastAsia="Times New Roman" w:hAnsi="Times New Roman"/>
          <w:sz w:val="20"/>
          <w:szCs w:val="20"/>
          <w:u w:val="single" w:color="auto"/>
          <w:color w:val="00171E"/>
        </w:rPr>
        <w:t>By Company With Cause</w:t>
      </w:r>
      <w:r>
        <w:rPr>
          <w:rFonts w:ascii="Times New Roman" w:cs="Times New Roman" w:eastAsia="Times New Roman" w:hAnsi="Times New Roman"/>
          <w:sz w:val="20"/>
          <w:szCs w:val="20"/>
          <w:color w:val="00171E"/>
        </w:rPr>
        <w:t>. The Company may terminate Executive’s employment at any time and without prior notice, written or otherwise, for Cause. As used in this Agreement, “</w:t>
      </w:r>
      <w:r>
        <w:rPr>
          <w:rFonts w:ascii="Times New Roman" w:cs="Times New Roman" w:eastAsia="Times New Roman" w:hAnsi="Times New Roman"/>
          <w:sz w:val="20"/>
          <w:szCs w:val="20"/>
          <w:u w:val="single" w:color="auto"/>
          <w:color w:val="00171E"/>
        </w:rPr>
        <w:t>Cause</w:t>
      </w:r>
      <w:r>
        <w:rPr>
          <w:rFonts w:ascii="Times New Roman" w:cs="Times New Roman" w:eastAsia="Times New Roman" w:hAnsi="Times New Roman"/>
          <w:sz w:val="20"/>
          <w:szCs w:val="20"/>
          <w:color w:val="00171E"/>
        </w:rPr>
        <w:t xml:space="preserve">” shall mean any of the following conduct by Executive: (i) material breach of this Agreement, or a material violation of a Company policy or of a law, rule or regulation applicable to the Company or its operations; (ii) demonstrated and material neglect of duties, or failure or refusal to perform the material duties of his/her position, or the failure to follow the reasonable and lawful instructions of the Company; (iii) gross misconduct or dishonesty, self-dealing, fraud or similar conduct that the Company reasonably determines has caused, is causing or reasonably is likely to cause harm to the Company; or (iv) conviction of or plea of guilty or </w:t>
      </w:r>
      <w:r>
        <w:rPr>
          <w:rFonts w:ascii="Times New Roman" w:cs="Times New Roman" w:eastAsia="Times New Roman" w:hAnsi="Times New Roman"/>
          <w:sz w:val="20"/>
          <w:szCs w:val="20"/>
          <w:i w:val="1"/>
          <w:iCs w:val="1"/>
          <w:color w:val="00171E"/>
        </w:rPr>
        <w:t>nolo contendere</w:t>
      </w:r>
      <w:r>
        <w:rPr>
          <w:rFonts w:ascii="Times New Roman" w:cs="Times New Roman" w:eastAsia="Times New Roman" w:hAnsi="Times New Roman"/>
          <w:sz w:val="20"/>
          <w:szCs w:val="20"/>
          <w:color w:val="00171E"/>
        </w:rPr>
        <w:t xml:space="preserve"> to a felony (other than a traffic offense that is not punishable by a sentence of incarceration) or any crime involving fraud, embezzlement, or any other act of moral turpitude. A termination for Cause pursuant to </w:t>
      </w:r>
      <w:r>
        <w:rPr>
          <w:rFonts w:ascii="Times New Roman" w:cs="Times New Roman" w:eastAsia="Times New Roman" w:hAnsi="Times New Roman"/>
          <w:sz w:val="20"/>
          <w:szCs w:val="20"/>
          <w:u w:val="single" w:color="auto"/>
          <w:color w:val="00171E"/>
        </w:rPr>
        <w:t>Section</w:t>
      </w:r>
      <w:r>
        <w:rPr>
          <w:rFonts w:ascii="Times New Roman" w:cs="Times New Roman" w:eastAsia="Times New Roman" w:hAnsi="Times New Roman"/>
          <w:sz w:val="20"/>
          <w:szCs w:val="20"/>
          <w:color w:val="00171E"/>
        </w:rPr>
        <w:t xml:space="preserve"> </w:t>
      </w:r>
      <w:r>
        <w:rPr>
          <w:rFonts w:ascii="Times New Roman" w:cs="Times New Roman" w:eastAsia="Times New Roman" w:hAnsi="Times New Roman"/>
          <w:sz w:val="20"/>
          <w:szCs w:val="20"/>
          <w:u w:val="single" w:color="auto"/>
          <w:color w:val="00171E"/>
        </w:rPr>
        <w:t>5(b)(ii)</w:t>
      </w:r>
      <w:r>
        <w:rPr>
          <w:rFonts w:ascii="Times New Roman" w:cs="Times New Roman" w:eastAsia="Times New Roman" w:hAnsi="Times New Roman"/>
          <w:sz w:val="20"/>
          <w:szCs w:val="20"/>
          <w:color w:val="00171E"/>
        </w:rPr>
        <w:t xml:space="preserve"> shall be effective only if such failure continues after Executive has been given written notice thereof and fifteen (15) business days thereafter in which to present his/her position to the Company or to cure the same, unless the Company reasonably determines that the reason(s) for termination are not capable of being cured. In the event of termination for Cause, Executive will be entitled only to the Accrued Benefits through the termination date, which will be the date on which the notice is given, and the Company will have no further obligation to pay any compensation of any kind (including without limitation any bonus or portion of a bonus that otherwise may have become due and payable to Executive with respect to the year in which such termination date occurs but for Executive’s termination prior to the payment date), or severance payment of any kind nor to make any payment in lieu of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198120</wp:posOffset>
            </wp:positionV>
            <wp:extent cx="7132320" cy="171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3"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6"/>
          <w:szCs w:val="16"/>
          <w:b w:val="1"/>
          <w:bCs w:val="1"/>
          <w:color w:val="auto"/>
        </w:rPr>
        <w:t>E</w:t>
      </w:r>
      <w:r>
        <w:rPr>
          <w:rFonts w:ascii="Times New Roman" w:cs="Times New Roman" w:eastAsia="Times New Roman" w:hAnsi="Times New Roman"/>
          <w:sz w:val="10"/>
          <w:szCs w:val="10"/>
          <w:b w:val="1"/>
          <w:bCs w:val="1"/>
          <w:color w:val="auto"/>
        </w:rPr>
        <w:t>xecutive</w:t>
      </w:r>
      <w:r>
        <w:rPr>
          <w:rFonts w:ascii="Times New Roman" w:cs="Times New Roman" w:eastAsia="Times New Roman" w:hAnsi="Times New Roman"/>
          <w:sz w:val="16"/>
          <w:szCs w:val="16"/>
          <w:b w:val="1"/>
          <w:bCs w:val="1"/>
          <w:color w:val="auto"/>
        </w:rPr>
        <w:t xml:space="preserve"> E</w:t>
      </w:r>
      <w:r>
        <w:rPr>
          <w:rFonts w:ascii="Times New Roman" w:cs="Times New Roman" w:eastAsia="Times New Roman" w:hAnsi="Times New Roman"/>
          <w:sz w:val="10"/>
          <w:szCs w:val="10"/>
          <w:b w:val="1"/>
          <w:bCs w:val="1"/>
          <w:color w:val="auto"/>
        </w:rPr>
        <w:t>mployment</w:t>
      </w:r>
      <w:r>
        <w:rPr>
          <w:rFonts w:ascii="Times New Roman" w:cs="Times New Roman" w:eastAsia="Times New Roman" w:hAnsi="Times New Roman"/>
          <w:sz w:val="16"/>
          <w:szCs w:val="16"/>
          <w:b w:val="1"/>
          <w:bCs w:val="1"/>
          <w:color w:val="auto"/>
        </w:rPr>
        <w:t xml:space="preserve"> A</w:t>
      </w:r>
      <w:r>
        <w:rPr>
          <w:rFonts w:ascii="Times New Roman" w:cs="Times New Roman" w:eastAsia="Times New Roman" w:hAnsi="Times New Roman"/>
          <w:sz w:val="10"/>
          <w:szCs w:val="10"/>
          <w:b w:val="1"/>
          <w:bCs w:val="1"/>
          <w:color w:val="auto"/>
        </w:rPr>
        <w:t>gmt</w:t>
      </w:r>
      <w:r>
        <w:rPr>
          <w:rFonts w:ascii="Times New Roman" w:cs="Times New Roman" w:eastAsia="Times New Roman" w:hAnsi="Times New Roman"/>
          <w:sz w:val="16"/>
          <w:szCs w:val="16"/>
          <w:b w:val="1"/>
          <w:bCs w:val="1"/>
          <w:color w:val="auto"/>
        </w:rPr>
        <w:t xml:space="preserve"> S</w:t>
      </w:r>
      <w:r>
        <w:rPr>
          <w:rFonts w:ascii="Times New Roman" w:cs="Times New Roman" w:eastAsia="Times New Roman" w:hAnsi="Times New Roman"/>
          <w:sz w:val="10"/>
          <w:szCs w:val="10"/>
          <w:b w:val="1"/>
          <w:bCs w:val="1"/>
          <w:color w:val="auto"/>
        </w:rPr>
        <w:t>td</w:t>
      </w:r>
      <w:r>
        <w:rPr>
          <w:rFonts w:ascii="Times New Roman" w:cs="Times New Roman" w:eastAsia="Times New Roman" w:hAnsi="Times New Roman"/>
          <w:sz w:val="16"/>
          <w:szCs w:val="16"/>
          <w:b w:val="1"/>
          <w:bCs w:val="1"/>
          <w:color w:val="auto"/>
        </w:rPr>
        <w:t xml:space="preserve"> 11.1.24</w:t>
      </w:r>
      <w:r>
        <w:rPr>
          <w:sz w:val="20"/>
          <w:szCs w:val="20"/>
          <w:color w:val="auto"/>
        </w:rPr>
        <w:tab/>
      </w:r>
      <w:r>
        <w:rPr>
          <w:rFonts w:ascii="Times New Roman" w:cs="Times New Roman" w:eastAsia="Times New Roman" w:hAnsi="Times New Roman"/>
          <w:sz w:val="16"/>
          <w:szCs w:val="16"/>
          <w:b w:val="1"/>
          <w:bCs w:val="1"/>
          <w:color w:val="auto"/>
        </w:rPr>
        <w:t>A</w:t>
      </w:r>
      <w:r>
        <w:rPr>
          <w:rFonts w:ascii="Times New Roman" w:cs="Times New Roman" w:eastAsia="Times New Roman" w:hAnsi="Times New Roman"/>
          <w:sz w:val="10"/>
          <w:szCs w:val="10"/>
          <w:b w:val="1"/>
          <w:bCs w:val="1"/>
          <w:color w:val="auto"/>
        </w:rPr>
        <w:t>ccuray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6</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NUMPAGES \* Arabic \* MERGEFORMAT 31</w:t>
      </w:r>
    </w:p>
    <w:p>
      <w:pPr>
        <w:spacing w:after="0" w:line="200" w:lineRule="exact"/>
        <w:rPr>
          <w:sz w:val="20"/>
          <w:szCs w:val="20"/>
          <w:color w:val="auto"/>
        </w:rPr>
      </w:pPr>
    </w:p>
    <w:p>
      <w:pPr>
        <w:spacing w:after="0" w:line="241" w:lineRule="exact"/>
        <w:rPr>
          <w:sz w:val="20"/>
          <w:szCs w:val="20"/>
          <w:color w:val="auto"/>
        </w:rPr>
      </w:pPr>
    </w:p>
    <w:p>
      <w:pPr>
        <w:ind w:left="2040" w:hanging="535"/>
        <w:spacing w:after="0"/>
        <w:tabs>
          <w:tab w:leader="none" w:pos="2040" w:val="left"/>
        </w:tabs>
        <w:numPr>
          <w:ilvl w:val="0"/>
          <w:numId w:val="93"/>
        </w:numPr>
        <w:rPr>
          <w:rFonts w:ascii="Times New Roman" w:cs="Times New Roman" w:eastAsia="Times New Roman" w:hAnsi="Times New Roman"/>
          <w:sz w:val="20"/>
          <w:szCs w:val="20"/>
          <w:u w:val="single" w:color="auto"/>
          <w:color w:val="00171E"/>
        </w:rPr>
      </w:pPr>
      <w:r>
        <w:rPr>
          <w:rFonts w:ascii="Times New Roman" w:cs="Times New Roman" w:eastAsia="Times New Roman" w:hAnsi="Times New Roman"/>
          <w:sz w:val="20"/>
          <w:szCs w:val="20"/>
          <w:u w:val="single" w:color="auto"/>
          <w:color w:val="00171E"/>
        </w:rPr>
        <w:t>Incapacity or Death</w:t>
      </w:r>
      <w:r>
        <w:rPr>
          <w:rFonts w:ascii="Times New Roman" w:cs="Times New Roman" w:eastAsia="Times New Roman" w:hAnsi="Times New Roman"/>
          <w:sz w:val="20"/>
          <w:szCs w:val="20"/>
          <w:color w:val="00171E"/>
        </w:rPr>
        <w:t>.</w:t>
      </w:r>
    </w:p>
    <w:p>
      <w:pPr>
        <w:spacing w:after="0" w:line="215" w:lineRule="exact"/>
        <w:rPr>
          <w:rFonts w:ascii="Times New Roman" w:cs="Times New Roman" w:eastAsia="Times New Roman" w:hAnsi="Times New Roman"/>
          <w:sz w:val="20"/>
          <w:szCs w:val="20"/>
          <w:u w:val="single" w:color="auto"/>
          <w:color w:val="00171E"/>
        </w:rPr>
      </w:pPr>
    </w:p>
    <w:p>
      <w:pPr>
        <w:jc w:val="both"/>
        <w:ind w:firstLine="2254"/>
        <w:spacing w:after="0" w:line="246" w:lineRule="auto"/>
        <w:tabs>
          <w:tab w:leader="none" w:pos="2546" w:val="left"/>
        </w:tabs>
        <w:numPr>
          <w:ilvl w:val="1"/>
          <w:numId w:val="93"/>
        </w:numPr>
        <w:rPr>
          <w:rFonts w:ascii="Times New Roman" w:cs="Times New Roman" w:eastAsia="Times New Roman" w:hAnsi="Times New Roman"/>
          <w:sz w:val="20"/>
          <w:szCs w:val="20"/>
          <w:color w:val="00171E"/>
        </w:rPr>
      </w:pPr>
      <w:r>
        <w:rPr>
          <w:rFonts w:ascii="Times New Roman" w:cs="Times New Roman" w:eastAsia="Times New Roman" w:hAnsi="Times New Roman"/>
          <w:sz w:val="20"/>
          <w:szCs w:val="20"/>
          <w:color w:val="00171E"/>
        </w:rPr>
        <w:t>If Executive becomes unable, due to physical or mental illness or injury, to perform the essential duties of his/her position for more than twelve (12) consecutive weeks in any twelve (12) month period during this Agreement with or without reasonable accommodation (“</w:t>
      </w:r>
      <w:r>
        <w:rPr>
          <w:rFonts w:ascii="Times New Roman" w:cs="Times New Roman" w:eastAsia="Times New Roman" w:hAnsi="Times New Roman"/>
          <w:sz w:val="20"/>
          <w:szCs w:val="20"/>
          <w:u w:val="single" w:color="auto"/>
          <w:color w:val="00171E"/>
        </w:rPr>
        <w:t>Incapacity</w:t>
      </w:r>
      <w:r>
        <w:rPr>
          <w:rFonts w:ascii="Times New Roman" w:cs="Times New Roman" w:eastAsia="Times New Roman" w:hAnsi="Times New Roman"/>
          <w:sz w:val="20"/>
          <w:szCs w:val="20"/>
          <w:color w:val="00171E"/>
        </w:rPr>
        <w:t>”), the Company has the right to terminate Executive’s employment on fifteen (15) days’ written notice. Further, Executive’s employment pursuant to this Agreement shall be immediately terminated without notice by the Company upon the death of Executive.</w:t>
      </w:r>
    </w:p>
    <w:p>
      <w:pPr>
        <w:spacing w:after="0" w:line="184" w:lineRule="exact"/>
        <w:rPr>
          <w:rFonts w:ascii="Times New Roman" w:cs="Times New Roman" w:eastAsia="Times New Roman" w:hAnsi="Times New Roman"/>
          <w:sz w:val="20"/>
          <w:szCs w:val="20"/>
          <w:color w:val="00171E"/>
        </w:rPr>
      </w:pPr>
    </w:p>
    <w:p>
      <w:pPr>
        <w:jc w:val="both"/>
        <w:ind w:firstLine="2254"/>
        <w:spacing w:after="0" w:line="255" w:lineRule="auto"/>
        <w:tabs>
          <w:tab w:leader="none" w:pos="2546" w:val="left"/>
        </w:tabs>
        <w:numPr>
          <w:ilvl w:val="1"/>
          <w:numId w:val="93"/>
        </w:numPr>
        <w:rPr>
          <w:rFonts w:ascii="Times New Roman" w:cs="Times New Roman" w:eastAsia="Times New Roman" w:hAnsi="Times New Roman"/>
          <w:sz w:val="19"/>
          <w:szCs w:val="19"/>
          <w:color w:val="00171E"/>
        </w:rPr>
      </w:pPr>
      <w:r>
        <w:rPr>
          <w:rFonts w:ascii="Times New Roman" w:cs="Times New Roman" w:eastAsia="Times New Roman" w:hAnsi="Times New Roman"/>
          <w:sz w:val="19"/>
          <w:szCs w:val="19"/>
          <w:color w:val="00171E"/>
        </w:rPr>
        <w:t>In the event of termination for Incapacity or if Executive dies while actively employed pursuant to this Agreement, (i) Executive will be entitled to receive the Accrued Benefits, (ii) any unvested equity awards previously granted to Executive that are scheduled to vest based solely on the achievement of service-based conditions (“</w:t>
      </w:r>
      <w:r>
        <w:rPr>
          <w:rFonts w:ascii="Times New Roman" w:cs="Times New Roman" w:eastAsia="Times New Roman" w:hAnsi="Times New Roman"/>
          <w:sz w:val="19"/>
          <w:szCs w:val="19"/>
          <w:u w:val="single" w:color="auto"/>
          <w:color w:val="00171E"/>
        </w:rPr>
        <w:t>Time-based Equity Awards</w:t>
      </w:r>
      <w:r>
        <w:rPr>
          <w:rFonts w:ascii="Times New Roman" w:cs="Times New Roman" w:eastAsia="Times New Roman" w:hAnsi="Times New Roman"/>
          <w:sz w:val="19"/>
          <w:szCs w:val="19"/>
          <w:color w:val="00171E"/>
        </w:rPr>
        <w:t xml:space="preserve">”) shall become immediately vested to the extent that such Time-based Equity Awards would have vested within six (6) months after the date of termination had such Time-based Equity Awards had vesting schedules that provided for pro-rata vesting on a monthly basis over the entirety of the vesting schedule (and, for clarity, any reference to the vesting date for purposes of settlement timing applicable to any restricted stock units or similar full-value awards that accelerate vesting under this </w:t>
      </w:r>
      <w:r>
        <w:rPr>
          <w:rFonts w:ascii="Times New Roman" w:cs="Times New Roman" w:eastAsia="Times New Roman" w:hAnsi="Times New Roman"/>
          <w:sz w:val="19"/>
          <w:szCs w:val="19"/>
          <w:u w:val="single" w:color="auto"/>
          <w:color w:val="00171E"/>
        </w:rPr>
        <w:t>Section 5(c)(ii)</w:t>
      </w:r>
      <w:r>
        <w:rPr>
          <w:rFonts w:ascii="Times New Roman" w:cs="Times New Roman" w:eastAsia="Times New Roman" w:hAnsi="Times New Roman"/>
          <w:sz w:val="19"/>
          <w:szCs w:val="19"/>
          <w:color w:val="00171E"/>
        </w:rPr>
        <w:t xml:space="preserve"> refers to the date that such award no longer is subject to a substantial risk of forfeiture), and (iii) with respect to any equity awards that are scheduled to vest based on the achievement of performance-based conditions (which may include additional service-based conditions) (“</w:t>
      </w:r>
      <w:r>
        <w:rPr>
          <w:rFonts w:ascii="Times New Roman" w:cs="Times New Roman" w:eastAsia="Times New Roman" w:hAnsi="Times New Roman"/>
          <w:sz w:val="19"/>
          <w:szCs w:val="19"/>
          <w:u w:val="single" w:color="auto"/>
          <w:color w:val="00171E"/>
        </w:rPr>
        <w:t>Performance-based Equity Awards</w:t>
      </w:r>
      <w:r>
        <w:rPr>
          <w:rFonts w:ascii="Times New Roman" w:cs="Times New Roman" w:eastAsia="Times New Roman" w:hAnsi="Times New Roman"/>
          <w:sz w:val="19"/>
          <w:szCs w:val="19"/>
          <w:color w:val="00171E"/>
        </w:rPr>
        <w:t>”) for which the performance period is scheduled to end within six (6) months after the date of termination, each such Performance-based Equity Award will remain outstanding until the date the Board or Compensation Committee of the Board (the “</w:t>
      </w:r>
      <w:r>
        <w:rPr>
          <w:rFonts w:ascii="Times New Roman" w:cs="Times New Roman" w:eastAsia="Times New Roman" w:hAnsi="Times New Roman"/>
          <w:sz w:val="19"/>
          <w:szCs w:val="19"/>
          <w:u w:val="single" w:color="auto"/>
          <w:color w:val="00171E"/>
        </w:rPr>
        <w:t>Compensation Committee</w:t>
      </w:r>
      <w:r>
        <w:rPr>
          <w:rFonts w:ascii="Times New Roman" w:cs="Times New Roman" w:eastAsia="Times New Roman" w:hAnsi="Times New Roman"/>
          <w:sz w:val="19"/>
          <w:szCs w:val="19"/>
          <w:color w:val="00171E"/>
        </w:rPr>
        <w:t>”) determines whether the applicable performance condition is achieved (provided that in no event will such Performance-based Equity Award remain outstanding beyond the Performance-based Equity Award’s maximum term to expiration), will vest in accordance with its terms to the extent such performance condition is achieved, and will be settled in the same calendar year as the calendar year in which the performance period ends.</w:t>
      </w:r>
    </w:p>
    <w:p>
      <w:pPr>
        <w:spacing w:after="0" w:line="179" w:lineRule="exact"/>
        <w:rPr>
          <w:rFonts w:ascii="Times New Roman" w:cs="Times New Roman" w:eastAsia="Times New Roman" w:hAnsi="Times New Roman"/>
          <w:sz w:val="19"/>
          <w:szCs w:val="19"/>
          <w:color w:val="00171E"/>
        </w:rPr>
      </w:pPr>
    </w:p>
    <w:p>
      <w:pPr>
        <w:jc w:val="both"/>
        <w:ind w:firstLine="1505"/>
        <w:spacing w:after="0" w:line="241" w:lineRule="auto"/>
        <w:tabs>
          <w:tab w:leader="none" w:pos="2036" w:val="left"/>
        </w:tabs>
        <w:numPr>
          <w:ilvl w:val="0"/>
          <w:numId w:val="93"/>
        </w:numPr>
        <w:rPr>
          <w:rFonts w:ascii="Times New Roman" w:cs="Times New Roman" w:eastAsia="Times New Roman" w:hAnsi="Times New Roman"/>
          <w:sz w:val="20"/>
          <w:szCs w:val="20"/>
          <w:u w:val="single" w:color="auto"/>
          <w:color w:val="00171E"/>
        </w:rPr>
      </w:pPr>
      <w:r>
        <w:rPr>
          <w:rFonts w:ascii="Times New Roman" w:cs="Times New Roman" w:eastAsia="Times New Roman" w:hAnsi="Times New Roman"/>
          <w:sz w:val="20"/>
          <w:szCs w:val="20"/>
          <w:u w:val="single" w:color="auto"/>
          <w:color w:val="00171E"/>
        </w:rPr>
        <w:t>Resignation for Good Reason</w:t>
      </w:r>
      <w:r>
        <w:rPr>
          <w:rFonts w:ascii="Times New Roman" w:cs="Times New Roman" w:eastAsia="Times New Roman" w:hAnsi="Times New Roman"/>
          <w:sz w:val="20"/>
          <w:szCs w:val="20"/>
          <w:color w:val="00171E"/>
        </w:rPr>
        <w:t>. Executive may terminate this Agreement for Good Reason (as defined below) by giving written notice to the Company of such termination, subject to Executive complying with the notice, cure period and other requirements set forth within the definition of Good Reason below. As used in this Agreement, “</w:t>
      </w:r>
      <w:r>
        <w:rPr>
          <w:rFonts w:ascii="Times New Roman" w:cs="Times New Roman" w:eastAsia="Times New Roman" w:hAnsi="Times New Roman"/>
          <w:sz w:val="20"/>
          <w:szCs w:val="20"/>
          <w:u w:val="single" w:color="auto"/>
          <w:color w:val="00171E"/>
        </w:rPr>
        <w:t>Good Reason</w:t>
      </w:r>
      <w:r>
        <w:rPr>
          <w:rFonts w:ascii="Times New Roman" w:cs="Times New Roman" w:eastAsia="Times New Roman" w:hAnsi="Times New Roman"/>
          <w:sz w:val="20"/>
          <w:szCs w:val="20"/>
          <w:color w:val="00171E"/>
        </w:rPr>
        <w:t xml:space="preserve">” shall mean the occurrence of any one of the following without Executive’s written consent: (i) a material reduction in Executive’s base compensation (which includes Base Salary, the Executive’s target annual bonus and any other base compensation), (ii) any action or inaction that constitutes a material breach by the Company of this Agreement; (iii) during the Change in Control Period, a material diminution in Executive’s authority, duties or responsibilities such that they are materially inconsistent with Executive’s then position or, outside of the Change in Control Period, a material diminution in Executive’s duties or responsibilities such that they are materially inconsistent with the position for which Executive originally was appointed (as Senior Vice President, Chief Financial Officer of the Company); and (iv) a relocation of the Executive’s primary work location, which shall for purposes of this definition mean the Company’s offices in Madison, Wisconsin, to a location that increases Executive’s commute by thirty (30) miles or more, provided that no termination for Good Reason shall be effective until Executive has given the Company written notice (pursuant to </w:t>
      </w:r>
      <w:r>
        <w:rPr>
          <w:rFonts w:ascii="Times New Roman" w:cs="Times New Roman" w:eastAsia="Times New Roman" w:hAnsi="Times New Roman"/>
          <w:sz w:val="20"/>
          <w:szCs w:val="20"/>
          <w:u w:val="single" w:color="auto"/>
          <w:color w:val="00171E"/>
        </w:rPr>
        <w:t>Section 11</w:t>
      </w:r>
      <w:r>
        <w:rPr>
          <w:rFonts w:ascii="Times New Roman" w:cs="Times New Roman" w:eastAsia="Times New Roman" w:hAnsi="Times New Roman"/>
          <w:sz w:val="20"/>
          <w:szCs w:val="20"/>
          <w:color w:val="00171E"/>
        </w:rPr>
        <w:t xml:space="preserve"> below) within sixty (60) days after Executive becomes aware of the initial occurrence of any of the foregoing specifying the event or condition constituting the Good Reason and the specific reasonable cure requested by Executive, and the Company has failed to cure the occurrence within thirty (30) days of receiving written notice from Executive, and Executive resigns within six (6) months after Executive becomes aware of the initial occurrence. To the extent Executive’s principal work location is not the Company’s offices or facilities due to a shelter-in-place order, quarantine order, or similar work-from-home requirement that applies to Executive, Executive’s principal work location, from which a change in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132320" cy="171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0"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6"/>
          <w:szCs w:val="16"/>
          <w:b w:val="1"/>
          <w:bCs w:val="1"/>
          <w:color w:val="auto"/>
        </w:rPr>
        <w:t>E</w:t>
      </w:r>
      <w:r>
        <w:rPr>
          <w:rFonts w:ascii="Times New Roman" w:cs="Times New Roman" w:eastAsia="Times New Roman" w:hAnsi="Times New Roman"/>
          <w:sz w:val="10"/>
          <w:szCs w:val="10"/>
          <w:b w:val="1"/>
          <w:bCs w:val="1"/>
          <w:color w:val="auto"/>
        </w:rPr>
        <w:t>xecutive</w:t>
      </w:r>
      <w:r>
        <w:rPr>
          <w:rFonts w:ascii="Times New Roman" w:cs="Times New Roman" w:eastAsia="Times New Roman" w:hAnsi="Times New Roman"/>
          <w:sz w:val="16"/>
          <w:szCs w:val="16"/>
          <w:b w:val="1"/>
          <w:bCs w:val="1"/>
          <w:color w:val="auto"/>
        </w:rPr>
        <w:t xml:space="preserve"> E</w:t>
      </w:r>
      <w:r>
        <w:rPr>
          <w:rFonts w:ascii="Times New Roman" w:cs="Times New Roman" w:eastAsia="Times New Roman" w:hAnsi="Times New Roman"/>
          <w:sz w:val="10"/>
          <w:szCs w:val="10"/>
          <w:b w:val="1"/>
          <w:bCs w:val="1"/>
          <w:color w:val="auto"/>
        </w:rPr>
        <w:t>mployment</w:t>
      </w:r>
      <w:r>
        <w:rPr>
          <w:rFonts w:ascii="Times New Roman" w:cs="Times New Roman" w:eastAsia="Times New Roman" w:hAnsi="Times New Roman"/>
          <w:sz w:val="16"/>
          <w:szCs w:val="16"/>
          <w:b w:val="1"/>
          <w:bCs w:val="1"/>
          <w:color w:val="auto"/>
        </w:rPr>
        <w:t xml:space="preserve"> A</w:t>
      </w:r>
      <w:r>
        <w:rPr>
          <w:rFonts w:ascii="Times New Roman" w:cs="Times New Roman" w:eastAsia="Times New Roman" w:hAnsi="Times New Roman"/>
          <w:sz w:val="10"/>
          <w:szCs w:val="10"/>
          <w:b w:val="1"/>
          <w:bCs w:val="1"/>
          <w:color w:val="auto"/>
        </w:rPr>
        <w:t>gmt</w:t>
      </w:r>
      <w:r>
        <w:rPr>
          <w:rFonts w:ascii="Times New Roman" w:cs="Times New Roman" w:eastAsia="Times New Roman" w:hAnsi="Times New Roman"/>
          <w:sz w:val="16"/>
          <w:szCs w:val="16"/>
          <w:b w:val="1"/>
          <w:bCs w:val="1"/>
          <w:color w:val="auto"/>
        </w:rPr>
        <w:t xml:space="preserve"> S</w:t>
      </w:r>
      <w:r>
        <w:rPr>
          <w:rFonts w:ascii="Times New Roman" w:cs="Times New Roman" w:eastAsia="Times New Roman" w:hAnsi="Times New Roman"/>
          <w:sz w:val="10"/>
          <w:szCs w:val="10"/>
          <w:b w:val="1"/>
          <w:bCs w:val="1"/>
          <w:color w:val="auto"/>
        </w:rPr>
        <w:t>td</w:t>
      </w:r>
      <w:r>
        <w:rPr>
          <w:rFonts w:ascii="Times New Roman" w:cs="Times New Roman" w:eastAsia="Times New Roman" w:hAnsi="Times New Roman"/>
          <w:sz w:val="16"/>
          <w:szCs w:val="16"/>
          <w:b w:val="1"/>
          <w:bCs w:val="1"/>
          <w:color w:val="auto"/>
        </w:rPr>
        <w:t xml:space="preserve"> 11.1.24</w:t>
      </w:r>
      <w:r>
        <w:rPr>
          <w:sz w:val="20"/>
          <w:szCs w:val="20"/>
          <w:color w:val="auto"/>
        </w:rPr>
        <w:tab/>
      </w:r>
      <w:r>
        <w:rPr>
          <w:rFonts w:ascii="Times New Roman" w:cs="Times New Roman" w:eastAsia="Times New Roman" w:hAnsi="Times New Roman"/>
          <w:sz w:val="16"/>
          <w:szCs w:val="16"/>
          <w:b w:val="1"/>
          <w:bCs w:val="1"/>
          <w:color w:val="auto"/>
        </w:rPr>
        <w:t>A</w:t>
      </w:r>
      <w:r>
        <w:rPr>
          <w:rFonts w:ascii="Times New Roman" w:cs="Times New Roman" w:eastAsia="Times New Roman" w:hAnsi="Times New Roman"/>
          <w:sz w:val="10"/>
          <w:szCs w:val="10"/>
          <w:b w:val="1"/>
          <w:bCs w:val="1"/>
          <w:color w:val="auto"/>
        </w:rPr>
        <w:t>ccuray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7</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NUMPAGES \* Arabic \* MERGEFORMAT 31</w:t>
      </w:r>
    </w:p>
    <w:p>
      <w:pPr>
        <w:spacing w:after="0" w:line="200" w:lineRule="exact"/>
        <w:rPr>
          <w:sz w:val="20"/>
          <w:szCs w:val="20"/>
          <w:color w:val="auto"/>
        </w:rPr>
      </w:pPr>
    </w:p>
    <w:p>
      <w:pPr>
        <w:spacing w:after="0" w:line="24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00171E"/>
        </w:rPr>
        <w:t xml:space="preserve">under the foregoing clause (iv) will be measured, will be considered the Company’s office or facility location where Executive’s employment with the Company primarily was or would have been based immediately prior to the commencement of such shelter-in-place order, quarantine order, or similar work-from-home requirement. In the event of a termination for Good Reason, Executive will be entitled to the Accrued Benefits and the Severance Benefits, on the same conditions, form of payment and timing as set forth in </w:t>
      </w:r>
      <w:r>
        <w:rPr>
          <w:rFonts w:ascii="Times New Roman" w:cs="Times New Roman" w:eastAsia="Times New Roman" w:hAnsi="Times New Roman"/>
          <w:sz w:val="20"/>
          <w:szCs w:val="20"/>
          <w:u w:val="single" w:color="auto"/>
          <w:color w:val="00171E"/>
        </w:rPr>
        <w:t>Section 5(a)</w:t>
      </w:r>
      <w:r>
        <w:rPr>
          <w:rFonts w:ascii="Times New Roman" w:cs="Times New Roman" w:eastAsia="Times New Roman" w:hAnsi="Times New Roman"/>
          <w:sz w:val="20"/>
          <w:szCs w:val="20"/>
          <w:color w:val="00171E"/>
        </w:rPr>
        <w:t>.</w:t>
      </w:r>
    </w:p>
    <w:p>
      <w:pPr>
        <w:spacing w:after="0" w:line="180" w:lineRule="exact"/>
        <w:rPr>
          <w:sz w:val="20"/>
          <w:szCs w:val="20"/>
          <w:color w:val="auto"/>
        </w:rPr>
      </w:pPr>
    </w:p>
    <w:p>
      <w:pPr>
        <w:jc w:val="both"/>
        <w:ind w:firstLine="1505"/>
        <w:spacing w:after="0" w:line="254" w:lineRule="auto"/>
        <w:tabs>
          <w:tab w:leader="none" w:pos="2036" w:val="left"/>
        </w:tabs>
        <w:numPr>
          <w:ilvl w:val="0"/>
          <w:numId w:val="94"/>
        </w:numPr>
        <w:rPr>
          <w:rFonts w:ascii="Times New Roman" w:cs="Times New Roman" w:eastAsia="Times New Roman" w:hAnsi="Times New Roman"/>
          <w:sz w:val="19"/>
          <w:szCs w:val="19"/>
          <w:u w:val="single" w:color="auto"/>
          <w:color w:val="00171E"/>
        </w:rPr>
      </w:pPr>
      <w:r>
        <w:rPr>
          <w:rFonts w:ascii="Times New Roman" w:cs="Times New Roman" w:eastAsia="Times New Roman" w:hAnsi="Times New Roman"/>
          <w:sz w:val="19"/>
          <w:szCs w:val="19"/>
          <w:u w:val="single" w:color="auto"/>
          <w:color w:val="00171E"/>
        </w:rPr>
        <w:t>Effect of Change in Control.</w:t>
      </w:r>
      <w:r>
        <w:rPr>
          <w:rFonts w:ascii="Times New Roman" w:cs="Times New Roman" w:eastAsia="Times New Roman" w:hAnsi="Times New Roman"/>
          <w:sz w:val="19"/>
          <w:szCs w:val="19"/>
          <w:color w:val="00171E"/>
        </w:rPr>
        <w:t xml:space="preserve"> If the Company terminates Executive’s employment with the Company without Cause (excluding due to Executive’s death or Incapacity) or if Executive resigns from such employment for Good Reason, and, in each case, such termination occurs during the Change in Control Period (as defined below), Executive will be entitled to the Accrued Benefits, and subject to the same conditions set forth in the final paragraph of </w:t>
      </w:r>
      <w:r>
        <w:rPr>
          <w:rFonts w:ascii="Times New Roman" w:cs="Times New Roman" w:eastAsia="Times New Roman" w:hAnsi="Times New Roman"/>
          <w:sz w:val="19"/>
          <w:szCs w:val="19"/>
          <w:u w:val="single" w:color="auto"/>
          <w:color w:val="00171E"/>
        </w:rPr>
        <w:t>Section 5(a)</w:t>
      </w:r>
      <w:r>
        <w:rPr>
          <w:rFonts w:ascii="Times New Roman" w:cs="Times New Roman" w:eastAsia="Times New Roman" w:hAnsi="Times New Roman"/>
          <w:sz w:val="19"/>
          <w:szCs w:val="19"/>
          <w:color w:val="00171E"/>
        </w:rPr>
        <w:t xml:space="preserve">: (i) two (2) times the Severance Payment set forth in </w:t>
      </w:r>
      <w:r>
        <w:rPr>
          <w:rFonts w:ascii="Times New Roman" w:cs="Times New Roman" w:eastAsia="Times New Roman" w:hAnsi="Times New Roman"/>
          <w:sz w:val="19"/>
          <w:szCs w:val="19"/>
          <w:u w:val="single" w:color="auto"/>
          <w:color w:val="00171E"/>
        </w:rPr>
        <w:t>Section 5(a)(iv)</w:t>
      </w:r>
      <w:r>
        <w:rPr>
          <w:rFonts w:ascii="Times New Roman" w:cs="Times New Roman" w:eastAsia="Times New Roman" w:hAnsi="Times New Roman"/>
          <w:sz w:val="19"/>
          <w:szCs w:val="19"/>
          <w:color w:val="00171E"/>
        </w:rPr>
        <w:t xml:space="preserve">, paid in the same form (i.e., a lump sum) and at the same time as the Severance Payments set forth in </w:t>
      </w:r>
      <w:r>
        <w:rPr>
          <w:rFonts w:ascii="Times New Roman" w:cs="Times New Roman" w:eastAsia="Times New Roman" w:hAnsi="Times New Roman"/>
          <w:sz w:val="19"/>
          <w:szCs w:val="19"/>
          <w:u w:val="single" w:color="auto"/>
          <w:color w:val="00171E"/>
        </w:rPr>
        <w:t>Section 5(a)(iv)</w:t>
      </w:r>
      <w:r>
        <w:rPr>
          <w:rFonts w:ascii="Times New Roman" w:cs="Times New Roman" w:eastAsia="Times New Roman" w:hAnsi="Times New Roman"/>
          <w:sz w:val="19"/>
          <w:szCs w:val="19"/>
          <w:color w:val="00171E"/>
        </w:rPr>
        <w:t xml:space="preserve">, (ii) subject to </w:t>
      </w:r>
      <w:r>
        <w:rPr>
          <w:rFonts w:ascii="Times New Roman" w:cs="Times New Roman" w:eastAsia="Times New Roman" w:hAnsi="Times New Roman"/>
          <w:sz w:val="19"/>
          <w:szCs w:val="19"/>
          <w:u w:val="single" w:color="auto"/>
          <w:color w:val="00171E"/>
        </w:rPr>
        <w:t>Section 5(g)</w:t>
      </w:r>
      <w:r>
        <w:rPr>
          <w:rFonts w:ascii="Times New Roman" w:cs="Times New Roman" w:eastAsia="Times New Roman" w:hAnsi="Times New Roman"/>
          <w:sz w:val="19"/>
          <w:szCs w:val="19"/>
          <w:color w:val="00171E"/>
        </w:rPr>
        <w:t xml:space="preserve">, the reimbursement of health insurance premiums payable to retain group health coverage as of the termination date for Executive and Executive’s eligible dependents for up to twelve (12) months in the same form and at the same time and under the same conditions as provided in </w:t>
      </w:r>
      <w:r>
        <w:rPr>
          <w:rFonts w:ascii="Times New Roman" w:cs="Times New Roman" w:eastAsia="Times New Roman" w:hAnsi="Times New Roman"/>
          <w:sz w:val="19"/>
          <w:szCs w:val="19"/>
          <w:u w:val="single" w:color="auto"/>
          <w:color w:val="00171E"/>
        </w:rPr>
        <w:t>Section 5(a)(vi)</w:t>
      </w:r>
      <w:r>
        <w:rPr>
          <w:rFonts w:ascii="Times New Roman" w:cs="Times New Roman" w:eastAsia="Times New Roman" w:hAnsi="Times New Roman"/>
          <w:sz w:val="19"/>
          <w:szCs w:val="19"/>
          <w:color w:val="00171E"/>
        </w:rPr>
        <w:t xml:space="preserve">, (iii) a taxable monthly payment (which may be used for any purpose) equal to the actual COBRA reimbursement payment that Executive receives under </w:t>
      </w:r>
      <w:r>
        <w:rPr>
          <w:rFonts w:ascii="Times New Roman" w:cs="Times New Roman" w:eastAsia="Times New Roman" w:hAnsi="Times New Roman"/>
          <w:sz w:val="19"/>
          <w:szCs w:val="19"/>
          <w:u w:val="single" w:color="auto"/>
          <w:color w:val="00171E"/>
        </w:rPr>
        <w:t>Section 5(e)(ii)</w:t>
      </w:r>
      <w:r>
        <w:rPr>
          <w:rFonts w:ascii="Times New Roman" w:cs="Times New Roman" w:eastAsia="Times New Roman" w:hAnsi="Times New Roman"/>
          <w:sz w:val="19"/>
          <w:szCs w:val="19"/>
          <w:color w:val="00171E"/>
        </w:rPr>
        <w:t xml:space="preserve"> for any particular month, (iv) two hundred percent (200%) of Executive’s target bonus for the fiscal year during which termination occurs, but no less than two hundred percent (200%) of the target bonus in effect for the fiscal year immediately prior to the Change in Control if the Change in Control occurs within the first three (3) months of the fiscal year, payable at the same time as the payment under clause (i) of this </w:t>
      </w:r>
      <w:r>
        <w:rPr>
          <w:rFonts w:ascii="Times New Roman" w:cs="Times New Roman" w:eastAsia="Times New Roman" w:hAnsi="Times New Roman"/>
          <w:sz w:val="19"/>
          <w:szCs w:val="19"/>
          <w:u w:val="single" w:color="auto"/>
          <w:color w:val="00171E"/>
        </w:rPr>
        <w:t>Section 5(e)</w:t>
      </w:r>
      <w:r>
        <w:rPr>
          <w:rFonts w:ascii="Times New Roman" w:cs="Times New Roman" w:eastAsia="Times New Roman" w:hAnsi="Times New Roman"/>
          <w:sz w:val="19"/>
          <w:szCs w:val="19"/>
          <w:color w:val="00171E"/>
        </w:rPr>
        <w:t xml:space="preserve">, (v) all outstanding unvested equity awards previously granted to Executive shall become immediately vested, with Performance-based Equity Awards vesting at target unless otherwise specified in the applicable Performance-based Equity Award’s award agreement (and, for clarity, any reference to the vesting date for purposes of settlement timing applicable to any restricted stock units or similar full-value awards that accelerate vesting under this </w:t>
      </w:r>
      <w:r>
        <w:rPr>
          <w:rFonts w:ascii="Times New Roman" w:cs="Times New Roman" w:eastAsia="Times New Roman" w:hAnsi="Times New Roman"/>
          <w:sz w:val="19"/>
          <w:szCs w:val="19"/>
          <w:u w:val="single" w:color="auto"/>
          <w:color w:val="00171E"/>
        </w:rPr>
        <w:t>Section</w:t>
      </w:r>
      <w:r>
        <w:rPr>
          <w:rFonts w:ascii="Times New Roman" w:cs="Times New Roman" w:eastAsia="Times New Roman" w:hAnsi="Times New Roman"/>
          <w:sz w:val="19"/>
          <w:szCs w:val="19"/>
          <w:color w:val="00171E"/>
        </w:rPr>
        <w:t xml:space="preserve"> </w:t>
      </w:r>
      <w:r>
        <w:rPr>
          <w:rFonts w:ascii="Times New Roman" w:cs="Times New Roman" w:eastAsia="Times New Roman" w:hAnsi="Times New Roman"/>
          <w:sz w:val="19"/>
          <w:szCs w:val="19"/>
          <w:u w:val="single" w:color="auto"/>
          <w:color w:val="00171E"/>
        </w:rPr>
        <w:t>5(e)(v)</w:t>
      </w:r>
      <w:r>
        <w:rPr>
          <w:rFonts w:ascii="Times New Roman" w:cs="Times New Roman" w:eastAsia="Times New Roman" w:hAnsi="Times New Roman"/>
          <w:sz w:val="19"/>
          <w:szCs w:val="19"/>
          <w:color w:val="00171E"/>
        </w:rPr>
        <w:t xml:space="preserve"> refers to the date that such award no longer is subject to a substantial risk of forfeiture) and (vi) payment for executive outplacement assistance services with the Company’s then current outplacement services vendor and in accordance with the Company’s then current policies and practices with respect to outplacement assistance for other executives of the Company for up to twelve (12) months after the termination date (the payments and benefits set forth in </w:t>
      </w:r>
      <w:r>
        <w:rPr>
          <w:rFonts w:ascii="Times New Roman" w:cs="Times New Roman" w:eastAsia="Times New Roman" w:hAnsi="Times New Roman"/>
          <w:sz w:val="19"/>
          <w:szCs w:val="19"/>
          <w:u w:val="single" w:color="auto"/>
          <w:color w:val="00171E"/>
        </w:rPr>
        <w:t>Sections 5(e)(i)-(vi)</w:t>
      </w:r>
      <w:r>
        <w:rPr>
          <w:rFonts w:ascii="Times New Roman" w:cs="Times New Roman" w:eastAsia="Times New Roman" w:hAnsi="Times New Roman"/>
          <w:sz w:val="19"/>
          <w:szCs w:val="19"/>
          <w:color w:val="00171E"/>
        </w:rPr>
        <w:t xml:space="preserve"> shall be referred to as the “</w:t>
      </w:r>
      <w:r>
        <w:rPr>
          <w:rFonts w:ascii="Times New Roman" w:cs="Times New Roman" w:eastAsia="Times New Roman" w:hAnsi="Times New Roman"/>
          <w:sz w:val="19"/>
          <w:szCs w:val="19"/>
          <w:u w:val="single" w:color="auto"/>
          <w:color w:val="00171E"/>
        </w:rPr>
        <w:t>Enhanced Severance Benefits</w:t>
      </w:r>
      <w:r>
        <w:rPr>
          <w:rFonts w:ascii="Times New Roman" w:cs="Times New Roman" w:eastAsia="Times New Roman" w:hAnsi="Times New Roman"/>
          <w:sz w:val="19"/>
          <w:szCs w:val="19"/>
          <w:color w:val="00171E"/>
        </w:rPr>
        <w:t>”).</w:t>
      </w:r>
    </w:p>
    <w:p>
      <w:pPr>
        <w:spacing w:after="0" w:line="183" w:lineRule="exact"/>
        <w:rPr>
          <w:sz w:val="20"/>
          <w:szCs w:val="20"/>
          <w:color w:val="auto"/>
        </w:rPr>
      </w:pPr>
    </w:p>
    <w:p>
      <w:pPr>
        <w:jc w:val="both"/>
        <w:ind w:firstLine="1497"/>
        <w:spacing w:after="0" w:line="255" w:lineRule="auto"/>
        <w:rPr>
          <w:sz w:val="20"/>
          <w:szCs w:val="20"/>
          <w:color w:val="auto"/>
        </w:rPr>
      </w:pPr>
      <w:r>
        <w:rPr>
          <w:rFonts w:ascii="Times New Roman" w:cs="Times New Roman" w:eastAsia="Times New Roman" w:hAnsi="Times New Roman"/>
          <w:sz w:val="19"/>
          <w:szCs w:val="19"/>
          <w:color w:val="00171E"/>
        </w:rPr>
        <w:t xml:space="preserve">For the avoidance of doubt, if Executive’s termination without Cause (excluding due to Executive’s death or Incapacity) or resignation for Good Reason occurs prior to a Change in Control, then any unvested portion of Executive’s outstanding equity awards will remain outstanding until the earlier of (i) the date that is three (3) months following the termination of Executive’s employment or (ii) the date that a Change in Control occurs (provided that in no event will any of Executive’s equity awards remain outstanding beyond the equity award’s maximum term to expiration). In the event that a Change in Control does not occur by the date that is three (3) months following the termination of Executive’s employment, any unvested portion of Executive’s equity awards automatically will be forfeited permanently without having vested. Further, for any Performance-based Equity Awards, the performance-based vesting component of the equity awards shall not be deemed to be automatically achieved as a result of the application of </w:t>
      </w:r>
      <w:r>
        <w:rPr>
          <w:rFonts w:ascii="Times New Roman" w:cs="Times New Roman" w:eastAsia="Times New Roman" w:hAnsi="Times New Roman"/>
          <w:sz w:val="19"/>
          <w:szCs w:val="19"/>
          <w:u w:val="single" w:color="auto"/>
          <w:color w:val="00171E"/>
        </w:rPr>
        <w:t>Section 5(e)(v)</w:t>
      </w:r>
      <w:r>
        <w:rPr>
          <w:rFonts w:ascii="Times New Roman" w:cs="Times New Roman" w:eastAsia="Times New Roman" w:hAnsi="Times New Roman"/>
          <w:sz w:val="19"/>
          <w:szCs w:val="19"/>
          <w:color w:val="00171E"/>
        </w:rPr>
        <w:t xml:space="preserve"> but will remain outstanding during the three</w:t>
      </w:r>
    </w:p>
    <w:p>
      <w:pPr>
        <w:spacing w:after="0" w:line="1" w:lineRule="exact"/>
        <w:rPr>
          <w:sz w:val="20"/>
          <w:szCs w:val="20"/>
          <w:color w:val="auto"/>
        </w:rPr>
      </w:pPr>
    </w:p>
    <w:p>
      <w:pPr>
        <w:jc w:val="both"/>
        <w:ind w:firstLine="8"/>
        <w:spacing w:after="0"/>
        <w:tabs>
          <w:tab w:leader="none" w:pos="306" w:val="left"/>
        </w:tabs>
        <w:numPr>
          <w:ilvl w:val="0"/>
          <w:numId w:val="95"/>
        </w:numPr>
        <w:rPr>
          <w:rFonts w:ascii="Times New Roman" w:cs="Times New Roman" w:eastAsia="Times New Roman" w:hAnsi="Times New Roman"/>
          <w:sz w:val="20"/>
          <w:szCs w:val="20"/>
          <w:color w:val="00171E"/>
        </w:rPr>
      </w:pPr>
      <w:r>
        <w:rPr>
          <w:rFonts w:ascii="Times New Roman" w:cs="Times New Roman" w:eastAsia="Times New Roman" w:hAnsi="Times New Roman"/>
          <w:sz w:val="20"/>
          <w:szCs w:val="20"/>
          <w:color w:val="00171E"/>
        </w:rPr>
        <w:t xml:space="preserve">month period following Executive’s termination or through the date of the Change in Control, as applicable, to determine whether a Change in Control would have occurred within three (3) months of the termination of Executive’s employment and, if so, the extent to which the performance condition is achieved, such determination to be made in accordance with the procedures set forth in the applicable award agreement. If the performance condition is satisfied and that would cause the award to become eligible to vest based on continued service, then clause (v) of this </w:t>
      </w:r>
      <w:r>
        <w:rPr>
          <w:rFonts w:ascii="Times New Roman" w:cs="Times New Roman" w:eastAsia="Times New Roman" w:hAnsi="Times New Roman"/>
          <w:sz w:val="20"/>
          <w:szCs w:val="20"/>
          <w:u w:val="single" w:color="auto"/>
          <w:color w:val="00171E"/>
        </w:rPr>
        <w:t>Section 5(e)</w:t>
      </w:r>
      <w:r>
        <w:rPr>
          <w:rFonts w:ascii="Times New Roman" w:cs="Times New Roman" w:eastAsia="Times New Roman" w:hAnsi="Times New Roman"/>
          <w:sz w:val="20"/>
          <w:szCs w:val="20"/>
          <w:color w:val="00171E"/>
        </w:rPr>
        <w:t xml:space="preserve"> will cause the service-based vesting component to be deemed satisfied and the vesting of the equity award will be accelerated as to the portion of the award that became eligible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132320" cy="171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84"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6"/>
          <w:szCs w:val="16"/>
          <w:b w:val="1"/>
          <w:bCs w:val="1"/>
          <w:color w:val="auto"/>
        </w:rPr>
        <w:t>E</w:t>
      </w:r>
      <w:r>
        <w:rPr>
          <w:rFonts w:ascii="Times New Roman" w:cs="Times New Roman" w:eastAsia="Times New Roman" w:hAnsi="Times New Roman"/>
          <w:sz w:val="10"/>
          <w:szCs w:val="10"/>
          <w:b w:val="1"/>
          <w:bCs w:val="1"/>
          <w:color w:val="auto"/>
        </w:rPr>
        <w:t>xecutive</w:t>
      </w:r>
      <w:r>
        <w:rPr>
          <w:rFonts w:ascii="Times New Roman" w:cs="Times New Roman" w:eastAsia="Times New Roman" w:hAnsi="Times New Roman"/>
          <w:sz w:val="16"/>
          <w:szCs w:val="16"/>
          <w:b w:val="1"/>
          <w:bCs w:val="1"/>
          <w:color w:val="auto"/>
        </w:rPr>
        <w:t xml:space="preserve"> E</w:t>
      </w:r>
      <w:r>
        <w:rPr>
          <w:rFonts w:ascii="Times New Roman" w:cs="Times New Roman" w:eastAsia="Times New Roman" w:hAnsi="Times New Roman"/>
          <w:sz w:val="10"/>
          <w:szCs w:val="10"/>
          <w:b w:val="1"/>
          <w:bCs w:val="1"/>
          <w:color w:val="auto"/>
        </w:rPr>
        <w:t>mployment</w:t>
      </w:r>
      <w:r>
        <w:rPr>
          <w:rFonts w:ascii="Times New Roman" w:cs="Times New Roman" w:eastAsia="Times New Roman" w:hAnsi="Times New Roman"/>
          <w:sz w:val="16"/>
          <w:szCs w:val="16"/>
          <w:b w:val="1"/>
          <w:bCs w:val="1"/>
          <w:color w:val="auto"/>
        </w:rPr>
        <w:t xml:space="preserve"> A</w:t>
      </w:r>
      <w:r>
        <w:rPr>
          <w:rFonts w:ascii="Times New Roman" w:cs="Times New Roman" w:eastAsia="Times New Roman" w:hAnsi="Times New Roman"/>
          <w:sz w:val="10"/>
          <w:szCs w:val="10"/>
          <w:b w:val="1"/>
          <w:bCs w:val="1"/>
          <w:color w:val="auto"/>
        </w:rPr>
        <w:t>gmt</w:t>
      </w:r>
      <w:r>
        <w:rPr>
          <w:rFonts w:ascii="Times New Roman" w:cs="Times New Roman" w:eastAsia="Times New Roman" w:hAnsi="Times New Roman"/>
          <w:sz w:val="16"/>
          <w:szCs w:val="16"/>
          <w:b w:val="1"/>
          <w:bCs w:val="1"/>
          <w:color w:val="auto"/>
        </w:rPr>
        <w:t xml:space="preserve"> S</w:t>
      </w:r>
      <w:r>
        <w:rPr>
          <w:rFonts w:ascii="Times New Roman" w:cs="Times New Roman" w:eastAsia="Times New Roman" w:hAnsi="Times New Roman"/>
          <w:sz w:val="10"/>
          <w:szCs w:val="10"/>
          <w:b w:val="1"/>
          <w:bCs w:val="1"/>
          <w:color w:val="auto"/>
        </w:rPr>
        <w:t>td</w:t>
      </w:r>
      <w:r>
        <w:rPr>
          <w:rFonts w:ascii="Times New Roman" w:cs="Times New Roman" w:eastAsia="Times New Roman" w:hAnsi="Times New Roman"/>
          <w:sz w:val="16"/>
          <w:szCs w:val="16"/>
          <w:b w:val="1"/>
          <w:bCs w:val="1"/>
          <w:color w:val="auto"/>
        </w:rPr>
        <w:t xml:space="preserve"> 11.1.24</w:t>
      </w:r>
      <w:r>
        <w:rPr>
          <w:sz w:val="20"/>
          <w:szCs w:val="20"/>
          <w:color w:val="auto"/>
        </w:rPr>
        <w:tab/>
      </w:r>
      <w:r>
        <w:rPr>
          <w:rFonts w:ascii="Times New Roman" w:cs="Times New Roman" w:eastAsia="Times New Roman" w:hAnsi="Times New Roman"/>
          <w:sz w:val="16"/>
          <w:szCs w:val="16"/>
          <w:b w:val="1"/>
          <w:bCs w:val="1"/>
          <w:color w:val="auto"/>
        </w:rPr>
        <w:t>A</w:t>
      </w:r>
      <w:r>
        <w:rPr>
          <w:rFonts w:ascii="Times New Roman" w:cs="Times New Roman" w:eastAsia="Times New Roman" w:hAnsi="Times New Roman"/>
          <w:sz w:val="10"/>
          <w:szCs w:val="10"/>
          <w:b w:val="1"/>
          <w:bCs w:val="1"/>
          <w:color w:val="auto"/>
        </w:rPr>
        <w:t>ccuray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8</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NUMPAGES \* Arabic \* MERGEFORMAT 31</w:t>
      </w:r>
    </w:p>
    <w:p>
      <w:pPr>
        <w:spacing w:after="0" w:line="200" w:lineRule="exact"/>
        <w:rPr>
          <w:sz w:val="20"/>
          <w:szCs w:val="20"/>
          <w:color w:val="auto"/>
        </w:rPr>
      </w:pPr>
    </w:p>
    <w:p>
      <w:pPr>
        <w:spacing w:after="0" w:line="241"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9"/>
          <w:szCs w:val="19"/>
          <w:color w:val="00171E"/>
        </w:rPr>
        <w:t>to vest. For clarity, if there is no service-based condition that applies with respect to any portion of such equity award upon such satisfaction of the performance condition, such portion of the equity award will immediately vest upon such satisfaction of the performance condition.</w:t>
      </w:r>
    </w:p>
    <w:p>
      <w:pPr>
        <w:spacing w:after="0" w:line="138" w:lineRule="exact"/>
        <w:rPr>
          <w:sz w:val="20"/>
          <w:szCs w:val="20"/>
          <w:color w:val="auto"/>
        </w:rPr>
      </w:pPr>
    </w:p>
    <w:p>
      <w:pPr>
        <w:jc w:val="both"/>
        <w:ind w:firstLine="1497"/>
        <w:spacing w:after="0" w:line="249" w:lineRule="auto"/>
        <w:rPr>
          <w:sz w:val="20"/>
          <w:szCs w:val="20"/>
          <w:color w:val="auto"/>
        </w:rPr>
      </w:pPr>
      <w:r>
        <w:rPr>
          <w:rFonts w:ascii="Times New Roman" w:cs="Times New Roman" w:eastAsia="Times New Roman" w:hAnsi="Times New Roman"/>
          <w:sz w:val="20"/>
          <w:szCs w:val="20"/>
          <w:color w:val="00171E"/>
        </w:rPr>
        <w:t xml:space="preserve">For the sake of clarity, if any payments or benefits are payable under this </w:t>
      </w:r>
      <w:r>
        <w:rPr>
          <w:rFonts w:ascii="Times New Roman" w:cs="Times New Roman" w:eastAsia="Times New Roman" w:hAnsi="Times New Roman"/>
          <w:sz w:val="20"/>
          <w:szCs w:val="20"/>
          <w:u w:val="single" w:color="auto"/>
          <w:color w:val="00171E"/>
        </w:rPr>
        <w:t>Section 5(e)</w:t>
      </w:r>
      <w:r>
        <w:rPr>
          <w:rFonts w:ascii="Times New Roman" w:cs="Times New Roman" w:eastAsia="Times New Roman" w:hAnsi="Times New Roman"/>
          <w:sz w:val="20"/>
          <w:szCs w:val="20"/>
          <w:color w:val="00171E"/>
        </w:rPr>
        <w:t xml:space="preserve">, no payments or benefits shall be made under any other subsection of this </w:t>
      </w:r>
      <w:r>
        <w:rPr>
          <w:rFonts w:ascii="Times New Roman" w:cs="Times New Roman" w:eastAsia="Times New Roman" w:hAnsi="Times New Roman"/>
          <w:sz w:val="20"/>
          <w:szCs w:val="20"/>
          <w:u w:val="single" w:color="auto"/>
          <w:color w:val="00171E"/>
        </w:rPr>
        <w:t>Section 5</w:t>
      </w:r>
      <w:r>
        <w:rPr>
          <w:rFonts w:ascii="Times New Roman" w:cs="Times New Roman" w:eastAsia="Times New Roman" w:hAnsi="Times New Roman"/>
          <w:sz w:val="20"/>
          <w:szCs w:val="20"/>
          <w:color w:val="00171E"/>
        </w:rPr>
        <w:t xml:space="preserve">, including </w:t>
      </w:r>
      <w:r>
        <w:rPr>
          <w:rFonts w:ascii="Times New Roman" w:cs="Times New Roman" w:eastAsia="Times New Roman" w:hAnsi="Times New Roman"/>
          <w:sz w:val="20"/>
          <w:szCs w:val="20"/>
          <w:u w:val="single" w:color="auto"/>
          <w:color w:val="00171E"/>
        </w:rPr>
        <w:t>Section 5(a)</w:t>
      </w:r>
      <w:r>
        <w:rPr>
          <w:rFonts w:ascii="Times New Roman" w:cs="Times New Roman" w:eastAsia="Times New Roman" w:hAnsi="Times New Roman"/>
          <w:sz w:val="20"/>
          <w:szCs w:val="20"/>
          <w:color w:val="00171E"/>
        </w:rPr>
        <w:t xml:space="preserve"> and </w:t>
      </w:r>
      <w:r>
        <w:rPr>
          <w:rFonts w:ascii="Times New Roman" w:cs="Times New Roman" w:eastAsia="Times New Roman" w:hAnsi="Times New Roman"/>
          <w:sz w:val="20"/>
          <w:szCs w:val="20"/>
          <w:u w:val="single" w:color="auto"/>
          <w:color w:val="00171E"/>
        </w:rPr>
        <w:t>Section 5(d)</w:t>
      </w:r>
      <w:r>
        <w:rPr>
          <w:rFonts w:ascii="Times New Roman" w:cs="Times New Roman" w:eastAsia="Times New Roman" w:hAnsi="Times New Roman"/>
          <w:sz w:val="20"/>
          <w:szCs w:val="20"/>
          <w:color w:val="00171E"/>
        </w:rPr>
        <w:t>, and any Enhanced Severance Benefits will be reduced by any Severance Benefits that may have been paid or provided with respect to any termination triggering Severance Benefits that occurs during the three-month period prior to a Change in Control (this provision, the “</w:t>
      </w:r>
      <w:r>
        <w:rPr>
          <w:rFonts w:ascii="Times New Roman" w:cs="Times New Roman" w:eastAsia="Times New Roman" w:hAnsi="Times New Roman"/>
          <w:sz w:val="20"/>
          <w:szCs w:val="20"/>
          <w:u w:val="single" w:color="auto"/>
          <w:color w:val="00171E"/>
        </w:rPr>
        <w:t>Non-duplication Provision</w:t>
      </w:r>
      <w:r>
        <w:rPr>
          <w:rFonts w:ascii="Times New Roman" w:cs="Times New Roman" w:eastAsia="Times New Roman" w:hAnsi="Times New Roman"/>
          <w:sz w:val="20"/>
          <w:szCs w:val="20"/>
          <w:color w:val="00171E"/>
        </w:rPr>
        <w:t>”).</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00171E"/>
        </w:rPr>
        <w:t>As used in this Agreement, a “</w:t>
      </w:r>
      <w:r>
        <w:rPr>
          <w:rFonts w:ascii="Times New Roman" w:cs="Times New Roman" w:eastAsia="Times New Roman" w:hAnsi="Times New Roman"/>
          <w:sz w:val="20"/>
          <w:szCs w:val="20"/>
          <w:u w:val="single" w:color="auto"/>
          <w:color w:val="00171E"/>
        </w:rPr>
        <w:t>Change in Control</w:t>
      </w:r>
      <w:r>
        <w:rPr>
          <w:rFonts w:ascii="Times New Roman" w:cs="Times New Roman" w:eastAsia="Times New Roman" w:hAnsi="Times New Roman"/>
          <w:sz w:val="20"/>
          <w:szCs w:val="20"/>
          <w:color w:val="00171E"/>
        </w:rPr>
        <w:t>” shall mean any of the following events:</w:t>
      </w:r>
    </w:p>
    <w:p>
      <w:pPr>
        <w:spacing w:after="0" w:line="216" w:lineRule="exact"/>
        <w:rPr>
          <w:sz w:val="20"/>
          <w:szCs w:val="20"/>
          <w:color w:val="auto"/>
        </w:rPr>
      </w:pPr>
    </w:p>
    <w:p>
      <w:pPr>
        <w:jc w:val="both"/>
        <w:ind w:firstLine="2254"/>
        <w:spacing w:after="0" w:line="256" w:lineRule="auto"/>
        <w:tabs>
          <w:tab w:leader="none" w:pos="2546" w:val="left"/>
        </w:tabs>
        <w:numPr>
          <w:ilvl w:val="0"/>
          <w:numId w:val="96"/>
        </w:numPr>
        <w:rPr>
          <w:rFonts w:ascii="Times New Roman" w:cs="Times New Roman" w:eastAsia="Times New Roman" w:hAnsi="Times New Roman"/>
          <w:sz w:val="19"/>
          <w:szCs w:val="19"/>
          <w:color w:val="00171E"/>
        </w:rPr>
      </w:pPr>
      <w:r>
        <w:rPr>
          <w:rFonts w:ascii="Times New Roman" w:cs="Times New Roman" w:eastAsia="Times New Roman" w:hAnsi="Times New Roman"/>
          <w:sz w:val="19"/>
          <w:szCs w:val="19"/>
          <w:color w:val="00171E"/>
        </w:rPr>
        <w:t>A change in the ownership of the Company which occurs on the date that any one person, or more than one person acting as a group (“</w:t>
      </w:r>
      <w:r>
        <w:rPr>
          <w:rFonts w:ascii="Times New Roman" w:cs="Times New Roman" w:eastAsia="Times New Roman" w:hAnsi="Times New Roman"/>
          <w:sz w:val="19"/>
          <w:szCs w:val="19"/>
          <w:u w:val="single" w:color="auto"/>
          <w:color w:val="00171E"/>
        </w:rPr>
        <w:t>Person</w:t>
      </w:r>
      <w:r>
        <w:rPr>
          <w:rFonts w:ascii="Times New Roman" w:cs="Times New Roman" w:eastAsia="Times New Roman" w:hAnsi="Times New Roman"/>
          <w:sz w:val="19"/>
          <w:szCs w:val="19"/>
          <w:color w:val="00171E"/>
        </w:rPr>
        <w:t>”), acquires ownership of the stock of the Company that, together with the stock held by such Person, constitutes more than fifty percent (50%) of the total voting power of the stock of the Company; provided, however, that for purposes of this clause (i), the acquisition of additional stock by any one Person, who is considered to own more than fifty percent (50%) of the total voting power of the stock of the Company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 Company, such event shall not be considered a Change in Control under this clause (i). For this purpose, indirect beneficial ownership shall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spacing w:after="0" w:line="177" w:lineRule="exact"/>
        <w:rPr>
          <w:rFonts w:ascii="Times New Roman" w:cs="Times New Roman" w:eastAsia="Times New Roman" w:hAnsi="Times New Roman"/>
          <w:sz w:val="19"/>
          <w:szCs w:val="19"/>
          <w:color w:val="00171E"/>
        </w:rPr>
      </w:pPr>
    </w:p>
    <w:p>
      <w:pPr>
        <w:jc w:val="both"/>
        <w:ind w:firstLine="2254"/>
        <w:spacing w:after="0" w:line="246" w:lineRule="auto"/>
        <w:tabs>
          <w:tab w:leader="none" w:pos="2546" w:val="left"/>
        </w:tabs>
        <w:numPr>
          <w:ilvl w:val="0"/>
          <w:numId w:val="96"/>
        </w:numPr>
        <w:rPr>
          <w:rFonts w:ascii="Times New Roman" w:cs="Times New Roman" w:eastAsia="Times New Roman" w:hAnsi="Times New Roman"/>
          <w:sz w:val="20"/>
          <w:szCs w:val="20"/>
          <w:color w:val="00171E"/>
        </w:rPr>
      </w:pPr>
      <w:r>
        <w:rPr>
          <w:rFonts w:ascii="Times New Roman" w:cs="Times New Roman" w:eastAsia="Times New Roman" w:hAnsi="Times New Roman"/>
          <w:sz w:val="20"/>
          <w:szCs w:val="20"/>
          <w:color w:val="00171E"/>
        </w:rPr>
        <w:t>A change in the effective control of the Company which occurs on the date that a majority of members of the Board is replaced during any twelve (12)-month period by members of the Board whose appointment or election is not endorsed by a majority of the members of the Board prior to the date of the appointment or election. For purposes of this clause (ii), if any Person is considered to be in effective control of the Company, the acquisition of additional control of the Company by the same Person will not be considered a Change in Control; or</w:t>
      </w:r>
    </w:p>
    <w:p>
      <w:pPr>
        <w:spacing w:after="0" w:line="185" w:lineRule="exact"/>
        <w:rPr>
          <w:sz w:val="20"/>
          <w:szCs w:val="20"/>
          <w:color w:val="auto"/>
        </w:rPr>
      </w:pPr>
    </w:p>
    <w:p>
      <w:pPr>
        <w:jc w:val="both"/>
        <w:ind w:firstLine="2246"/>
        <w:spacing w:after="0" w:line="256" w:lineRule="auto"/>
        <w:rPr>
          <w:sz w:val="20"/>
          <w:szCs w:val="20"/>
          <w:color w:val="auto"/>
        </w:rPr>
      </w:pPr>
      <w:r>
        <w:rPr>
          <w:rFonts w:ascii="Times New Roman" w:cs="Times New Roman" w:eastAsia="Times New Roman" w:hAnsi="Times New Roman"/>
          <w:sz w:val="19"/>
          <w:szCs w:val="19"/>
          <w:color w:val="00171E"/>
        </w:rPr>
        <w:t>(iii)A change in the ownership of a substantial portion of the Company’s assets which occurs on the date that any Person acquires (or has acquired during the twelve (12)-month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clause (iii),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fifty percent (50%) or more of the total value or voting power of which is owned, directly or indirectly, by the Company, (3) a Person, that owns, directly or indirectly, fifty percent (50%) or more of the total value or voting power of all the outstanding stock of the Company, or (4) an entity, at least fifty percent (50%) of the total value or voting power of which is owned, directly or indirectly, by a Person described in this clause (iii)(B)(3). For purposes of this clause (iii), gross fair market value means the value of the assets of the Company, or the value of the assets being disposed of, determined without regard to any liabilities associated with such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171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2"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6"/>
          <w:szCs w:val="16"/>
          <w:b w:val="1"/>
          <w:bCs w:val="1"/>
          <w:color w:val="auto"/>
        </w:rPr>
        <w:t>E</w:t>
      </w:r>
      <w:r>
        <w:rPr>
          <w:rFonts w:ascii="Times New Roman" w:cs="Times New Roman" w:eastAsia="Times New Roman" w:hAnsi="Times New Roman"/>
          <w:sz w:val="10"/>
          <w:szCs w:val="10"/>
          <w:b w:val="1"/>
          <w:bCs w:val="1"/>
          <w:color w:val="auto"/>
        </w:rPr>
        <w:t>xecutive</w:t>
      </w:r>
      <w:r>
        <w:rPr>
          <w:rFonts w:ascii="Times New Roman" w:cs="Times New Roman" w:eastAsia="Times New Roman" w:hAnsi="Times New Roman"/>
          <w:sz w:val="16"/>
          <w:szCs w:val="16"/>
          <w:b w:val="1"/>
          <w:bCs w:val="1"/>
          <w:color w:val="auto"/>
        </w:rPr>
        <w:t xml:space="preserve"> E</w:t>
      </w:r>
      <w:r>
        <w:rPr>
          <w:rFonts w:ascii="Times New Roman" w:cs="Times New Roman" w:eastAsia="Times New Roman" w:hAnsi="Times New Roman"/>
          <w:sz w:val="10"/>
          <w:szCs w:val="10"/>
          <w:b w:val="1"/>
          <w:bCs w:val="1"/>
          <w:color w:val="auto"/>
        </w:rPr>
        <w:t>mployment</w:t>
      </w:r>
      <w:r>
        <w:rPr>
          <w:rFonts w:ascii="Times New Roman" w:cs="Times New Roman" w:eastAsia="Times New Roman" w:hAnsi="Times New Roman"/>
          <w:sz w:val="16"/>
          <w:szCs w:val="16"/>
          <w:b w:val="1"/>
          <w:bCs w:val="1"/>
          <w:color w:val="auto"/>
        </w:rPr>
        <w:t xml:space="preserve"> A</w:t>
      </w:r>
      <w:r>
        <w:rPr>
          <w:rFonts w:ascii="Times New Roman" w:cs="Times New Roman" w:eastAsia="Times New Roman" w:hAnsi="Times New Roman"/>
          <w:sz w:val="10"/>
          <w:szCs w:val="10"/>
          <w:b w:val="1"/>
          <w:bCs w:val="1"/>
          <w:color w:val="auto"/>
        </w:rPr>
        <w:t>gmt</w:t>
      </w:r>
      <w:r>
        <w:rPr>
          <w:rFonts w:ascii="Times New Roman" w:cs="Times New Roman" w:eastAsia="Times New Roman" w:hAnsi="Times New Roman"/>
          <w:sz w:val="16"/>
          <w:szCs w:val="16"/>
          <w:b w:val="1"/>
          <w:bCs w:val="1"/>
          <w:color w:val="auto"/>
        </w:rPr>
        <w:t xml:space="preserve"> S</w:t>
      </w:r>
      <w:r>
        <w:rPr>
          <w:rFonts w:ascii="Times New Roman" w:cs="Times New Roman" w:eastAsia="Times New Roman" w:hAnsi="Times New Roman"/>
          <w:sz w:val="10"/>
          <w:szCs w:val="10"/>
          <w:b w:val="1"/>
          <w:bCs w:val="1"/>
          <w:color w:val="auto"/>
        </w:rPr>
        <w:t>td</w:t>
      </w:r>
      <w:r>
        <w:rPr>
          <w:rFonts w:ascii="Times New Roman" w:cs="Times New Roman" w:eastAsia="Times New Roman" w:hAnsi="Times New Roman"/>
          <w:sz w:val="16"/>
          <w:szCs w:val="16"/>
          <w:b w:val="1"/>
          <w:bCs w:val="1"/>
          <w:color w:val="auto"/>
        </w:rPr>
        <w:t xml:space="preserve"> 11.1.24</w:t>
      </w:r>
      <w:r>
        <w:rPr>
          <w:sz w:val="20"/>
          <w:szCs w:val="20"/>
          <w:color w:val="auto"/>
        </w:rPr>
        <w:tab/>
      </w:r>
      <w:r>
        <w:rPr>
          <w:rFonts w:ascii="Times New Roman" w:cs="Times New Roman" w:eastAsia="Times New Roman" w:hAnsi="Times New Roman"/>
          <w:sz w:val="16"/>
          <w:szCs w:val="16"/>
          <w:b w:val="1"/>
          <w:bCs w:val="1"/>
          <w:color w:val="auto"/>
        </w:rPr>
        <w:t>A</w:t>
      </w:r>
      <w:r>
        <w:rPr>
          <w:rFonts w:ascii="Times New Roman" w:cs="Times New Roman" w:eastAsia="Times New Roman" w:hAnsi="Times New Roman"/>
          <w:sz w:val="10"/>
          <w:szCs w:val="10"/>
          <w:b w:val="1"/>
          <w:bCs w:val="1"/>
          <w:color w:val="auto"/>
        </w:rPr>
        <w:t>ccuray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9</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NUMPAGES \* Arabic \* MERGEFORMAT 31</w:t>
      </w:r>
    </w:p>
    <w:p>
      <w:pPr>
        <w:spacing w:after="0" w:line="200" w:lineRule="exact"/>
        <w:rPr>
          <w:sz w:val="20"/>
          <w:szCs w:val="20"/>
          <w:color w:val="auto"/>
        </w:rPr>
      </w:pPr>
    </w:p>
    <w:p>
      <w:pPr>
        <w:spacing w:after="0" w:line="24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00171E"/>
        </w:rPr>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00171E"/>
        </w:rPr>
        <w:t>Notwithstanding the foregoing, a transaction will not be deemed a Change in Control unless the transaction qualifies as a change in control event within the meaning of Code Section 409A, as it has been and may be amended from time to time, and any proposed or final Treasury Regulations and Internal Revenue Service guidance that has been promulgated or may be promulgated thereunder from time to time.</w:t>
      </w:r>
    </w:p>
    <w:p>
      <w:pPr>
        <w:spacing w:after="0" w:line="1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00171E"/>
        </w:rPr>
        <w:t>Further and for the avoidance of doubt, a transaction will not constitute a Change in Control if: (i) its sole purpose is to change the state of the Company’s incorporation, or (ii) its sole purpose is to create a holding company that will be owned in substantially the same proportions by the persons who held the Company’s securities immediately before such transaction.</w:t>
      </w:r>
    </w:p>
    <w:p>
      <w:pPr>
        <w:spacing w:after="0" w:line="174"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00171E"/>
        </w:rPr>
        <w:t>As used in this Agreement, a “</w:t>
      </w:r>
      <w:r>
        <w:rPr>
          <w:rFonts w:ascii="Times New Roman" w:cs="Times New Roman" w:eastAsia="Times New Roman" w:hAnsi="Times New Roman"/>
          <w:sz w:val="20"/>
          <w:szCs w:val="20"/>
          <w:u w:val="single" w:color="auto"/>
          <w:color w:val="00171E"/>
        </w:rPr>
        <w:t>Change in Control Period</w:t>
      </w:r>
      <w:r>
        <w:rPr>
          <w:rFonts w:ascii="Times New Roman" w:cs="Times New Roman" w:eastAsia="Times New Roman" w:hAnsi="Times New Roman"/>
          <w:sz w:val="20"/>
          <w:szCs w:val="20"/>
          <w:color w:val="00171E"/>
        </w:rPr>
        <w:t>” shall mean the period beginning three (3) months prior to, and ending twenty-four (24) months following, a Change in Control.</w:t>
      </w:r>
    </w:p>
    <w:p>
      <w:pPr>
        <w:spacing w:after="0" w:line="159" w:lineRule="exact"/>
        <w:rPr>
          <w:sz w:val="20"/>
          <w:szCs w:val="20"/>
          <w:color w:val="auto"/>
        </w:rPr>
      </w:pPr>
    </w:p>
    <w:p>
      <w:pPr>
        <w:jc w:val="both"/>
        <w:ind w:firstLine="1505"/>
        <w:spacing w:after="0" w:line="244" w:lineRule="auto"/>
        <w:tabs>
          <w:tab w:leader="none" w:pos="2036" w:val="left"/>
        </w:tabs>
        <w:numPr>
          <w:ilvl w:val="1"/>
          <w:numId w:val="97"/>
        </w:numPr>
        <w:rPr>
          <w:rFonts w:ascii="Times New Roman" w:cs="Times New Roman" w:eastAsia="Times New Roman" w:hAnsi="Times New Roman"/>
          <w:sz w:val="20"/>
          <w:szCs w:val="20"/>
          <w:u w:val="single" w:color="auto"/>
          <w:color w:val="00171E"/>
        </w:rPr>
      </w:pPr>
      <w:r>
        <w:rPr>
          <w:rFonts w:ascii="Times New Roman" w:cs="Times New Roman" w:eastAsia="Times New Roman" w:hAnsi="Times New Roman"/>
          <w:sz w:val="20"/>
          <w:szCs w:val="20"/>
          <w:u w:val="single" w:color="auto"/>
          <w:color w:val="00171E"/>
        </w:rPr>
        <w:t>Voluntary Resignation without Good Reason</w:t>
      </w:r>
      <w:r>
        <w:rPr>
          <w:rFonts w:ascii="Times New Roman" w:cs="Times New Roman" w:eastAsia="Times New Roman" w:hAnsi="Times New Roman"/>
          <w:sz w:val="20"/>
          <w:szCs w:val="20"/>
          <w:color w:val="00171E"/>
        </w:rPr>
        <w:t xml:space="preserve">. Executive may terminate this Agreement without Good Reason effective on sixty (60) day’s written notice, unless the Company in its sole discretion accepts the resignation earlier. In the event that Executive resigns without Good Reason as defined above in </w:t>
      </w:r>
      <w:r>
        <w:rPr>
          <w:rFonts w:ascii="Times New Roman" w:cs="Times New Roman" w:eastAsia="Times New Roman" w:hAnsi="Times New Roman"/>
          <w:sz w:val="20"/>
          <w:szCs w:val="20"/>
          <w:u w:val="single" w:color="auto"/>
          <w:color w:val="00171E"/>
        </w:rPr>
        <w:t>Section 5(d)</w:t>
      </w:r>
      <w:r>
        <w:rPr>
          <w:rFonts w:ascii="Times New Roman" w:cs="Times New Roman" w:eastAsia="Times New Roman" w:hAnsi="Times New Roman"/>
          <w:sz w:val="20"/>
          <w:szCs w:val="20"/>
          <w:color w:val="00171E"/>
        </w:rPr>
        <w:t>, Executive will be entitled only to the Accrued Benefits through the termination date. The Company will have no further obligation to pay any compensation of any kind (including without limitation any bonus or portion of a bonus that otherwise may have become due and payable to Executive with respect to the year in which such termination date occurs unless he/she remains employed with the Company as of the date bonuses are paid to other senior executives of the Company), or severance payments of any kind.</w:t>
      </w:r>
    </w:p>
    <w:p>
      <w:pPr>
        <w:spacing w:after="0" w:line="185" w:lineRule="exact"/>
        <w:rPr>
          <w:rFonts w:ascii="Times New Roman" w:cs="Times New Roman" w:eastAsia="Times New Roman" w:hAnsi="Times New Roman"/>
          <w:sz w:val="20"/>
          <w:szCs w:val="20"/>
          <w:u w:val="single" w:color="auto"/>
          <w:color w:val="00171E"/>
        </w:rPr>
      </w:pPr>
    </w:p>
    <w:p>
      <w:pPr>
        <w:jc w:val="both"/>
        <w:ind w:firstLine="1505"/>
        <w:spacing w:after="0" w:line="241" w:lineRule="auto"/>
        <w:tabs>
          <w:tab w:leader="none" w:pos="2036" w:val="left"/>
        </w:tabs>
        <w:numPr>
          <w:ilvl w:val="1"/>
          <w:numId w:val="97"/>
        </w:numPr>
        <w:rPr>
          <w:rFonts w:ascii="Times New Roman" w:cs="Times New Roman" w:eastAsia="Times New Roman" w:hAnsi="Times New Roman"/>
          <w:sz w:val="20"/>
          <w:szCs w:val="20"/>
          <w:u w:val="single" w:color="auto"/>
          <w:color w:val="00171E"/>
        </w:rPr>
      </w:pPr>
      <w:r>
        <w:rPr>
          <w:rFonts w:ascii="Times New Roman" w:cs="Times New Roman" w:eastAsia="Times New Roman" w:hAnsi="Times New Roman"/>
          <w:sz w:val="20"/>
          <w:szCs w:val="20"/>
          <w:color w:val="00171E"/>
        </w:rPr>
        <w:t xml:space="preserve">If the Company determines in its sole discretion that it cannot make the COBRA reimbursements under </w:t>
      </w:r>
      <w:r>
        <w:rPr>
          <w:rFonts w:ascii="Times New Roman" w:cs="Times New Roman" w:eastAsia="Times New Roman" w:hAnsi="Times New Roman"/>
          <w:sz w:val="20"/>
          <w:szCs w:val="20"/>
          <w:u w:val="single" w:color="auto"/>
          <w:color w:val="00171E"/>
        </w:rPr>
        <w:t>Section</w:t>
      </w:r>
      <w:r>
        <w:rPr>
          <w:rFonts w:ascii="Times New Roman" w:cs="Times New Roman" w:eastAsia="Times New Roman" w:hAnsi="Times New Roman"/>
          <w:sz w:val="20"/>
          <w:szCs w:val="20"/>
          <w:color w:val="00171E"/>
        </w:rPr>
        <w:t xml:space="preserve"> </w:t>
      </w:r>
      <w:r>
        <w:rPr>
          <w:rFonts w:ascii="Times New Roman" w:cs="Times New Roman" w:eastAsia="Times New Roman" w:hAnsi="Times New Roman"/>
          <w:sz w:val="20"/>
          <w:szCs w:val="20"/>
          <w:u w:val="single" w:color="auto"/>
          <w:color w:val="00171E"/>
        </w:rPr>
        <w:t>5(a)(vi)</w:t>
      </w:r>
      <w:r>
        <w:rPr>
          <w:rFonts w:ascii="Times New Roman" w:cs="Times New Roman" w:eastAsia="Times New Roman" w:hAnsi="Times New Roman"/>
          <w:sz w:val="20"/>
          <w:szCs w:val="20"/>
          <w:color w:val="00171E"/>
        </w:rPr>
        <w:t xml:space="preserve"> or </w:t>
      </w:r>
      <w:r>
        <w:rPr>
          <w:rFonts w:ascii="Times New Roman" w:cs="Times New Roman" w:eastAsia="Times New Roman" w:hAnsi="Times New Roman"/>
          <w:sz w:val="20"/>
          <w:szCs w:val="20"/>
          <w:u w:val="single" w:color="auto"/>
          <w:color w:val="00171E"/>
        </w:rPr>
        <w:t>Section 5(e)(ii)</w:t>
      </w:r>
      <w:r>
        <w:rPr>
          <w:rFonts w:ascii="Times New Roman" w:cs="Times New Roman" w:eastAsia="Times New Roman" w:hAnsi="Times New Roman"/>
          <w:sz w:val="20"/>
          <w:szCs w:val="20"/>
          <w:color w:val="00171E"/>
        </w:rPr>
        <w:t xml:space="preserve"> (the “</w:t>
      </w:r>
      <w:r>
        <w:rPr>
          <w:rFonts w:ascii="Times New Roman" w:cs="Times New Roman" w:eastAsia="Times New Roman" w:hAnsi="Times New Roman"/>
          <w:sz w:val="20"/>
          <w:szCs w:val="20"/>
          <w:u w:val="single" w:color="auto"/>
          <w:color w:val="00171E"/>
        </w:rPr>
        <w:t>COBRA Reimbursements</w:t>
      </w:r>
      <w:r>
        <w:rPr>
          <w:rFonts w:ascii="Times New Roman" w:cs="Times New Roman" w:eastAsia="Times New Roman" w:hAnsi="Times New Roman"/>
          <w:sz w:val="20"/>
          <w:szCs w:val="20"/>
          <w:color w:val="00171E"/>
        </w:rPr>
        <w:t>”) without potentially violating applicable law (including, without limitation, Section 2716 of the Public Health Service Act), the Company will in lieu thereof provide to Executive a taxable monthly payment, payable on the last day of a given month, in an amount equal to the monthly COBRA premium that the Executive would be required to pay to continue the Executive’s group health coverage in effect on the termination of employment date (which amount will be based on the premium for the first month of COBRA continuation coverage), which payments will be made regardless of whether the Executive elects COBRA continuation coverage and will commence on the month following the Executive’s termination of employment and will end on the earlier of (x) the date upon which the Executive obtains other employment or (y) the date the Company has paid an amount equal to 12 payments. For the avoidance of doubt, such taxable payments in lieu of COBRA Reimbursements (the “</w:t>
      </w:r>
      <w:r>
        <w:rPr>
          <w:rFonts w:ascii="Times New Roman" w:cs="Times New Roman" w:eastAsia="Times New Roman" w:hAnsi="Times New Roman"/>
          <w:sz w:val="20"/>
          <w:szCs w:val="20"/>
          <w:u w:val="single" w:color="auto"/>
          <w:color w:val="00171E"/>
        </w:rPr>
        <w:t>COBRA Substitute Payments</w:t>
      </w:r>
      <w:r>
        <w:rPr>
          <w:rFonts w:ascii="Times New Roman" w:cs="Times New Roman" w:eastAsia="Times New Roman" w:hAnsi="Times New Roman"/>
          <w:sz w:val="20"/>
          <w:szCs w:val="20"/>
          <w:color w:val="00171E"/>
        </w:rPr>
        <w:t>”) may be used for any purpose, including, but not limited to continuation coverage under COBRA, and will be subject to all applicable tax withholding. Notwithstanding anything to the contrary under this Agreement, if at any time the Company determines in its sole discretion that it cannot provide the COBRA Substitute Payments without violating applicable law (including, without limitation, Section 2716 of the Public Health Service Act), Executive will not receive the COBRA Substitute Payments or any further COBRA Reimbursements.</w:t>
      </w:r>
    </w:p>
    <w:p>
      <w:pPr>
        <w:spacing w:after="0" w:line="193" w:lineRule="exact"/>
        <w:rPr>
          <w:rFonts w:ascii="Times New Roman" w:cs="Times New Roman" w:eastAsia="Times New Roman" w:hAnsi="Times New Roman"/>
          <w:sz w:val="20"/>
          <w:szCs w:val="20"/>
          <w:u w:val="single" w:color="auto"/>
          <w:color w:val="00171E"/>
        </w:rPr>
      </w:pPr>
    </w:p>
    <w:p>
      <w:pPr>
        <w:ind w:left="1020" w:hanging="263"/>
        <w:spacing w:after="0"/>
        <w:tabs>
          <w:tab w:leader="none" w:pos="1020" w:val="left"/>
        </w:tabs>
        <w:numPr>
          <w:ilvl w:val="0"/>
          <w:numId w:val="98"/>
        </w:numPr>
        <w:rPr>
          <w:rFonts w:ascii="Times New Roman" w:cs="Times New Roman" w:eastAsia="Times New Roman" w:hAnsi="Times New Roman"/>
          <w:sz w:val="20"/>
          <w:szCs w:val="20"/>
          <w:b w:val="1"/>
          <w:bCs w:val="1"/>
          <w:color w:val="00171E"/>
        </w:rPr>
      </w:pPr>
      <w:r>
        <w:rPr>
          <w:rFonts w:ascii="Times New Roman" w:cs="Times New Roman" w:eastAsia="Times New Roman" w:hAnsi="Times New Roman"/>
          <w:sz w:val="20"/>
          <w:szCs w:val="20"/>
          <w:b w:val="1"/>
          <w:bCs w:val="1"/>
          <w:color w:val="00171E"/>
        </w:rPr>
        <w:t>Proprietary Information Obligations.</w:t>
      </w:r>
    </w:p>
    <w:p>
      <w:pPr>
        <w:spacing w:after="0" w:line="219" w:lineRule="exact"/>
        <w:rPr>
          <w:rFonts w:ascii="Times New Roman" w:cs="Times New Roman" w:eastAsia="Times New Roman" w:hAnsi="Times New Roman"/>
          <w:sz w:val="20"/>
          <w:szCs w:val="20"/>
          <w:b w:val="1"/>
          <w:bCs w:val="1"/>
          <w:color w:val="00171E"/>
        </w:rPr>
      </w:pPr>
    </w:p>
    <w:p>
      <w:pPr>
        <w:jc w:val="both"/>
        <w:ind w:firstLine="1505"/>
        <w:spacing w:after="0" w:line="249" w:lineRule="auto"/>
        <w:tabs>
          <w:tab w:leader="none" w:pos="2036" w:val="left"/>
        </w:tabs>
        <w:numPr>
          <w:ilvl w:val="1"/>
          <w:numId w:val="98"/>
        </w:numPr>
        <w:rPr>
          <w:rFonts w:ascii="Times New Roman" w:cs="Times New Roman" w:eastAsia="Times New Roman" w:hAnsi="Times New Roman"/>
          <w:sz w:val="20"/>
          <w:szCs w:val="20"/>
          <w:u w:val="single" w:color="auto"/>
          <w:color w:val="00171E"/>
        </w:rPr>
      </w:pPr>
      <w:r>
        <w:rPr>
          <w:rFonts w:ascii="Times New Roman" w:cs="Times New Roman" w:eastAsia="Times New Roman" w:hAnsi="Times New Roman"/>
          <w:sz w:val="20"/>
          <w:szCs w:val="20"/>
          <w:u w:val="single" w:color="auto"/>
          <w:color w:val="00171E"/>
        </w:rPr>
        <w:t>Proprietary Information and Confidentiality</w:t>
      </w:r>
      <w:r>
        <w:rPr>
          <w:rFonts w:ascii="Times New Roman" w:cs="Times New Roman" w:eastAsia="Times New Roman" w:hAnsi="Times New Roman"/>
          <w:sz w:val="20"/>
          <w:szCs w:val="20"/>
          <w:color w:val="00171E"/>
        </w:rPr>
        <w:t>. Both before and during the term of Executive’s employment, Executive will have access to and become acquainted with Company confidential and proprietary information (together “</w:t>
      </w:r>
      <w:r>
        <w:rPr>
          <w:rFonts w:ascii="Times New Roman" w:cs="Times New Roman" w:eastAsia="Times New Roman" w:hAnsi="Times New Roman"/>
          <w:sz w:val="20"/>
          <w:szCs w:val="20"/>
          <w:u w:val="single" w:color="auto"/>
          <w:color w:val="00171E"/>
        </w:rPr>
        <w:t>Proprietary</w:t>
      </w:r>
      <w:r>
        <w:rPr>
          <w:rFonts w:ascii="Times New Roman" w:cs="Times New Roman" w:eastAsia="Times New Roman" w:hAnsi="Times New Roman"/>
          <w:sz w:val="20"/>
          <w:szCs w:val="20"/>
          <w:color w:val="00171E"/>
        </w:rPr>
        <w:t xml:space="preserve"> </w:t>
      </w:r>
      <w:r>
        <w:rPr>
          <w:rFonts w:ascii="Times New Roman" w:cs="Times New Roman" w:eastAsia="Times New Roman" w:hAnsi="Times New Roman"/>
          <w:sz w:val="20"/>
          <w:szCs w:val="20"/>
          <w:u w:val="single" w:color="auto"/>
          <w:color w:val="00171E"/>
        </w:rPr>
        <w:t>Information</w:t>
      </w:r>
      <w:r>
        <w:rPr>
          <w:rFonts w:ascii="Times New Roman" w:cs="Times New Roman" w:eastAsia="Times New Roman" w:hAnsi="Times New Roman"/>
          <w:sz w:val="20"/>
          <w:szCs w:val="20"/>
          <w:color w:val="00171E"/>
        </w:rPr>
        <w:t>”), including but not limited to information or plans concerning the Company’s products and technologies; customer relationships; sales, 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8"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6"/>
          <w:szCs w:val="16"/>
          <w:b w:val="1"/>
          <w:bCs w:val="1"/>
          <w:color w:val="auto"/>
        </w:rPr>
        <w:t>E</w:t>
      </w:r>
      <w:r>
        <w:rPr>
          <w:rFonts w:ascii="Times New Roman" w:cs="Times New Roman" w:eastAsia="Times New Roman" w:hAnsi="Times New Roman"/>
          <w:sz w:val="10"/>
          <w:szCs w:val="10"/>
          <w:b w:val="1"/>
          <w:bCs w:val="1"/>
          <w:color w:val="auto"/>
        </w:rPr>
        <w:t>xecutive</w:t>
      </w:r>
      <w:r>
        <w:rPr>
          <w:rFonts w:ascii="Times New Roman" w:cs="Times New Roman" w:eastAsia="Times New Roman" w:hAnsi="Times New Roman"/>
          <w:sz w:val="16"/>
          <w:szCs w:val="16"/>
          <w:b w:val="1"/>
          <w:bCs w:val="1"/>
          <w:color w:val="auto"/>
        </w:rPr>
        <w:t xml:space="preserve"> E</w:t>
      </w:r>
      <w:r>
        <w:rPr>
          <w:rFonts w:ascii="Times New Roman" w:cs="Times New Roman" w:eastAsia="Times New Roman" w:hAnsi="Times New Roman"/>
          <w:sz w:val="10"/>
          <w:szCs w:val="10"/>
          <w:b w:val="1"/>
          <w:bCs w:val="1"/>
          <w:color w:val="auto"/>
        </w:rPr>
        <w:t>mployment</w:t>
      </w:r>
      <w:r>
        <w:rPr>
          <w:rFonts w:ascii="Times New Roman" w:cs="Times New Roman" w:eastAsia="Times New Roman" w:hAnsi="Times New Roman"/>
          <w:sz w:val="16"/>
          <w:szCs w:val="16"/>
          <w:b w:val="1"/>
          <w:bCs w:val="1"/>
          <w:color w:val="auto"/>
        </w:rPr>
        <w:t xml:space="preserve"> A</w:t>
      </w:r>
      <w:r>
        <w:rPr>
          <w:rFonts w:ascii="Times New Roman" w:cs="Times New Roman" w:eastAsia="Times New Roman" w:hAnsi="Times New Roman"/>
          <w:sz w:val="10"/>
          <w:szCs w:val="10"/>
          <w:b w:val="1"/>
          <w:bCs w:val="1"/>
          <w:color w:val="auto"/>
        </w:rPr>
        <w:t>gmt</w:t>
      </w:r>
      <w:r>
        <w:rPr>
          <w:rFonts w:ascii="Times New Roman" w:cs="Times New Roman" w:eastAsia="Times New Roman" w:hAnsi="Times New Roman"/>
          <w:sz w:val="16"/>
          <w:szCs w:val="16"/>
          <w:b w:val="1"/>
          <w:bCs w:val="1"/>
          <w:color w:val="auto"/>
        </w:rPr>
        <w:t xml:space="preserve"> S</w:t>
      </w:r>
      <w:r>
        <w:rPr>
          <w:rFonts w:ascii="Times New Roman" w:cs="Times New Roman" w:eastAsia="Times New Roman" w:hAnsi="Times New Roman"/>
          <w:sz w:val="10"/>
          <w:szCs w:val="10"/>
          <w:b w:val="1"/>
          <w:bCs w:val="1"/>
          <w:color w:val="auto"/>
        </w:rPr>
        <w:t>td</w:t>
      </w:r>
      <w:r>
        <w:rPr>
          <w:rFonts w:ascii="Times New Roman" w:cs="Times New Roman" w:eastAsia="Times New Roman" w:hAnsi="Times New Roman"/>
          <w:sz w:val="16"/>
          <w:szCs w:val="16"/>
          <w:b w:val="1"/>
          <w:bCs w:val="1"/>
          <w:color w:val="auto"/>
        </w:rPr>
        <w:t xml:space="preserve"> 11.1.24</w:t>
      </w:r>
      <w:r>
        <w:rPr>
          <w:sz w:val="20"/>
          <w:szCs w:val="20"/>
          <w:color w:val="auto"/>
        </w:rPr>
        <w:tab/>
      </w:r>
      <w:r>
        <w:rPr>
          <w:rFonts w:ascii="Times New Roman" w:cs="Times New Roman" w:eastAsia="Times New Roman" w:hAnsi="Times New Roman"/>
          <w:sz w:val="16"/>
          <w:szCs w:val="16"/>
          <w:b w:val="1"/>
          <w:bCs w:val="1"/>
          <w:color w:val="auto"/>
        </w:rPr>
        <w:t>A</w:t>
      </w:r>
      <w:r>
        <w:rPr>
          <w:rFonts w:ascii="Times New Roman" w:cs="Times New Roman" w:eastAsia="Times New Roman" w:hAnsi="Times New Roman"/>
          <w:sz w:val="10"/>
          <w:szCs w:val="10"/>
          <w:b w:val="1"/>
          <w:bCs w:val="1"/>
          <w:color w:val="auto"/>
        </w:rPr>
        <w:t>ccuray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8" w:name="page109"/>
    <w:bookmarkEnd w:id="108"/>
    <w:p>
      <w:pPr>
        <w:ind w:left="6560"/>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10</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NUMPAGES \* Arabic \* MERGEFORMAT 31</w:t>
      </w:r>
    </w:p>
    <w:p>
      <w:pPr>
        <w:spacing w:after="0" w:line="200" w:lineRule="exact"/>
        <w:rPr>
          <w:sz w:val="20"/>
          <w:szCs w:val="20"/>
          <w:color w:val="auto"/>
        </w:rPr>
      </w:pPr>
    </w:p>
    <w:p>
      <w:pPr>
        <w:spacing w:after="0" w:line="24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00171E"/>
        </w:rPr>
        <w:t>and financial operations and methods; trade secrets; formulae and secret developments and inventions; processes; and other compilations of information, records, and specifications. Executive will not disclose any of the Proprietary Information directly or indirectly, or use it in any way, either during his/her employment pursuant to this Agreement or at any time thereafter, except as reasonably required in the course of his/her employment with the Company or as authorized in writing by the Company. Notwithstanding the foregoing, Proprietary Information does not include information that is otherwise publicly known or available, provided it has not become public as a result of a breach of this Agreement or any other agreement Executive has to keep information confidential. Proprietary Information does not include general knowledge, skill, and experience Executive acquires during the course of or in connection with Executive’s employment with the Company or a former employer. It is not a breach of this Agreement for Executive to disclose Proprietary Information (i) pursuant to an order of a court or other governmental or legal body or (ii) in connection with Protected Activity (as defined below). Executive understands that nothing in this Agreement shall in any way limit or prohibit Executive from engaging in any Protected Activity. For purposes of this Agreement, “</w:t>
      </w:r>
      <w:r>
        <w:rPr>
          <w:rFonts w:ascii="Times New Roman" w:cs="Times New Roman" w:eastAsia="Times New Roman" w:hAnsi="Times New Roman"/>
          <w:sz w:val="20"/>
          <w:szCs w:val="20"/>
          <w:u w:val="single" w:color="auto"/>
          <w:color w:val="00171E"/>
        </w:rPr>
        <w:t>Protected Activity</w:t>
      </w:r>
      <w:r>
        <w:rPr>
          <w:rFonts w:ascii="Times New Roman" w:cs="Times New Roman" w:eastAsia="Times New Roman" w:hAnsi="Times New Roman"/>
          <w:sz w:val="20"/>
          <w:szCs w:val="20"/>
          <w:color w:val="00171E"/>
        </w:rPr>
        <w:t>” includes filing and/or pursuing a charge or complaint with, or otherwise communicating or cooperating with or participating in any investigation or proceeding that may be conducted by, any federal, state or local government agency or commission, including the Securities and Exchange Commission, the Equal Employment Opportunity Commission, the Occupational Safety and Health Administration, and the National Labor Relations Board (“</w:t>
      </w:r>
      <w:r>
        <w:rPr>
          <w:rFonts w:ascii="Times New Roman" w:cs="Times New Roman" w:eastAsia="Times New Roman" w:hAnsi="Times New Roman"/>
          <w:sz w:val="20"/>
          <w:szCs w:val="20"/>
          <w:u w:val="single" w:color="auto"/>
          <w:color w:val="00171E"/>
        </w:rPr>
        <w:t>Government Agencies</w:t>
      </w:r>
      <w:r>
        <w:rPr>
          <w:rFonts w:ascii="Times New Roman" w:cs="Times New Roman" w:eastAsia="Times New Roman" w:hAnsi="Times New Roman"/>
          <w:sz w:val="20"/>
          <w:szCs w:val="20"/>
          <w:color w:val="00171E"/>
        </w:rPr>
        <w:t>”), including disclosing documents or other information as permitted by law. In addition, nothing in this Agreement, including its definition of Proprietary Information, prevents Executive from discussing or disclosing information about unlawful acts in the workplace, such as harassment or discrimination or any other conduct that Executive has reason to believe is unlawful. Notwithstanding the preceding, Executive agrees to take all reasonable precautions to prevent any unauthorized use or disclosure of any Company trade secrets, proprietary information, or confidential information that does not involve unlawful acts in the workplace or the activity otherwise protected herein. Executive understands that Executive is not permitted to disclose the Company’s attorney-client privileged communications or attorney work product. In addition, I hereby acknowledge that the Company has provided me with notice in compliance with the Defend Trade Secrets Act of 2016 regarding immunity from liability for limited disclosures of trade secrets. The full text of the notice is attached in Exhibit A. Finally, Executive understands that nothing in this Agreement, including its definition of Proprietary Information, (i) limits employees’ rights to discuss or disclose wages, benefits, or terms and conditions of employment as protected by applicable law, including any rights under Section 7 of the National Labor Relations Act, or (ii) otherwise impairs employees from assisting other Company employees and/or former employees in the exercise of their rights under Section 7 of the National Labor Relations Act.</w:t>
      </w:r>
    </w:p>
    <w:p>
      <w:pPr>
        <w:spacing w:after="0" w:line="204" w:lineRule="exact"/>
        <w:rPr>
          <w:sz w:val="20"/>
          <w:szCs w:val="20"/>
          <w:color w:val="auto"/>
        </w:rPr>
      </w:pPr>
    </w:p>
    <w:p>
      <w:pPr>
        <w:ind w:left="2040" w:hanging="535"/>
        <w:spacing w:after="0"/>
        <w:tabs>
          <w:tab w:leader="none" w:pos="2040" w:val="left"/>
        </w:tabs>
        <w:numPr>
          <w:ilvl w:val="0"/>
          <w:numId w:val="99"/>
        </w:numPr>
        <w:rPr>
          <w:rFonts w:ascii="Times New Roman" w:cs="Times New Roman" w:eastAsia="Times New Roman" w:hAnsi="Times New Roman"/>
          <w:sz w:val="20"/>
          <w:szCs w:val="20"/>
          <w:u w:val="single" w:color="auto"/>
          <w:color w:val="00171E"/>
        </w:rPr>
      </w:pPr>
      <w:r>
        <w:rPr>
          <w:rFonts w:ascii="Times New Roman" w:cs="Times New Roman" w:eastAsia="Times New Roman" w:hAnsi="Times New Roman"/>
          <w:sz w:val="20"/>
          <w:szCs w:val="20"/>
          <w:u w:val="single" w:color="auto"/>
          <w:color w:val="00171E"/>
        </w:rPr>
        <w:t>Inventions Agreement and Assignment</w:t>
      </w:r>
      <w:r>
        <w:rPr>
          <w:rFonts w:ascii="Times New Roman" w:cs="Times New Roman" w:eastAsia="Times New Roman" w:hAnsi="Times New Roman"/>
          <w:sz w:val="20"/>
          <w:szCs w:val="20"/>
          <w:color w:val="00171E"/>
        </w:rPr>
        <w:t>.</w:t>
      </w:r>
    </w:p>
    <w:p>
      <w:pPr>
        <w:spacing w:after="0" w:line="215" w:lineRule="exact"/>
        <w:rPr>
          <w:rFonts w:ascii="Times New Roman" w:cs="Times New Roman" w:eastAsia="Times New Roman" w:hAnsi="Times New Roman"/>
          <w:sz w:val="20"/>
          <w:szCs w:val="20"/>
          <w:u w:val="single" w:color="auto"/>
          <w:color w:val="00171E"/>
        </w:rPr>
      </w:pPr>
    </w:p>
    <w:p>
      <w:pPr>
        <w:jc w:val="both"/>
        <w:ind w:firstLine="2254"/>
        <w:spacing w:after="0" w:line="245" w:lineRule="auto"/>
        <w:tabs>
          <w:tab w:leader="none" w:pos="2546" w:val="left"/>
        </w:tabs>
        <w:numPr>
          <w:ilvl w:val="1"/>
          <w:numId w:val="99"/>
        </w:numPr>
        <w:rPr>
          <w:rFonts w:ascii="Times New Roman" w:cs="Times New Roman" w:eastAsia="Times New Roman" w:hAnsi="Times New Roman"/>
          <w:sz w:val="20"/>
          <w:szCs w:val="20"/>
          <w:color w:val="00171E"/>
        </w:rPr>
      </w:pPr>
      <w:r>
        <w:rPr>
          <w:rFonts w:ascii="Times New Roman" w:cs="Times New Roman" w:eastAsia="Times New Roman" w:hAnsi="Times New Roman"/>
          <w:sz w:val="20"/>
          <w:szCs w:val="20"/>
          <w:color w:val="00171E"/>
        </w:rPr>
        <w:t>Executive hereby agrees to disclose promptly to the Company (or any persons designated by it) all developments, designs, creations, improvements, original works of authorship, formulas, processes, know-how, techniques and/or inventions (collectively, the “</w:t>
      </w:r>
      <w:r>
        <w:rPr>
          <w:rFonts w:ascii="Times New Roman" w:cs="Times New Roman" w:eastAsia="Times New Roman" w:hAnsi="Times New Roman"/>
          <w:sz w:val="20"/>
          <w:szCs w:val="20"/>
          <w:u w:val="single" w:color="auto"/>
          <w:color w:val="00171E"/>
        </w:rPr>
        <w:t>Inventions</w:t>
      </w:r>
      <w:r>
        <w:rPr>
          <w:rFonts w:ascii="Times New Roman" w:cs="Times New Roman" w:eastAsia="Times New Roman" w:hAnsi="Times New Roman"/>
          <w:sz w:val="20"/>
          <w:szCs w:val="20"/>
          <w:color w:val="00171E"/>
        </w:rPr>
        <w:t>”) (A) which are made or conceived or reduced to practice by Executive, either alone or jointly with others, in performing his/her duties during the period of Executive’s employment by the Company, that relate to or are useful in the business of the Company; or (B) which result from tasks assigned to Executive by the Company, or from Executive’s use of the premises or other resources owned, leased or contracted by the Company.</w:t>
      </w:r>
    </w:p>
    <w:p>
      <w:pPr>
        <w:spacing w:after="0" w:line="184" w:lineRule="exact"/>
        <w:rPr>
          <w:rFonts w:ascii="Times New Roman" w:cs="Times New Roman" w:eastAsia="Times New Roman" w:hAnsi="Times New Roman"/>
          <w:sz w:val="20"/>
          <w:szCs w:val="20"/>
          <w:color w:val="00171E"/>
        </w:rPr>
      </w:pPr>
    </w:p>
    <w:p>
      <w:pPr>
        <w:jc w:val="both"/>
        <w:ind w:firstLine="2254"/>
        <w:spacing w:after="0" w:line="246" w:lineRule="auto"/>
        <w:tabs>
          <w:tab w:leader="none" w:pos="2546" w:val="left"/>
        </w:tabs>
        <w:numPr>
          <w:ilvl w:val="1"/>
          <w:numId w:val="99"/>
        </w:numPr>
        <w:rPr>
          <w:rFonts w:ascii="Times New Roman" w:cs="Times New Roman" w:eastAsia="Times New Roman" w:hAnsi="Times New Roman"/>
          <w:sz w:val="20"/>
          <w:szCs w:val="20"/>
          <w:color w:val="00171E"/>
        </w:rPr>
      </w:pPr>
      <w:r>
        <w:rPr>
          <w:rFonts w:ascii="Times New Roman" w:cs="Times New Roman" w:eastAsia="Times New Roman" w:hAnsi="Times New Roman"/>
          <w:sz w:val="20"/>
          <w:szCs w:val="20"/>
          <w:color w:val="00171E"/>
        </w:rPr>
        <w:t>Executive agrees that all such Inventions which the Company in its discretion determines to be related to or useful in its business or its research or development, or which result from work performed by Executive for the Company, will be the sole and exclusive property of the Company and its assigns, and the Company and its assigns will have the right to use and/or to apply for patents, copyrights or other statutory or common law protections for such Inventions in any and all countries. Executive further agrees to assist the Company in every reasonable way (but at the Company’s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191770</wp:posOffset>
            </wp:positionV>
            <wp:extent cx="7132320" cy="171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93"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6"/>
          <w:szCs w:val="16"/>
          <w:b w:val="1"/>
          <w:bCs w:val="1"/>
          <w:color w:val="auto"/>
        </w:rPr>
        <w:t>E</w:t>
      </w:r>
      <w:r>
        <w:rPr>
          <w:rFonts w:ascii="Times New Roman" w:cs="Times New Roman" w:eastAsia="Times New Roman" w:hAnsi="Times New Roman"/>
          <w:sz w:val="10"/>
          <w:szCs w:val="10"/>
          <w:b w:val="1"/>
          <w:bCs w:val="1"/>
          <w:color w:val="auto"/>
        </w:rPr>
        <w:t>xecutive</w:t>
      </w:r>
      <w:r>
        <w:rPr>
          <w:rFonts w:ascii="Times New Roman" w:cs="Times New Roman" w:eastAsia="Times New Roman" w:hAnsi="Times New Roman"/>
          <w:sz w:val="16"/>
          <w:szCs w:val="16"/>
          <w:b w:val="1"/>
          <w:bCs w:val="1"/>
          <w:color w:val="auto"/>
        </w:rPr>
        <w:t xml:space="preserve"> E</w:t>
      </w:r>
      <w:r>
        <w:rPr>
          <w:rFonts w:ascii="Times New Roman" w:cs="Times New Roman" w:eastAsia="Times New Roman" w:hAnsi="Times New Roman"/>
          <w:sz w:val="10"/>
          <w:szCs w:val="10"/>
          <w:b w:val="1"/>
          <w:bCs w:val="1"/>
          <w:color w:val="auto"/>
        </w:rPr>
        <w:t>mployment</w:t>
      </w:r>
      <w:r>
        <w:rPr>
          <w:rFonts w:ascii="Times New Roman" w:cs="Times New Roman" w:eastAsia="Times New Roman" w:hAnsi="Times New Roman"/>
          <w:sz w:val="16"/>
          <w:szCs w:val="16"/>
          <w:b w:val="1"/>
          <w:bCs w:val="1"/>
          <w:color w:val="auto"/>
        </w:rPr>
        <w:t xml:space="preserve"> A</w:t>
      </w:r>
      <w:r>
        <w:rPr>
          <w:rFonts w:ascii="Times New Roman" w:cs="Times New Roman" w:eastAsia="Times New Roman" w:hAnsi="Times New Roman"/>
          <w:sz w:val="10"/>
          <w:szCs w:val="10"/>
          <w:b w:val="1"/>
          <w:bCs w:val="1"/>
          <w:color w:val="auto"/>
        </w:rPr>
        <w:t>gmt</w:t>
      </w:r>
      <w:r>
        <w:rPr>
          <w:rFonts w:ascii="Times New Roman" w:cs="Times New Roman" w:eastAsia="Times New Roman" w:hAnsi="Times New Roman"/>
          <w:sz w:val="16"/>
          <w:szCs w:val="16"/>
          <w:b w:val="1"/>
          <w:bCs w:val="1"/>
          <w:color w:val="auto"/>
        </w:rPr>
        <w:t xml:space="preserve"> S</w:t>
      </w:r>
      <w:r>
        <w:rPr>
          <w:rFonts w:ascii="Times New Roman" w:cs="Times New Roman" w:eastAsia="Times New Roman" w:hAnsi="Times New Roman"/>
          <w:sz w:val="10"/>
          <w:szCs w:val="10"/>
          <w:b w:val="1"/>
          <w:bCs w:val="1"/>
          <w:color w:val="auto"/>
        </w:rPr>
        <w:t>td</w:t>
      </w:r>
      <w:r>
        <w:rPr>
          <w:rFonts w:ascii="Times New Roman" w:cs="Times New Roman" w:eastAsia="Times New Roman" w:hAnsi="Times New Roman"/>
          <w:sz w:val="16"/>
          <w:szCs w:val="16"/>
          <w:b w:val="1"/>
          <w:bCs w:val="1"/>
          <w:color w:val="auto"/>
        </w:rPr>
        <w:t xml:space="preserve"> 11.1.24</w:t>
      </w:r>
      <w:r>
        <w:rPr>
          <w:sz w:val="20"/>
          <w:szCs w:val="20"/>
          <w:color w:val="auto"/>
        </w:rPr>
        <w:tab/>
      </w:r>
      <w:r>
        <w:rPr>
          <w:rFonts w:ascii="Times New Roman" w:cs="Times New Roman" w:eastAsia="Times New Roman" w:hAnsi="Times New Roman"/>
          <w:sz w:val="16"/>
          <w:szCs w:val="16"/>
          <w:b w:val="1"/>
          <w:bCs w:val="1"/>
          <w:color w:val="auto"/>
        </w:rPr>
        <w:t>A</w:t>
      </w:r>
      <w:r>
        <w:rPr>
          <w:rFonts w:ascii="Times New Roman" w:cs="Times New Roman" w:eastAsia="Times New Roman" w:hAnsi="Times New Roman"/>
          <w:sz w:val="10"/>
          <w:szCs w:val="10"/>
          <w:b w:val="1"/>
          <w:bCs w:val="1"/>
          <w:color w:val="auto"/>
        </w:rPr>
        <w:t>ccuray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11</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NUMPAGES \* Arabic \* MERGEFORMAT 31</w:t>
      </w:r>
    </w:p>
    <w:p>
      <w:pPr>
        <w:spacing w:after="0" w:line="200" w:lineRule="exact"/>
        <w:rPr>
          <w:sz w:val="20"/>
          <w:szCs w:val="20"/>
          <w:color w:val="auto"/>
        </w:rPr>
      </w:pPr>
    </w:p>
    <w:p>
      <w:pPr>
        <w:spacing w:after="0" w:line="24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00171E"/>
        </w:rPr>
        <w:t xml:space="preserve">expense) to obtain and from time to time enforce patents, copyrights and other statutory or common law protections for such Inventions in any and all countries. To that end, Executive will execute all documents for use in applying for and obtaining such patents, copyrights and other statutory or common law protections therefor and enforcing the same, as the Company may desire, together with any assignments thereof to the Company or to persons or entities designated by the Company. Should the Company be unable to secure Executive’s signature on any document necessary to apply for, prosecute, obtain, or enforce any patent, copyright or other right or protection relating to any Invention, whether due to his/her mental or physical incapacity or any other cause, Executive hereby irrevocably designates and appoints the Company and each of its duly authorized officers and agents as Executive’s agent and attorney-in-fact, to act for and in his/her behalf and stead, to execute and file any such document, and to do all other lawfully permitted acts to further the prosecution, issuance, and enforcement of patents, copyrights or other rights or protections with the same force and effect as if executed and delivered by Executive. Executive’s obligations under this </w:t>
      </w:r>
      <w:r>
        <w:rPr>
          <w:rFonts w:ascii="Times New Roman" w:cs="Times New Roman" w:eastAsia="Times New Roman" w:hAnsi="Times New Roman"/>
          <w:sz w:val="20"/>
          <w:szCs w:val="20"/>
          <w:u w:val="single" w:color="auto"/>
          <w:color w:val="00171E"/>
        </w:rPr>
        <w:t>Section 6(b)(ii)</w:t>
      </w:r>
      <w:r>
        <w:rPr>
          <w:rFonts w:ascii="Times New Roman" w:cs="Times New Roman" w:eastAsia="Times New Roman" w:hAnsi="Times New Roman"/>
          <w:sz w:val="20"/>
          <w:szCs w:val="20"/>
          <w:color w:val="00171E"/>
        </w:rPr>
        <w:t xml:space="preserve"> will continue beyond the termination of Executive’s employment with the Company, but the Company will compensate Executive at a reasonable rate after such termination for time actually spent by Executive at the Company’s request in providing such assistance.</w:t>
      </w:r>
    </w:p>
    <w:p>
      <w:pPr>
        <w:spacing w:after="0" w:line="187" w:lineRule="exact"/>
        <w:rPr>
          <w:sz w:val="20"/>
          <w:szCs w:val="20"/>
          <w:color w:val="auto"/>
        </w:rPr>
      </w:pPr>
    </w:p>
    <w:p>
      <w:pPr>
        <w:jc w:val="both"/>
        <w:ind w:firstLine="2246"/>
        <w:spacing w:after="0" w:line="254" w:lineRule="auto"/>
        <w:rPr>
          <w:sz w:val="20"/>
          <w:szCs w:val="20"/>
          <w:color w:val="auto"/>
        </w:rPr>
      </w:pPr>
      <w:r>
        <w:rPr>
          <w:rFonts w:ascii="Times New Roman" w:cs="Times New Roman" w:eastAsia="Times New Roman" w:hAnsi="Times New Roman"/>
          <w:sz w:val="20"/>
          <w:szCs w:val="20"/>
          <w:color w:val="00171E"/>
        </w:rPr>
        <w:t>(iii)Executive hereby acknowledges that all original works of authorship which are made by Executive (solely or jointly with others) within the scope of Executive’s employment which are protectable by copyright are “works for hire,” as that term is defined in the United States Copyright Act (17 USCA, Section 101).</w:t>
      </w:r>
    </w:p>
    <w:p>
      <w:pPr>
        <w:spacing w:after="0" w:line="17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00171E"/>
        </w:rPr>
        <w:t>(iv)Any provision in this Agreement requiring Executive to assign Executive’s rights in any Invention to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171E"/>
        </w:rPr>
        <w:t>Company will not apply to any invention that is exempt under the provisions of California Labor Code section 2870, which provides:</w:t>
      </w:r>
    </w:p>
    <w:p>
      <w:pPr>
        <w:spacing w:after="0" w:line="86" w:lineRule="exact"/>
        <w:rPr>
          <w:sz w:val="20"/>
          <w:szCs w:val="20"/>
          <w:color w:val="auto"/>
        </w:rPr>
      </w:pPr>
    </w:p>
    <w:p>
      <w:pPr>
        <w:jc w:val="both"/>
        <w:ind w:left="1500" w:right="1500"/>
        <w:spacing w:after="0" w:line="242" w:lineRule="auto"/>
        <w:rPr>
          <w:sz w:val="20"/>
          <w:szCs w:val="20"/>
          <w:color w:val="auto"/>
        </w:rPr>
      </w:pPr>
      <w:r>
        <w:rPr>
          <w:rFonts w:ascii="Times New Roman" w:cs="Times New Roman" w:eastAsia="Times New Roman" w:hAnsi="Times New Roman"/>
          <w:sz w:val="20"/>
          <w:szCs w:val="20"/>
          <w:color w:val="00171E"/>
        </w:rPr>
        <w:t>“(a) Any provision in an employment agreement which provides that an employee shall assign, or offer to assign, any of his or her rights in an invention to his or her employer shall not apply to an invention that the employee developed entirely on his or her own time without using the employer’s equipment, supplies, facilities, or trade secret information except for those inventions that either: (1) relate at the time of conception or reduction to practice of the invention to the employer’s business, or actual or demonstrably anticipated research or development of the employer; or (2) result from any work performed by the employee for the employer. (b) To the extent a provision in an employment agreement purports to require an employee to assign an invention otherwise excluded from being required to be assigned under subdivision (a), the provision is against the public policy of this state and is unenforceable.”</w:t>
      </w:r>
    </w:p>
    <w:p>
      <w:pPr>
        <w:spacing w:after="0" w:line="84" w:lineRule="exact"/>
        <w:rPr>
          <w:sz w:val="20"/>
          <w:szCs w:val="20"/>
          <w:color w:val="auto"/>
        </w:rPr>
      </w:pPr>
    </w:p>
    <w:p>
      <w:pPr>
        <w:jc w:val="both"/>
        <w:ind w:firstLine="1505"/>
        <w:spacing w:after="0" w:line="242" w:lineRule="auto"/>
        <w:tabs>
          <w:tab w:leader="none" w:pos="2036" w:val="left"/>
        </w:tabs>
        <w:numPr>
          <w:ilvl w:val="0"/>
          <w:numId w:val="100"/>
        </w:numPr>
        <w:rPr>
          <w:rFonts w:ascii="Times New Roman" w:cs="Times New Roman" w:eastAsia="Times New Roman" w:hAnsi="Times New Roman"/>
          <w:sz w:val="20"/>
          <w:szCs w:val="20"/>
          <w:u w:val="single" w:color="auto"/>
          <w:color w:val="00171E"/>
        </w:rPr>
      </w:pPr>
      <w:r>
        <w:rPr>
          <w:rFonts w:ascii="Times New Roman" w:cs="Times New Roman" w:eastAsia="Times New Roman" w:hAnsi="Times New Roman"/>
          <w:sz w:val="20"/>
          <w:szCs w:val="20"/>
          <w:u w:val="single" w:color="auto"/>
          <w:color w:val="00171E"/>
        </w:rPr>
        <w:t>Non-Solicitation of Customers and Other Business Partners</w:t>
      </w:r>
      <w:r>
        <w:rPr>
          <w:rFonts w:ascii="Times New Roman" w:cs="Times New Roman" w:eastAsia="Times New Roman" w:hAnsi="Times New Roman"/>
          <w:sz w:val="20"/>
          <w:szCs w:val="20"/>
          <w:color w:val="00171E"/>
        </w:rPr>
        <w:t xml:space="preserve">. Executive recognizes that by virtue of his/her employment with the Company, he/she will be introduced to and involved in the solicitation and servicing of existing customers and other business partners of the Company and new customers and business partners obtained by the Company during his/her employment. Executive understands and agrees that all efforts expended in soliciting and servicing such customers and business partners shall be for the benefit of the Company. Executive further agrees that during his/her employment with the Company he/she will not engage in any conduct which could in any way jeopardize or disturb any of the customer and business partner relationships of the Company. In addition, to the extent permitted under applicable law, Executive agrees that, for a period beginning on the Effective Date and ending twelve (12) months after termination of Executive’s employment with the Company, regardless of the reason for such termination, Executive </w:t>
      </w:r>
      <w:r>
        <w:rPr>
          <w:rFonts w:ascii="Times New Roman" w:cs="Times New Roman" w:eastAsia="Times New Roman" w:hAnsi="Times New Roman"/>
          <w:sz w:val="20"/>
          <w:szCs w:val="20"/>
          <w:b w:val="1"/>
          <w:bCs w:val="1"/>
          <w:color w:val="00171E"/>
        </w:rPr>
        <w:t>shall not use any</w:t>
      </w:r>
      <w:r>
        <w:rPr>
          <w:rFonts w:ascii="Times New Roman" w:cs="Times New Roman" w:eastAsia="Times New Roman" w:hAnsi="Times New Roman"/>
          <w:sz w:val="20"/>
          <w:szCs w:val="20"/>
          <w:color w:val="00171E"/>
        </w:rPr>
        <w:t xml:space="preserve"> </w:t>
      </w:r>
      <w:r>
        <w:rPr>
          <w:rFonts w:ascii="Times New Roman" w:cs="Times New Roman" w:eastAsia="Times New Roman" w:hAnsi="Times New Roman"/>
          <w:sz w:val="20"/>
          <w:szCs w:val="20"/>
          <w:b w:val="1"/>
          <w:bCs w:val="1"/>
          <w:color w:val="00171E"/>
        </w:rPr>
        <w:t>Proprietary Information to</w:t>
      </w:r>
      <w:r>
        <w:rPr>
          <w:rFonts w:ascii="Times New Roman" w:cs="Times New Roman" w:eastAsia="Times New Roman" w:hAnsi="Times New Roman"/>
          <w:sz w:val="20"/>
          <w:szCs w:val="20"/>
          <w:color w:val="00171E"/>
        </w:rPr>
        <w:t>, directly or indirectly, solicit, direct, interfere with, or entice away from the Company any existing customer,</w:t>
      </w:r>
      <w:r>
        <w:rPr>
          <w:rFonts w:ascii="Times New Roman" w:cs="Times New Roman" w:eastAsia="Times New Roman" w:hAnsi="Times New Roman"/>
          <w:sz w:val="20"/>
          <w:szCs w:val="20"/>
          <w:b w:val="1"/>
          <w:bCs w:val="1"/>
          <w:color w:val="00171E"/>
        </w:rPr>
        <w:t xml:space="preserve"> </w:t>
      </w:r>
      <w:r>
        <w:rPr>
          <w:rFonts w:ascii="Times New Roman" w:cs="Times New Roman" w:eastAsia="Times New Roman" w:hAnsi="Times New Roman"/>
          <w:sz w:val="20"/>
          <w:szCs w:val="20"/>
          <w:color w:val="00171E"/>
        </w:rPr>
        <w:t>licensee, licensor, vendor,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132320" cy="171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1"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6"/>
          <w:szCs w:val="16"/>
          <w:b w:val="1"/>
          <w:bCs w:val="1"/>
          <w:color w:val="auto"/>
        </w:rPr>
        <w:t>E</w:t>
      </w:r>
      <w:r>
        <w:rPr>
          <w:rFonts w:ascii="Times New Roman" w:cs="Times New Roman" w:eastAsia="Times New Roman" w:hAnsi="Times New Roman"/>
          <w:sz w:val="10"/>
          <w:szCs w:val="10"/>
          <w:b w:val="1"/>
          <w:bCs w:val="1"/>
          <w:color w:val="auto"/>
        </w:rPr>
        <w:t>xecutive</w:t>
      </w:r>
      <w:r>
        <w:rPr>
          <w:rFonts w:ascii="Times New Roman" w:cs="Times New Roman" w:eastAsia="Times New Roman" w:hAnsi="Times New Roman"/>
          <w:sz w:val="16"/>
          <w:szCs w:val="16"/>
          <w:b w:val="1"/>
          <w:bCs w:val="1"/>
          <w:color w:val="auto"/>
        </w:rPr>
        <w:t xml:space="preserve"> E</w:t>
      </w:r>
      <w:r>
        <w:rPr>
          <w:rFonts w:ascii="Times New Roman" w:cs="Times New Roman" w:eastAsia="Times New Roman" w:hAnsi="Times New Roman"/>
          <w:sz w:val="10"/>
          <w:szCs w:val="10"/>
          <w:b w:val="1"/>
          <w:bCs w:val="1"/>
          <w:color w:val="auto"/>
        </w:rPr>
        <w:t>mployment</w:t>
      </w:r>
      <w:r>
        <w:rPr>
          <w:rFonts w:ascii="Times New Roman" w:cs="Times New Roman" w:eastAsia="Times New Roman" w:hAnsi="Times New Roman"/>
          <w:sz w:val="16"/>
          <w:szCs w:val="16"/>
          <w:b w:val="1"/>
          <w:bCs w:val="1"/>
          <w:color w:val="auto"/>
        </w:rPr>
        <w:t xml:space="preserve"> A</w:t>
      </w:r>
      <w:r>
        <w:rPr>
          <w:rFonts w:ascii="Times New Roman" w:cs="Times New Roman" w:eastAsia="Times New Roman" w:hAnsi="Times New Roman"/>
          <w:sz w:val="10"/>
          <w:szCs w:val="10"/>
          <w:b w:val="1"/>
          <w:bCs w:val="1"/>
          <w:color w:val="auto"/>
        </w:rPr>
        <w:t>gmt</w:t>
      </w:r>
      <w:r>
        <w:rPr>
          <w:rFonts w:ascii="Times New Roman" w:cs="Times New Roman" w:eastAsia="Times New Roman" w:hAnsi="Times New Roman"/>
          <w:sz w:val="16"/>
          <w:szCs w:val="16"/>
          <w:b w:val="1"/>
          <w:bCs w:val="1"/>
          <w:color w:val="auto"/>
        </w:rPr>
        <w:t xml:space="preserve"> S</w:t>
      </w:r>
      <w:r>
        <w:rPr>
          <w:rFonts w:ascii="Times New Roman" w:cs="Times New Roman" w:eastAsia="Times New Roman" w:hAnsi="Times New Roman"/>
          <w:sz w:val="10"/>
          <w:szCs w:val="10"/>
          <w:b w:val="1"/>
          <w:bCs w:val="1"/>
          <w:color w:val="auto"/>
        </w:rPr>
        <w:t>td</w:t>
      </w:r>
      <w:r>
        <w:rPr>
          <w:rFonts w:ascii="Times New Roman" w:cs="Times New Roman" w:eastAsia="Times New Roman" w:hAnsi="Times New Roman"/>
          <w:sz w:val="16"/>
          <w:szCs w:val="16"/>
          <w:b w:val="1"/>
          <w:bCs w:val="1"/>
          <w:color w:val="auto"/>
        </w:rPr>
        <w:t xml:space="preserve"> 11.1.24</w:t>
      </w:r>
      <w:r>
        <w:rPr>
          <w:sz w:val="20"/>
          <w:szCs w:val="20"/>
          <w:color w:val="auto"/>
        </w:rPr>
        <w:tab/>
      </w:r>
      <w:r>
        <w:rPr>
          <w:rFonts w:ascii="Times New Roman" w:cs="Times New Roman" w:eastAsia="Times New Roman" w:hAnsi="Times New Roman"/>
          <w:sz w:val="16"/>
          <w:szCs w:val="16"/>
          <w:b w:val="1"/>
          <w:bCs w:val="1"/>
          <w:color w:val="auto"/>
        </w:rPr>
        <w:t>A</w:t>
      </w:r>
      <w:r>
        <w:rPr>
          <w:rFonts w:ascii="Times New Roman" w:cs="Times New Roman" w:eastAsia="Times New Roman" w:hAnsi="Times New Roman"/>
          <w:sz w:val="10"/>
          <w:szCs w:val="10"/>
          <w:b w:val="1"/>
          <w:bCs w:val="1"/>
          <w:color w:val="auto"/>
        </w:rPr>
        <w:t>ccuray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12</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NUMPAGES \* Arabic \* MERGEFORMAT 31</w:t>
      </w:r>
    </w:p>
    <w:p>
      <w:pPr>
        <w:spacing w:after="0" w:line="200" w:lineRule="exact"/>
        <w:rPr>
          <w:sz w:val="20"/>
          <w:szCs w:val="20"/>
          <w:color w:val="auto"/>
        </w:rPr>
      </w:pPr>
    </w:p>
    <w:p>
      <w:pPr>
        <w:spacing w:after="0" w:line="24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00171E"/>
        </w:rPr>
        <w:t>contractor or distributor of the Company or for the customer or other business partner to expand its business with a competitor, without the prior written consent of the Company.</w:t>
      </w:r>
    </w:p>
    <w:p>
      <w:pPr>
        <w:spacing w:after="0" w:line="159" w:lineRule="exact"/>
        <w:rPr>
          <w:sz w:val="20"/>
          <w:szCs w:val="20"/>
          <w:color w:val="auto"/>
        </w:rPr>
      </w:pPr>
    </w:p>
    <w:p>
      <w:pPr>
        <w:jc w:val="both"/>
        <w:ind w:firstLine="1505"/>
        <w:spacing w:after="0" w:line="244" w:lineRule="auto"/>
        <w:tabs>
          <w:tab w:leader="none" w:pos="2036" w:val="left"/>
        </w:tabs>
        <w:numPr>
          <w:ilvl w:val="0"/>
          <w:numId w:val="101"/>
        </w:numPr>
        <w:rPr>
          <w:rFonts w:ascii="Times New Roman" w:cs="Times New Roman" w:eastAsia="Times New Roman" w:hAnsi="Times New Roman"/>
          <w:sz w:val="20"/>
          <w:szCs w:val="20"/>
          <w:u w:val="single" w:color="auto"/>
          <w:color w:val="00171E"/>
        </w:rPr>
      </w:pPr>
      <w:r>
        <w:rPr>
          <w:rFonts w:ascii="Times New Roman" w:cs="Times New Roman" w:eastAsia="Times New Roman" w:hAnsi="Times New Roman"/>
          <w:sz w:val="20"/>
          <w:szCs w:val="20"/>
          <w:u w:val="single" w:color="auto"/>
          <w:color w:val="00171E"/>
        </w:rPr>
        <w:t>Non-Solicitation of Employees</w:t>
      </w:r>
      <w:r>
        <w:rPr>
          <w:rFonts w:ascii="Times New Roman" w:cs="Times New Roman" w:eastAsia="Times New Roman" w:hAnsi="Times New Roman"/>
          <w:sz w:val="20"/>
          <w:szCs w:val="20"/>
          <w:color w:val="00171E"/>
        </w:rPr>
        <w:t xml:space="preserve">. Executive recognizes the substantial expenditure of time and effort which the Company devotes to the recruitment, hiring, orientation, training and retention of its employees. Accordingly, Executive agrees that, for a period beginning on the Effective Date and ending twelve (12) months after termination of Executive’s employment with the Company, regardless of the reason for such termination, Executive </w:t>
      </w:r>
      <w:r>
        <w:rPr>
          <w:rFonts w:ascii="Times New Roman" w:cs="Times New Roman" w:eastAsia="Times New Roman" w:hAnsi="Times New Roman"/>
          <w:sz w:val="20"/>
          <w:szCs w:val="20"/>
          <w:b w:val="1"/>
          <w:bCs w:val="1"/>
          <w:color w:val="00171E"/>
        </w:rPr>
        <w:t>shall not use any Proprietary Information to</w:t>
      </w:r>
      <w:r>
        <w:rPr>
          <w:rFonts w:ascii="Times New Roman" w:cs="Times New Roman" w:eastAsia="Times New Roman" w:hAnsi="Times New Roman"/>
          <w:sz w:val="20"/>
          <w:szCs w:val="20"/>
          <w:color w:val="00171E"/>
        </w:rPr>
        <w:t>, directly or indirectly, for himself or on behalf of any other person or entity, solicit, offer employment to, hire or otherwise retain the services of any employee of the Company in a position classified as exempt from overtime pay requirements. For purposes of the foregoing, “employee of the Company” shall include any person who was an employee of the Company at any time within six (6) months prior to the prohibited conduct.</w:t>
      </w:r>
    </w:p>
    <w:p>
      <w:pPr>
        <w:spacing w:after="0" w:line="185" w:lineRule="exact"/>
        <w:rPr>
          <w:rFonts w:ascii="Times New Roman" w:cs="Times New Roman" w:eastAsia="Times New Roman" w:hAnsi="Times New Roman"/>
          <w:sz w:val="20"/>
          <w:szCs w:val="20"/>
          <w:u w:val="single" w:color="auto"/>
          <w:color w:val="00171E"/>
        </w:rPr>
      </w:pPr>
    </w:p>
    <w:p>
      <w:pPr>
        <w:ind w:left="2040" w:hanging="535"/>
        <w:spacing w:after="0"/>
        <w:tabs>
          <w:tab w:leader="none" w:pos="2040" w:val="left"/>
        </w:tabs>
        <w:numPr>
          <w:ilvl w:val="0"/>
          <w:numId w:val="101"/>
        </w:numPr>
        <w:rPr>
          <w:rFonts w:ascii="Times New Roman" w:cs="Times New Roman" w:eastAsia="Times New Roman" w:hAnsi="Times New Roman"/>
          <w:sz w:val="20"/>
          <w:szCs w:val="20"/>
          <w:u w:val="single" w:color="auto"/>
          <w:color w:val="00171E"/>
        </w:rPr>
      </w:pPr>
      <w:r>
        <w:rPr>
          <w:rFonts w:ascii="Times New Roman" w:cs="Times New Roman" w:eastAsia="Times New Roman" w:hAnsi="Times New Roman"/>
          <w:sz w:val="20"/>
          <w:szCs w:val="20"/>
          <w:u w:val="single" w:color="auto"/>
          <w:color w:val="00171E"/>
        </w:rPr>
        <w:t>Company Property and Materials</w:t>
      </w:r>
      <w:r>
        <w:rPr>
          <w:rFonts w:ascii="Times New Roman" w:cs="Times New Roman" w:eastAsia="Times New Roman" w:hAnsi="Times New Roman"/>
          <w:sz w:val="20"/>
          <w:szCs w:val="20"/>
          <w:color w:val="00171E"/>
        </w:rPr>
        <w:t>.</w:t>
      </w:r>
    </w:p>
    <w:p>
      <w:pPr>
        <w:spacing w:after="0" w:line="215" w:lineRule="exact"/>
        <w:rPr>
          <w:rFonts w:ascii="Times New Roman" w:cs="Times New Roman" w:eastAsia="Times New Roman" w:hAnsi="Times New Roman"/>
          <w:sz w:val="20"/>
          <w:szCs w:val="20"/>
          <w:u w:val="single" w:color="auto"/>
          <w:color w:val="00171E"/>
        </w:rPr>
      </w:pPr>
    </w:p>
    <w:p>
      <w:pPr>
        <w:jc w:val="both"/>
        <w:ind w:firstLine="2254"/>
        <w:spacing w:after="0" w:line="249" w:lineRule="auto"/>
        <w:tabs>
          <w:tab w:leader="none" w:pos="2546" w:val="left"/>
        </w:tabs>
        <w:numPr>
          <w:ilvl w:val="1"/>
          <w:numId w:val="101"/>
        </w:numPr>
        <w:rPr>
          <w:rFonts w:ascii="Times New Roman" w:cs="Times New Roman" w:eastAsia="Times New Roman" w:hAnsi="Times New Roman"/>
          <w:sz w:val="20"/>
          <w:szCs w:val="20"/>
          <w:color w:val="00171E"/>
        </w:rPr>
      </w:pPr>
      <w:r>
        <w:rPr>
          <w:rFonts w:ascii="Times New Roman" w:cs="Times New Roman" w:eastAsia="Times New Roman" w:hAnsi="Times New Roman"/>
          <w:sz w:val="20"/>
          <w:szCs w:val="20"/>
          <w:color w:val="00171E"/>
        </w:rPr>
        <w:t>All files, records, documents, computer-recorded or electronic information, drawings, specifications, equipment, and similar items relating to Company business, whether prepared by Executive or otherwise coming into his/her possession, will remain the Company’s exclusive property and will not be removed from Company premises under any circumstances whatsoever without the Company’s prior written consent, except when, and only for the period, necessary to carry out Executive’s duties hereunder</w:t>
      </w:r>
    </w:p>
    <w:p>
      <w:pPr>
        <w:spacing w:after="0" w:line="179" w:lineRule="exact"/>
        <w:rPr>
          <w:rFonts w:ascii="Times New Roman" w:cs="Times New Roman" w:eastAsia="Times New Roman" w:hAnsi="Times New Roman"/>
          <w:sz w:val="20"/>
          <w:szCs w:val="20"/>
          <w:color w:val="00171E"/>
        </w:rPr>
      </w:pPr>
    </w:p>
    <w:p>
      <w:pPr>
        <w:jc w:val="both"/>
        <w:ind w:firstLine="2254"/>
        <w:spacing w:after="0" w:line="243" w:lineRule="auto"/>
        <w:tabs>
          <w:tab w:leader="none" w:pos="2546" w:val="left"/>
        </w:tabs>
        <w:numPr>
          <w:ilvl w:val="1"/>
          <w:numId w:val="101"/>
        </w:numPr>
        <w:rPr>
          <w:rFonts w:ascii="Times New Roman" w:cs="Times New Roman" w:eastAsia="Times New Roman" w:hAnsi="Times New Roman"/>
          <w:sz w:val="20"/>
          <w:szCs w:val="20"/>
          <w:color w:val="00171E"/>
        </w:rPr>
      </w:pPr>
      <w:r>
        <w:rPr>
          <w:rFonts w:ascii="Times New Roman" w:cs="Times New Roman" w:eastAsia="Times New Roman" w:hAnsi="Times New Roman"/>
          <w:sz w:val="20"/>
          <w:szCs w:val="20"/>
          <w:color w:val="00171E"/>
        </w:rPr>
        <w:t>In the event of termination of Executive’s employment for any reason, Executive will promptly deliver to the Company all Company equipment (including, without limitation, any cellular phones, beeper/pagers, computer hardware and software, fax machines and other tools of the trade) and all originals and copies of all documents, including without limitation, all books, customer lists, forms, documents supplied by customers, records, product lists, writings, manuals, reports, financial documents and other documents or property in Executive’s possession or control, which relate to the Company’s business in any way whatsoever, and in particular to customers of the Company, or which may be considered to constitute or contain Proprietary Information as defined above, and Executive will neither retain, reproduce, nor distribute copies thereof (other than copies of Executive’s electronic or hardcopy address and telephone contact data base or directories). Notwithstanding the foregoing, Executive shall be allowed to retain a copy of the Employee Handbook and personnel records relating to Executive’s employment.</w:t>
      </w:r>
    </w:p>
    <w:p>
      <w:pPr>
        <w:spacing w:after="0" w:line="185" w:lineRule="exact"/>
        <w:rPr>
          <w:rFonts w:ascii="Times New Roman" w:cs="Times New Roman" w:eastAsia="Times New Roman" w:hAnsi="Times New Roman"/>
          <w:sz w:val="20"/>
          <w:szCs w:val="20"/>
          <w:color w:val="00171E"/>
        </w:rPr>
      </w:pPr>
    </w:p>
    <w:p>
      <w:pPr>
        <w:jc w:val="both"/>
        <w:ind w:firstLine="1505"/>
        <w:spacing w:after="0" w:line="242" w:lineRule="auto"/>
        <w:tabs>
          <w:tab w:leader="none" w:pos="2036" w:val="left"/>
        </w:tabs>
        <w:numPr>
          <w:ilvl w:val="0"/>
          <w:numId w:val="101"/>
        </w:numPr>
        <w:rPr>
          <w:rFonts w:ascii="Times New Roman" w:cs="Times New Roman" w:eastAsia="Times New Roman" w:hAnsi="Times New Roman"/>
          <w:sz w:val="20"/>
          <w:szCs w:val="20"/>
          <w:u w:val="single" w:color="auto"/>
          <w:color w:val="00171E"/>
        </w:rPr>
      </w:pPr>
      <w:r>
        <w:rPr>
          <w:rFonts w:ascii="Times New Roman" w:cs="Times New Roman" w:eastAsia="Times New Roman" w:hAnsi="Times New Roman"/>
          <w:sz w:val="20"/>
          <w:szCs w:val="20"/>
          <w:u w:val="single" w:color="auto"/>
          <w:color w:val="00171E"/>
        </w:rPr>
        <w:t>Remedies for Breach</w:t>
      </w:r>
      <w:r>
        <w:rPr>
          <w:rFonts w:ascii="Times New Roman" w:cs="Times New Roman" w:eastAsia="Times New Roman" w:hAnsi="Times New Roman"/>
          <w:sz w:val="20"/>
          <w:szCs w:val="20"/>
          <w:color w:val="00171E"/>
        </w:rPr>
        <w:t xml:space="preserve">. Executive acknowledges that any breach by Executive of this </w:t>
      </w:r>
      <w:r>
        <w:rPr>
          <w:rFonts w:ascii="Times New Roman" w:cs="Times New Roman" w:eastAsia="Times New Roman" w:hAnsi="Times New Roman"/>
          <w:sz w:val="20"/>
          <w:szCs w:val="20"/>
          <w:u w:val="single" w:color="auto"/>
          <w:color w:val="00171E"/>
        </w:rPr>
        <w:t>Section 6</w:t>
      </w:r>
      <w:r>
        <w:rPr>
          <w:rFonts w:ascii="Times New Roman" w:cs="Times New Roman" w:eastAsia="Times New Roman" w:hAnsi="Times New Roman"/>
          <w:sz w:val="20"/>
          <w:szCs w:val="20"/>
          <w:color w:val="00171E"/>
        </w:rPr>
        <w:t xml:space="preserve"> would cause the Company irreparable injury and damage for which monetary damages are inadequate. Accordingly, in the event of a breach or a threatened breach of this </w:t>
      </w:r>
      <w:r>
        <w:rPr>
          <w:rFonts w:ascii="Times New Roman" w:cs="Times New Roman" w:eastAsia="Times New Roman" w:hAnsi="Times New Roman"/>
          <w:sz w:val="20"/>
          <w:szCs w:val="20"/>
          <w:u w:val="single" w:color="auto"/>
          <w:color w:val="00171E"/>
        </w:rPr>
        <w:t>Section 6</w:t>
      </w:r>
      <w:r>
        <w:rPr>
          <w:rFonts w:ascii="Times New Roman" w:cs="Times New Roman" w:eastAsia="Times New Roman" w:hAnsi="Times New Roman"/>
          <w:sz w:val="20"/>
          <w:szCs w:val="20"/>
          <w:color w:val="00171E"/>
        </w:rPr>
        <w:t xml:space="preserve">, the Company will be entitled to seek an injunction restraining such breach. In addition, in the event of a breach of this </w:t>
      </w:r>
      <w:r>
        <w:rPr>
          <w:rFonts w:ascii="Times New Roman" w:cs="Times New Roman" w:eastAsia="Times New Roman" w:hAnsi="Times New Roman"/>
          <w:sz w:val="20"/>
          <w:szCs w:val="20"/>
          <w:u w:val="single" w:color="auto"/>
          <w:color w:val="00171E"/>
        </w:rPr>
        <w:t>Section 6</w:t>
      </w:r>
      <w:r>
        <w:rPr>
          <w:rFonts w:ascii="Times New Roman" w:cs="Times New Roman" w:eastAsia="Times New Roman" w:hAnsi="Times New Roman"/>
          <w:sz w:val="20"/>
          <w:szCs w:val="20"/>
          <w:color w:val="00171E"/>
        </w:rPr>
        <w:t xml:space="preserve">, the Company’s obligation to pay any unpaid portion of the Severance Benefits, the Enhanced Severance Benefits, or the Termination Notice Replacement Payments of this Agreement will be extinguished. Nothing contained herein will be construed as prohibiting the Company from pursuing any other remedy available to the Company for such breach or such threatened breach. Executive has carefully read and considered these restrictions and agrees they are fair and reasonable restrictions on Executive and are reasonably required for the protection of the interests of the Company. Executive agrees not to circumvent the spirit of these restrictions by attempting to accomplish indirectly what Executive is otherwise restricted from doing directly. Executive agrees that the restrictions in this </w:t>
      </w:r>
      <w:r>
        <w:rPr>
          <w:rFonts w:ascii="Times New Roman" w:cs="Times New Roman" w:eastAsia="Times New Roman" w:hAnsi="Times New Roman"/>
          <w:sz w:val="20"/>
          <w:szCs w:val="20"/>
          <w:u w:val="single" w:color="auto"/>
          <w:color w:val="00171E"/>
        </w:rPr>
        <w:t>Section 6</w:t>
      </w:r>
      <w:r>
        <w:rPr>
          <w:rFonts w:ascii="Times New Roman" w:cs="Times New Roman" w:eastAsia="Times New Roman" w:hAnsi="Times New Roman"/>
          <w:sz w:val="20"/>
          <w:szCs w:val="20"/>
          <w:color w:val="00171E"/>
        </w:rPr>
        <w:t xml:space="preserve"> are reasonable and necessary to protect the Company’s Proprietary Information, and they do not prevent Executive from working in the medical device industry. Executive agrees that the covenants and agreements by Executive contained in this </w:t>
      </w:r>
      <w:r>
        <w:rPr>
          <w:rFonts w:ascii="Times New Roman" w:cs="Times New Roman" w:eastAsia="Times New Roman" w:hAnsi="Times New Roman"/>
          <w:sz w:val="20"/>
          <w:szCs w:val="20"/>
          <w:u w:val="single" w:color="auto"/>
          <w:color w:val="00171E"/>
        </w:rPr>
        <w:t>Section 6</w:t>
      </w:r>
      <w:r>
        <w:rPr>
          <w:rFonts w:ascii="Times New Roman" w:cs="Times New Roman" w:eastAsia="Times New Roman" w:hAnsi="Times New Roman"/>
          <w:sz w:val="20"/>
          <w:szCs w:val="20"/>
          <w:color w:val="00171E"/>
        </w:rPr>
        <w:t xml:space="preserve"> shall be in addition to any other agreements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132320" cy="171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96"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6"/>
          <w:szCs w:val="16"/>
          <w:b w:val="1"/>
          <w:bCs w:val="1"/>
          <w:color w:val="auto"/>
        </w:rPr>
        <w:t>E</w:t>
      </w:r>
      <w:r>
        <w:rPr>
          <w:rFonts w:ascii="Times New Roman" w:cs="Times New Roman" w:eastAsia="Times New Roman" w:hAnsi="Times New Roman"/>
          <w:sz w:val="10"/>
          <w:szCs w:val="10"/>
          <w:b w:val="1"/>
          <w:bCs w:val="1"/>
          <w:color w:val="auto"/>
        </w:rPr>
        <w:t>xecutive</w:t>
      </w:r>
      <w:r>
        <w:rPr>
          <w:rFonts w:ascii="Times New Roman" w:cs="Times New Roman" w:eastAsia="Times New Roman" w:hAnsi="Times New Roman"/>
          <w:sz w:val="16"/>
          <w:szCs w:val="16"/>
          <w:b w:val="1"/>
          <w:bCs w:val="1"/>
          <w:color w:val="auto"/>
        </w:rPr>
        <w:t xml:space="preserve"> E</w:t>
      </w:r>
      <w:r>
        <w:rPr>
          <w:rFonts w:ascii="Times New Roman" w:cs="Times New Roman" w:eastAsia="Times New Roman" w:hAnsi="Times New Roman"/>
          <w:sz w:val="10"/>
          <w:szCs w:val="10"/>
          <w:b w:val="1"/>
          <w:bCs w:val="1"/>
          <w:color w:val="auto"/>
        </w:rPr>
        <w:t>mployment</w:t>
      </w:r>
      <w:r>
        <w:rPr>
          <w:rFonts w:ascii="Times New Roman" w:cs="Times New Roman" w:eastAsia="Times New Roman" w:hAnsi="Times New Roman"/>
          <w:sz w:val="16"/>
          <w:szCs w:val="16"/>
          <w:b w:val="1"/>
          <w:bCs w:val="1"/>
          <w:color w:val="auto"/>
        </w:rPr>
        <w:t xml:space="preserve"> A</w:t>
      </w:r>
      <w:r>
        <w:rPr>
          <w:rFonts w:ascii="Times New Roman" w:cs="Times New Roman" w:eastAsia="Times New Roman" w:hAnsi="Times New Roman"/>
          <w:sz w:val="10"/>
          <w:szCs w:val="10"/>
          <w:b w:val="1"/>
          <w:bCs w:val="1"/>
          <w:color w:val="auto"/>
        </w:rPr>
        <w:t>gmt</w:t>
      </w:r>
      <w:r>
        <w:rPr>
          <w:rFonts w:ascii="Times New Roman" w:cs="Times New Roman" w:eastAsia="Times New Roman" w:hAnsi="Times New Roman"/>
          <w:sz w:val="16"/>
          <w:szCs w:val="16"/>
          <w:b w:val="1"/>
          <w:bCs w:val="1"/>
          <w:color w:val="auto"/>
        </w:rPr>
        <w:t xml:space="preserve"> S</w:t>
      </w:r>
      <w:r>
        <w:rPr>
          <w:rFonts w:ascii="Times New Roman" w:cs="Times New Roman" w:eastAsia="Times New Roman" w:hAnsi="Times New Roman"/>
          <w:sz w:val="10"/>
          <w:szCs w:val="10"/>
          <w:b w:val="1"/>
          <w:bCs w:val="1"/>
          <w:color w:val="auto"/>
        </w:rPr>
        <w:t>td</w:t>
      </w:r>
      <w:r>
        <w:rPr>
          <w:rFonts w:ascii="Times New Roman" w:cs="Times New Roman" w:eastAsia="Times New Roman" w:hAnsi="Times New Roman"/>
          <w:sz w:val="16"/>
          <w:szCs w:val="16"/>
          <w:b w:val="1"/>
          <w:bCs w:val="1"/>
          <w:color w:val="auto"/>
        </w:rPr>
        <w:t xml:space="preserve"> 11.1.24</w:t>
      </w:r>
      <w:r>
        <w:rPr>
          <w:sz w:val="20"/>
          <w:szCs w:val="20"/>
          <w:color w:val="auto"/>
        </w:rPr>
        <w:tab/>
      </w:r>
      <w:r>
        <w:rPr>
          <w:rFonts w:ascii="Times New Roman" w:cs="Times New Roman" w:eastAsia="Times New Roman" w:hAnsi="Times New Roman"/>
          <w:sz w:val="16"/>
          <w:szCs w:val="16"/>
          <w:b w:val="1"/>
          <w:bCs w:val="1"/>
          <w:color w:val="auto"/>
        </w:rPr>
        <w:t>A</w:t>
      </w:r>
      <w:r>
        <w:rPr>
          <w:rFonts w:ascii="Times New Roman" w:cs="Times New Roman" w:eastAsia="Times New Roman" w:hAnsi="Times New Roman"/>
          <w:sz w:val="10"/>
          <w:szCs w:val="10"/>
          <w:b w:val="1"/>
          <w:bCs w:val="1"/>
          <w:color w:val="auto"/>
        </w:rPr>
        <w:t>ccuray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13</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NUMPAGES \* Arabic \* MERGEFORMAT 31</w:t>
      </w:r>
    </w:p>
    <w:p>
      <w:pPr>
        <w:spacing w:after="0" w:line="200" w:lineRule="exact"/>
        <w:rPr>
          <w:sz w:val="20"/>
          <w:szCs w:val="20"/>
          <w:color w:val="auto"/>
        </w:rPr>
      </w:pPr>
    </w:p>
    <w:p>
      <w:pPr>
        <w:spacing w:after="0" w:line="24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00171E"/>
        </w:rPr>
        <w:t xml:space="preserve">covenants Executive may have agreed to in any other employee proprietary information, confidentiality, non-disclosure or other similar agreement and that this </w:t>
      </w:r>
      <w:r>
        <w:rPr>
          <w:rFonts w:ascii="Times New Roman" w:cs="Times New Roman" w:eastAsia="Times New Roman" w:hAnsi="Times New Roman"/>
          <w:sz w:val="20"/>
          <w:szCs w:val="20"/>
          <w:u w:val="single" w:color="auto"/>
          <w:color w:val="00171E"/>
        </w:rPr>
        <w:t>Section 6</w:t>
      </w:r>
      <w:r>
        <w:rPr>
          <w:rFonts w:ascii="Times New Roman" w:cs="Times New Roman" w:eastAsia="Times New Roman" w:hAnsi="Times New Roman"/>
          <w:sz w:val="20"/>
          <w:szCs w:val="20"/>
          <w:color w:val="00171E"/>
        </w:rPr>
        <w:t xml:space="preserve"> shall not be deemed to limit such other covenants and agreements, all of which shall continue to survive the termination of this Agreement in accordance with their respective terms. A breach by Executive of the terms of such other agreements and covenants shall be deemed to be a breach by Executive of this </w:t>
      </w:r>
      <w:r>
        <w:rPr>
          <w:rFonts w:ascii="Times New Roman" w:cs="Times New Roman" w:eastAsia="Times New Roman" w:hAnsi="Times New Roman"/>
          <w:sz w:val="20"/>
          <w:szCs w:val="20"/>
          <w:u w:val="single" w:color="auto"/>
          <w:color w:val="00171E"/>
        </w:rPr>
        <w:t>Section 6</w:t>
      </w:r>
      <w:r>
        <w:rPr>
          <w:rFonts w:ascii="Times New Roman" w:cs="Times New Roman" w:eastAsia="Times New Roman" w:hAnsi="Times New Roman"/>
          <w:sz w:val="20"/>
          <w:szCs w:val="20"/>
          <w:color w:val="00171E"/>
        </w:rPr>
        <w:t xml:space="preserve"> and of this Agreement. To the extent any of the provisions in this </w:t>
      </w:r>
      <w:r>
        <w:rPr>
          <w:rFonts w:ascii="Times New Roman" w:cs="Times New Roman" w:eastAsia="Times New Roman" w:hAnsi="Times New Roman"/>
          <w:sz w:val="20"/>
          <w:szCs w:val="20"/>
          <w:u w:val="single" w:color="auto"/>
          <w:color w:val="00171E"/>
        </w:rPr>
        <w:t>Section 6</w:t>
      </w:r>
      <w:r>
        <w:rPr>
          <w:rFonts w:ascii="Times New Roman" w:cs="Times New Roman" w:eastAsia="Times New Roman" w:hAnsi="Times New Roman"/>
          <w:sz w:val="20"/>
          <w:szCs w:val="20"/>
          <w:color w:val="00171E"/>
        </w:rPr>
        <w:t xml:space="preserve"> are held to be overly broad or otherwise unenforceable at the time enforcement is sought, Executive agrees that the provision shall be reformed and enforced to the greatest extent permissible by law. Executive further agrees that if any portion of this </w:t>
      </w:r>
      <w:r>
        <w:rPr>
          <w:rFonts w:ascii="Times New Roman" w:cs="Times New Roman" w:eastAsia="Times New Roman" w:hAnsi="Times New Roman"/>
          <w:sz w:val="20"/>
          <w:szCs w:val="20"/>
          <w:u w:val="single" w:color="auto"/>
          <w:color w:val="00171E"/>
        </w:rPr>
        <w:t>Section 6</w:t>
      </w:r>
      <w:r>
        <w:rPr>
          <w:rFonts w:ascii="Times New Roman" w:cs="Times New Roman" w:eastAsia="Times New Roman" w:hAnsi="Times New Roman"/>
          <w:sz w:val="20"/>
          <w:szCs w:val="20"/>
          <w:color w:val="00171E"/>
        </w:rPr>
        <w:t xml:space="preserve"> is held to be unenforceable, the remaining provisions of this </w:t>
      </w:r>
      <w:r>
        <w:rPr>
          <w:rFonts w:ascii="Times New Roman" w:cs="Times New Roman" w:eastAsia="Times New Roman" w:hAnsi="Times New Roman"/>
          <w:sz w:val="20"/>
          <w:szCs w:val="20"/>
          <w:u w:val="single" w:color="auto"/>
          <w:color w:val="00171E"/>
        </w:rPr>
        <w:t>Section 6</w:t>
      </w:r>
      <w:r>
        <w:rPr>
          <w:rFonts w:ascii="Times New Roman" w:cs="Times New Roman" w:eastAsia="Times New Roman" w:hAnsi="Times New Roman"/>
          <w:sz w:val="20"/>
          <w:szCs w:val="20"/>
          <w:color w:val="00171E"/>
        </w:rPr>
        <w:t xml:space="preserve"> shall be enforced as written.</w:t>
      </w:r>
    </w:p>
    <w:p>
      <w:pPr>
        <w:spacing w:after="0" w:line="182" w:lineRule="exact"/>
        <w:rPr>
          <w:sz w:val="20"/>
          <w:szCs w:val="20"/>
          <w:color w:val="auto"/>
        </w:rPr>
      </w:pPr>
    </w:p>
    <w:p>
      <w:pPr>
        <w:jc w:val="both"/>
        <w:ind w:firstLine="757"/>
        <w:spacing w:after="0" w:line="250" w:lineRule="auto"/>
        <w:tabs>
          <w:tab w:leader="none" w:pos="1018" w:val="left"/>
        </w:tabs>
        <w:numPr>
          <w:ilvl w:val="0"/>
          <w:numId w:val="102"/>
        </w:numPr>
        <w:rPr>
          <w:rFonts w:ascii="Times New Roman" w:cs="Times New Roman" w:eastAsia="Times New Roman" w:hAnsi="Times New Roman"/>
          <w:sz w:val="20"/>
          <w:szCs w:val="20"/>
          <w:b w:val="1"/>
          <w:bCs w:val="1"/>
          <w:color w:val="00171E"/>
        </w:rPr>
      </w:pPr>
      <w:r>
        <w:rPr>
          <w:rFonts w:ascii="Times New Roman" w:cs="Times New Roman" w:eastAsia="Times New Roman" w:hAnsi="Times New Roman"/>
          <w:sz w:val="20"/>
          <w:szCs w:val="20"/>
          <w:b w:val="1"/>
          <w:bCs w:val="1"/>
          <w:color w:val="00171E"/>
        </w:rPr>
        <w:t xml:space="preserve">Interpretation, Governing Law and Exclusive Forum. </w:t>
      </w:r>
      <w:r>
        <w:rPr>
          <w:rFonts w:ascii="Times New Roman" w:cs="Times New Roman" w:eastAsia="Times New Roman" w:hAnsi="Times New Roman"/>
          <w:sz w:val="20"/>
          <w:szCs w:val="20"/>
          <w:color w:val="00171E"/>
        </w:rPr>
        <w:t>The validity, interpretation, construction, and performance of this</w:t>
      </w:r>
      <w:r>
        <w:rPr>
          <w:rFonts w:ascii="Times New Roman" w:cs="Times New Roman" w:eastAsia="Times New Roman" w:hAnsi="Times New Roman"/>
          <w:sz w:val="20"/>
          <w:szCs w:val="20"/>
          <w:b w:val="1"/>
          <w:bCs w:val="1"/>
          <w:color w:val="00171E"/>
        </w:rPr>
        <w:t xml:space="preserve"> </w:t>
      </w:r>
      <w:r>
        <w:rPr>
          <w:rFonts w:ascii="Times New Roman" w:cs="Times New Roman" w:eastAsia="Times New Roman" w:hAnsi="Times New Roman"/>
          <w:sz w:val="20"/>
          <w:szCs w:val="20"/>
          <w:color w:val="00171E"/>
        </w:rPr>
        <w:t>Agreement shall be governed by the laws of the State of California (excluding any that mandate the use of another jurisdiction’s laws). Any arbitration (unless otherwise mutually agreed), litigation or similar proceeding with respect to such matters only may be brought within Santa Clara County, California, and all parties to this Agreement consent to California’s jurisdiction.</w:t>
      </w:r>
    </w:p>
    <w:p>
      <w:pPr>
        <w:spacing w:after="0" w:line="175" w:lineRule="exact"/>
        <w:rPr>
          <w:rFonts w:ascii="Times New Roman" w:cs="Times New Roman" w:eastAsia="Times New Roman" w:hAnsi="Times New Roman"/>
          <w:sz w:val="20"/>
          <w:szCs w:val="20"/>
          <w:b w:val="1"/>
          <w:bCs w:val="1"/>
          <w:color w:val="00171E"/>
        </w:rPr>
      </w:pPr>
    </w:p>
    <w:p>
      <w:pPr>
        <w:ind w:firstLine="757"/>
        <w:spacing w:after="0" w:line="273" w:lineRule="auto"/>
        <w:tabs>
          <w:tab w:leader="none" w:pos="1018" w:val="left"/>
        </w:tabs>
        <w:numPr>
          <w:ilvl w:val="0"/>
          <w:numId w:val="102"/>
        </w:numPr>
        <w:rPr>
          <w:rFonts w:ascii="Times New Roman" w:cs="Times New Roman" w:eastAsia="Times New Roman" w:hAnsi="Times New Roman"/>
          <w:sz w:val="20"/>
          <w:szCs w:val="20"/>
          <w:b w:val="1"/>
          <w:bCs w:val="1"/>
          <w:color w:val="00171E"/>
        </w:rPr>
      </w:pPr>
      <w:r>
        <w:rPr>
          <w:rFonts w:ascii="Times New Roman" w:cs="Times New Roman" w:eastAsia="Times New Roman" w:hAnsi="Times New Roman"/>
          <w:sz w:val="20"/>
          <w:szCs w:val="20"/>
          <w:b w:val="1"/>
          <w:bCs w:val="1"/>
          <w:color w:val="00171E"/>
        </w:rPr>
        <w:t xml:space="preserve">Entire Agreement. </w:t>
      </w:r>
      <w:r>
        <w:rPr>
          <w:rFonts w:ascii="Times New Roman" w:cs="Times New Roman" w:eastAsia="Times New Roman" w:hAnsi="Times New Roman"/>
          <w:sz w:val="20"/>
          <w:szCs w:val="20"/>
          <w:color w:val="00171E"/>
        </w:rPr>
        <w:t>All oral or written agreements or representations, express or implied, with respect to the subject matter of</w:t>
      </w:r>
      <w:r>
        <w:rPr>
          <w:rFonts w:ascii="Times New Roman" w:cs="Times New Roman" w:eastAsia="Times New Roman" w:hAnsi="Times New Roman"/>
          <w:sz w:val="20"/>
          <w:szCs w:val="20"/>
          <w:b w:val="1"/>
          <w:bCs w:val="1"/>
          <w:color w:val="00171E"/>
        </w:rPr>
        <w:t xml:space="preserve"> </w:t>
      </w:r>
      <w:r>
        <w:rPr>
          <w:rFonts w:ascii="Times New Roman" w:cs="Times New Roman" w:eastAsia="Times New Roman" w:hAnsi="Times New Roman"/>
          <w:sz w:val="20"/>
          <w:szCs w:val="20"/>
          <w:color w:val="00171E"/>
        </w:rPr>
        <w:t>this Agreement are set forth in this Agreement.</w:t>
      </w:r>
    </w:p>
    <w:p>
      <w:pPr>
        <w:spacing w:after="0" w:line="151" w:lineRule="exact"/>
        <w:rPr>
          <w:rFonts w:ascii="Times New Roman" w:cs="Times New Roman" w:eastAsia="Times New Roman" w:hAnsi="Times New Roman"/>
          <w:sz w:val="20"/>
          <w:szCs w:val="20"/>
          <w:b w:val="1"/>
          <w:bCs w:val="1"/>
          <w:color w:val="00171E"/>
        </w:rPr>
      </w:pPr>
    </w:p>
    <w:p>
      <w:pPr>
        <w:jc w:val="both"/>
        <w:ind w:firstLine="757"/>
        <w:spacing w:after="0" w:line="256" w:lineRule="auto"/>
        <w:tabs>
          <w:tab w:leader="none" w:pos="1018" w:val="left"/>
        </w:tabs>
        <w:numPr>
          <w:ilvl w:val="0"/>
          <w:numId w:val="102"/>
        </w:numPr>
        <w:rPr>
          <w:rFonts w:ascii="Times New Roman" w:cs="Times New Roman" w:eastAsia="Times New Roman" w:hAnsi="Times New Roman"/>
          <w:sz w:val="20"/>
          <w:szCs w:val="20"/>
          <w:b w:val="1"/>
          <w:bCs w:val="1"/>
          <w:color w:val="00171E"/>
        </w:rPr>
      </w:pPr>
      <w:r>
        <w:rPr>
          <w:rFonts w:ascii="Times New Roman" w:cs="Times New Roman" w:eastAsia="Times New Roman" w:hAnsi="Times New Roman"/>
          <w:sz w:val="20"/>
          <w:szCs w:val="20"/>
          <w:b w:val="1"/>
          <w:bCs w:val="1"/>
          <w:color w:val="00171E"/>
        </w:rPr>
        <w:t xml:space="preserve">Severability. </w:t>
      </w:r>
      <w:r>
        <w:rPr>
          <w:rFonts w:ascii="Times New Roman" w:cs="Times New Roman" w:eastAsia="Times New Roman" w:hAnsi="Times New Roman"/>
          <w:sz w:val="20"/>
          <w:szCs w:val="20"/>
          <w:color w:val="00171E"/>
        </w:rPr>
        <w:t>In the event that one or more of the provisions contained in this Agreement are held to be invalid, illegal or</w:t>
      </w:r>
      <w:r>
        <w:rPr>
          <w:rFonts w:ascii="Times New Roman" w:cs="Times New Roman" w:eastAsia="Times New Roman" w:hAnsi="Times New Roman"/>
          <w:sz w:val="20"/>
          <w:szCs w:val="20"/>
          <w:b w:val="1"/>
          <w:bCs w:val="1"/>
          <w:color w:val="00171E"/>
        </w:rPr>
        <w:t xml:space="preserve"> </w:t>
      </w:r>
      <w:r>
        <w:rPr>
          <w:rFonts w:ascii="Times New Roman" w:cs="Times New Roman" w:eastAsia="Times New Roman" w:hAnsi="Times New Roman"/>
          <w:sz w:val="20"/>
          <w:szCs w:val="20"/>
          <w:color w:val="00171E"/>
        </w:rPr>
        <w:t>unenforceable in any respect by a court of competent jurisdiction, such holding shall not impair the validity, legality or enforceability of the remaining provisions herein.</w:t>
      </w:r>
    </w:p>
    <w:p>
      <w:pPr>
        <w:spacing w:after="0" w:line="168" w:lineRule="exact"/>
        <w:rPr>
          <w:rFonts w:ascii="Times New Roman" w:cs="Times New Roman" w:eastAsia="Times New Roman" w:hAnsi="Times New Roman"/>
          <w:sz w:val="20"/>
          <w:szCs w:val="20"/>
          <w:b w:val="1"/>
          <w:bCs w:val="1"/>
          <w:color w:val="00171E"/>
        </w:rPr>
      </w:pPr>
    </w:p>
    <w:p>
      <w:pPr>
        <w:jc w:val="both"/>
        <w:ind w:firstLine="757"/>
        <w:spacing w:after="0" w:line="242" w:lineRule="auto"/>
        <w:tabs>
          <w:tab w:leader="none" w:pos="1018" w:val="left"/>
        </w:tabs>
        <w:numPr>
          <w:ilvl w:val="0"/>
          <w:numId w:val="102"/>
        </w:numPr>
        <w:rPr>
          <w:rFonts w:ascii="Times New Roman" w:cs="Times New Roman" w:eastAsia="Times New Roman" w:hAnsi="Times New Roman"/>
          <w:sz w:val="20"/>
          <w:szCs w:val="20"/>
          <w:b w:val="1"/>
          <w:bCs w:val="1"/>
          <w:color w:val="00171E"/>
        </w:rPr>
      </w:pPr>
      <w:r>
        <w:rPr>
          <w:rFonts w:ascii="Times New Roman" w:cs="Times New Roman" w:eastAsia="Times New Roman" w:hAnsi="Times New Roman"/>
          <w:sz w:val="20"/>
          <w:szCs w:val="20"/>
          <w:b w:val="1"/>
          <w:bCs w:val="1"/>
          <w:color w:val="00171E"/>
        </w:rPr>
        <w:t xml:space="preserve">Successors and Assigns. </w:t>
      </w:r>
      <w:r>
        <w:rPr>
          <w:rFonts w:ascii="Times New Roman" w:cs="Times New Roman" w:eastAsia="Times New Roman" w:hAnsi="Times New Roman"/>
          <w:sz w:val="20"/>
          <w:szCs w:val="20"/>
          <w:color w:val="00171E"/>
        </w:rPr>
        <w:t>This Agreement shall be binding upon, and shall inure to the benefit of, Executive and his/her estate,</w:t>
      </w:r>
      <w:r>
        <w:rPr>
          <w:rFonts w:ascii="Times New Roman" w:cs="Times New Roman" w:eastAsia="Times New Roman" w:hAnsi="Times New Roman"/>
          <w:sz w:val="20"/>
          <w:szCs w:val="20"/>
          <w:b w:val="1"/>
          <w:bCs w:val="1"/>
          <w:color w:val="00171E"/>
        </w:rPr>
        <w:t xml:space="preserve"> </w:t>
      </w:r>
      <w:r>
        <w:rPr>
          <w:rFonts w:ascii="Times New Roman" w:cs="Times New Roman" w:eastAsia="Times New Roman" w:hAnsi="Times New Roman"/>
          <w:sz w:val="20"/>
          <w:szCs w:val="20"/>
          <w:color w:val="00171E"/>
        </w:rPr>
        <w:t xml:space="preserve">but Executive may not assign or pledge this Agreement or any rights arising under it, except to the extent permitted under the terms of the benefit plans in which he/she participates. No rights or obligations of the Company under this Agreement may be assigned or transferred except that the Company shall require any successor (whether direct or indirect, by purchase, merger, reorganization, sale, transfer of stock, consideration or otherwise) to all or substantially all of the business and/or assets of the Company to expressly assume and agree to perform this Agreement in the same manner and to the same extent that the Company would be required to perform it if no succession had taken place. As used in this Agreement, “Company” means the Company as hereinbefore defined and any successor to its business and/or assets (by merger, purchase or otherwise as provided in this </w:t>
      </w:r>
      <w:r>
        <w:rPr>
          <w:rFonts w:ascii="Times New Roman" w:cs="Times New Roman" w:eastAsia="Times New Roman" w:hAnsi="Times New Roman"/>
          <w:sz w:val="20"/>
          <w:szCs w:val="20"/>
          <w:u w:val="single" w:color="auto"/>
          <w:color w:val="00171E"/>
        </w:rPr>
        <w:t>Section 10</w:t>
      </w:r>
      <w:r>
        <w:rPr>
          <w:rFonts w:ascii="Times New Roman" w:cs="Times New Roman" w:eastAsia="Times New Roman" w:hAnsi="Times New Roman"/>
          <w:sz w:val="20"/>
          <w:szCs w:val="20"/>
          <w:color w:val="00171E"/>
        </w:rPr>
        <w:t xml:space="preserve">) which executes and delivers the agreement provided for in this </w:t>
      </w:r>
      <w:r>
        <w:rPr>
          <w:rFonts w:ascii="Times New Roman" w:cs="Times New Roman" w:eastAsia="Times New Roman" w:hAnsi="Times New Roman"/>
          <w:sz w:val="20"/>
          <w:szCs w:val="20"/>
          <w:u w:val="single" w:color="auto"/>
          <w:color w:val="00171E"/>
        </w:rPr>
        <w:t>Section 10</w:t>
      </w:r>
      <w:r>
        <w:rPr>
          <w:rFonts w:ascii="Times New Roman" w:cs="Times New Roman" w:eastAsia="Times New Roman" w:hAnsi="Times New Roman"/>
          <w:sz w:val="20"/>
          <w:szCs w:val="20"/>
          <w:color w:val="00171E"/>
        </w:rPr>
        <w:t xml:space="preserve"> or which otherwise becomes bound by all the terms and provisions of this Agreement by operation of law. In the event that any successor refuses to assume the obligations hereunder, the Company as hereinbefore defined shall remain fully responsible for all obligations hereunder.</w:t>
      </w:r>
    </w:p>
    <w:p>
      <w:pPr>
        <w:spacing w:after="0" w:line="189" w:lineRule="exact"/>
        <w:rPr>
          <w:rFonts w:ascii="Times New Roman" w:cs="Times New Roman" w:eastAsia="Times New Roman" w:hAnsi="Times New Roman"/>
          <w:sz w:val="20"/>
          <w:szCs w:val="20"/>
          <w:b w:val="1"/>
          <w:bCs w:val="1"/>
          <w:color w:val="00171E"/>
        </w:rPr>
      </w:pPr>
    </w:p>
    <w:p>
      <w:pPr>
        <w:jc w:val="both"/>
        <w:ind w:firstLine="757"/>
        <w:spacing w:after="0" w:line="244" w:lineRule="auto"/>
        <w:tabs>
          <w:tab w:leader="none" w:pos="1018" w:val="left"/>
        </w:tabs>
        <w:numPr>
          <w:ilvl w:val="0"/>
          <w:numId w:val="102"/>
        </w:numPr>
        <w:rPr>
          <w:rFonts w:ascii="Times New Roman" w:cs="Times New Roman" w:eastAsia="Times New Roman" w:hAnsi="Times New Roman"/>
          <w:sz w:val="20"/>
          <w:szCs w:val="20"/>
          <w:b w:val="1"/>
          <w:bCs w:val="1"/>
          <w:color w:val="00171E"/>
        </w:rPr>
      </w:pPr>
      <w:r>
        <w:rPr>
          <w:rFonts w:ascii="Times New Roman" w:cs="Times New Roman" w:eastAsia="Times New Roman" w:hAnsi="Times New Roman"/>
          <w:sz w:val="20"/>
          <w:szCs w:val="20"/>
          <w:b w:val="1"/>
          <w:bCs w:val="1"/>
          <w:color w:val="00171E"/>
        </w:rPr>
        <w:t xml:space="preserve">Notices. </w:t>
      </w:r>
      <w:r>
        <w:rPr>
          <w:rFonts w:ascii="Times New Roman" w:cs="Times New Roman" w:eastAsia="Times New Roman" w:hAnsi="Times New Roman"/>
          <w:sz w:val="20"/>
          <w:szCs w:val="20"/>
          <w:color w:val="00171E"/>
        </w:rPr>
        <w:t>All notices, requests, demands and other communications hereunder shall be in writing and shall be given by hand</w:t>
      </w:r>
      <w:r>
        <w:rPr>
          <w:rFonts w:ascii="Times New Roman" w:cs="Times New Roman" w:eastAsia="Times New Roman" w:hAnsi="Times New Roman"/>
          <w:sz w:val="20"/>
          <w:szCs w:val="20"/>
          <w:b w:val="1"/>
          <w:bCs w:val="1"/>
          <w:color w:val="00171E"/>
        </w:rPr>
        <w:t xml:space="preserve"> </w:t>
      </w:r>
      <w:r>
        <w:rPr>
          <w:rFonts w:ascii="Times New Roman" w:cs="Times New Roman" w:eastAsia="Times New Roman" w:hAnsi="Times New Roman"/>
          <w:sz w:val="20"/>
          <w:szCs w:val="20"/>
          <w:color w:val="00171E"/>
        </w:rPr>
        <w:t xml:space="preserve">delivery, electronic mail, facsimile, telecopy, overnight courier service, or by United States certified or registered mail, return receipt requested. Each such notice, request, demand or other communication shall be effective (i) if delivered by hand or by overnight courier service, when delivered at the address specified in this </w:t>
      </w:r>
      <w:r>
        <w:rPr>
          <w:rFonts w:ascii="Times New Roman" w:cs="Times New Roman" w:eastAsia="Times New Roman" w:hAnsi="Times New Roman"/>
          <w:sz w:val="20"/>
          <w:szCs w:val="20"/>
          <w:u w:val="single" w:color="auto"/>
          <w:color w:val="00171E"/>
        </w:rPr>
        <w:t>Section 11</w:t>
      </w:r>
      <w:r>
        <w:rPr>
          <w:rFonts w:ascii="Times New Roman" w:cs="Times New Roman" w:eastAsia="Times New Roman" w:hAnsi="Times New Roman"/>
          <w:sz w:val="20"/>
          <w:szCs w:val="20"/>
          <w:color w:val="00171E"/>
        </w:rPr>
        <w:t xml:space="preserve">; (ii) if given by electronic mail, facsimile or telecopy, when such electronic mail, facsimile or telecopy is transmitted to the electronic mail address or facsimile or telecopy number specified in this </w:t>
      </w:r>
      <w:r>
        <w:rPr>
          <w:rFonts w:ascii="Times New Roman" w:cs="Times New Roman" w:eastAsia="Times New Roman" w:hAnsi="Times New Roman"/>
          <w:sz w:val="20"/>
          <w:szCs w:val="20"/>
          <w:u w:val="single" w:color="auto"/>
          <w:color w:val="00171E"/>
        </w:rPr>
        <w:t>Section 11</w:t>
      </w:r>
      <w:r>
        <w:rPr>
          <w:rFonts w:ascii="Times New Roman" w:cs="Times New Roman" w:eastAsia="Times New Roman" w:hAnsi="Times New Roman"/>
          <w:sz w:val="20"/>
          <w:szCs w:val="20"/>
          <w:color w:val="00171E"/>
        </w:rPr>
        <w:t xml:space="preserve"> and confirmation is received if during normal business hours on a business day, and otherwise, on the next business day; and (iii) if given by certified or registered mail, three (3) days after the mailing thereof. Notices shall be addressed to the parties as follows (or at such other address, email address or fax number as either party may from time to time specify in writing by giving notice as provided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132320" cy="171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86"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6"/>
          <w:szCs w:val="16"/>
          <w:b w:val="1"/>
          <w:bCs w:val="1"/>
          <w:color w:val="auto"/>
        </w:rPr>
        <w:t>E</w:t>
      </w:r>
      <w:r>
        <w:rPr>
          <w:rFonts w:ascii="Times New Roman" w:cs="Times New Roman" w:eastAsia="Times New Roman" w:hAnsi="Times New Roman"/>
          <w:sz w:val="10"/>
          <w:szCs w:val="10"/>
          <w:b w:val="1"/>
          <w:bCs w:val="1"/>
          <w:color w:val="auto"/>
        </w:rPr>
        <w:t>xecutive</w:t>
      </w:r>
      <w:r>
        <w:rPr>
          <w:rFonts w:ascii="Times New Roman" w:cs="Times New Roman" w:eastAsia="Times New Roman" w:hAnsi="Times New Roman"/>
          <w:sz w:val="16"/>
          <w:szCs w:val="16"/>
          <w:b w:val="1"/>
          <w:bCs w:val="1"/>
          <w:color w:val="auto"/>
        </w:rPr>
        <w:t xml:space="preserve"> E</w:t>
      </w:r>
      <w:r>
        <w:rPr>
          <w:rFonts w:ascii="Times New Roman" w:cs="Times New Roman" w:eastAsia="Times New Roman" w:hAnsi="Times New Roman"/>
          <w:sz w:val="10"/>
          <w:szCs w:val="10"/>
          <w:b w:val="1"/>
          <w:bCs w:val="1"/>
          <w:color w:val="auto"/>
        </w:rPr>
        <w:t>mployment</w:t>
      </w:r>
      <w:r>
        <w:rPr>
          <w:rFonts w:ascii="Times New Roman" w:cs="Times New Roman" w:eastAsia="Times New Roman" w:hAnsi="Times New Roman"/>
          <w:sz w:val="16"/>
          <w:szCs w:val="16"/>
          <w:b w:val="1"/>
          <w:bCs w:val="1"/>
          <w:color w:val="auto"/>
        </w:rPr>
        <w:t xml:space="preserve"> A</w:t>
      </w:r>
      <w:r>
        <w:rPr>
          <w:rFonts w:ascii="Times New Roman" w:cs="Times New Roman" w:eastAsia="Times New Roman" w:hAnsi="Times New Roman"/>
          <w:sz w:val="10"/>
          <w:szCs w:val="10"/>
          <w:b w:val="1"/>
          <w:bCs w:val="1"/>
          <w:color w:val="auto"/>
        </w:rPr>
        <w:t>gmt</w:t>
      </w:r>
      <w:r>
        <w:rPr>
          <w:rFonts w:ascii="Times New Roman" w:cs="Times New Roman" w:eastAsia="Times New Roman" w:hAnsi="Times New Roman"/>
          <w:sz w:val="16"/>
          <w:szCs w:val="16"/>
          <w:b w:val="1"/>
          <w:bCs w:val="1"/>
          <w:color w:val="auto"/>
        </w:rPr>
        <w:t xml:space="preserve"> S</w:t>
      </w:r>
      <w:r>
        <w:rPr>
          <w:rFonts w:ascii="Times New Roman" w:cs="Times New Roman" w:eastAsia="Times New Roman" w:hAnsi="Times New Roman"/>
          <w:sz w:val="10"/>
          <w:szCs w:val="10"/>
          <w:b w:val="1"/>
          <w:bCs w:val="1"/>
          <w:color w:val="auto"/>
        </w:rPr>
        <w:t>td</w:t>
      </w:r>
      <w:r>
        <w:rPr>
          <w:rFonts w:ascii="Times New Roman" w:cs="Times New Roman" w:eastAsia="Times New Roman" w:hAnsi="Times New Roman"/>
          <w:sz w:val="16"/>
          <w:szCs w:val="16"/>
          <w:b w:val="1"/>
          <w:bCs w:val="1"/>
          <w:color w:val="auto"/>
        </w:rPr>
        <w:t xml:space="preserve"> 11.1.24</w:t>
      </w:r>
      <w:r>
        <w:rPr>
          <w:sz w:val="20"/>
          <w:szCs w:val="20"/>
          <w:color w:val="auto"/>
        </w:rPr>
        <w:tab/>
      </w:r>
      <w:r>
        <w:rPr>
          <w:rFonts w:ascii="Times New Roman" w:cs="Times New Roman" w:eastAsia="Times New Roman" w:hAnsi="Times New Roman"/>
          <w:sz w:val="16"/>
          <w:szCs w:val="16"/>
          <w:b w:val="1"/>
          <w:bCs w:val="1"/>
          <w:color w:val="auto"/>
        </w:rPr>
        <w:t>A</w:t>
      </w:r>
      <w:r>
        <w:rPr>
          <w:rFonts w:ascii="Times New Roman" w:cs="Times New Roman" w:eastAsia="Times New Roman" w:hAnsi="Times New Roman"/>
          <w:sz w:val="10"/>
          <w:szCs w:val="10"/>
          <w:b w:val="1"/>
          <w:bCs w:val="1"/>
          <w:color w:val="auto"/>
        </w:rPr>
        <w:t>ccuray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14</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NUMPAGES \* Arabic \* MERGEFORMAT 31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00171E"/>
        </w:rPr>
        <w:t>If to the Company: Accuray Incorporated</w:t>
      </w:r>
    </w:p>
    <w:p>
      <w:pPr>
        <w:spacing w:after="0" w:line="21"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0"/>
          <w:szCs w:val="20"/>
          <w:color w:val="00171E"/>
        </w:rPr>
        <w:t>3979 Freedom Circle, Suite 700</w:t>
      </w:r>
    </w:p>
    <w:p>
      <w:pPr>
        <w:ind w:left="3000"/>
        <w:spacing w:after="0"/>
        <w:rPr>
          <w:sz w:val="20"/>
          <w:szCs w:val="20"/>
          <w:color w:val="auto"/>
        </w:rPr>
      </w:pPr>
      <w:r>
        <w:rPr>
          <w:rFonts w:ascii="Times New Roman" w:cs="Times New Roman" w:eastAsia="Times New Roman" w:hAnsi="Times New Roman"/>
          <w:sz w:val="20"/>
          <w:szCs w:val="20"/>
          <w:color w:val="00171E"/>
        </w:rPr>
        <w:t>Santa Clara, CA 95054</w:t>
      </w:r>
    </w:p>
    <w:p>
      <w:pPr>
        <w:ind w:left="3000"/>
        <w:spacing w:after="0"/>
        <w:rPr>
          <w:sz w:val="20"/>
          <w:szCs w:val="20"/>
          <w:color w:val="auto"/>
        </w:rPr>
      </w:pPr>
      <w:r>
        <w:rPr>
          <w:rFonts w:ascii="Times New Roman" w:cs="Times New Roman" w:eastAsia="Times New Roman" w:hAnsi="Times New Roman"/>
          <w:sz w:val="20"/>
          <w:szCs w:val="20"/>
          <w:color w:val="00171E"/>
        </w:rPr>
        <w:t>Attn: Chief Legal Officer</w:t>
      </w:r>
    </w:p>
    <w:p>
      <w:pPr>
        <w:sectPr>
          <w:pgSz w:w="11900" w:h="16838" w:orient="portrait"/>
          <w:cols w:equalWidth="0" w:num="1">
            <w:col w:w="11240"/>
          </w:cols>
          <w:pgMar w:left="320" w:top="765" w:right="339" w:bottom="1440" w:gutter="0" w:footer="0" w:header="0"/>
        </w:sectPr>
      </w:pPr>
    </w:p>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00171E"/>
        </w:rPr>
        <w:t>If to Executive:</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171E"/>
        </w:rPr>
        <w:t>Ali Pervaiz</w:t>
      </w:r>
    </w:p>
    <w:p>
      <w:pPr>
        <w:spacing w:after="0" w:line="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00171E"/>
        </w:rPr>
        <w:t>Address: most recent on file with the Company</w:t>
      </w:r>
    </w:p>
    <w:p>
      <w:pPr>
        <w:spacing w:after="0" w:line="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00171E"/>
        </w:rPr>
        <w:t>Email: most recent on file with the Company</w:t>
      </w:r>
    </w:p>
    <w:p>
      <w:pPr>
        <w:spacing w:after="0" w:line="190" w:lineRule="exact"/>
        <w:rPr>
          <w:sz w:val="20"/>
          <w:szCs w:val="20"/>
          <w:color w:val="auto"/>
        </w:rPr>
      </w:pPr>
    </w:p>
    <w:p>
      <w:pPr>
        <w:sectPr>
          <w:pgSz w:w="11900" w:h="16838" w:orient="portrait"/>
          <w:cols w:equalWidth="0" w:num="2">
            <w:col w:w="1980" w:space="360"/>
            <w:col w:w="8900"/>
          </w:cols>
          <w:pgMar w:left="320" w:top="765" w:right="339" w:bottom="1440" w:gutter="0" w:footer="0" w:header="0"/>
          <w:type w:val="continuous"/>
        </w:sectPr>
      </w:pPr>
    </w:p>
    <w:p>
      <w:pPr>
        <w:jc w:val="both"/>
        <w:ind w:firstLine="757"/>
        <w:spacing w:after="0" w:line="256" w:lineRule="auto"/>
        <w:tabs>
          <w:tab w:leader="none" w:pos="1018" w:val="left"/>
        </w:tabs>
        <w:numPr>
          <w:ilvl w:val="0"/>
          <w:numId w:val="103"/>
        </w:numPr>
        <w:rPr>
          <w:rFonts w:ascii="Times New Roman" w:cs="Times New Roman" w:eastAsia="Times New Roman" w:hAnsi="Times New Roman"/>
          <w:sz w:val="20"/>
          <w:szCs w:val="20"/>
          <w:b w:val="1"/>
          <w:bCs w:val="1"/>
          <w:color w:val="00171E"/>
        </w:rPr>
      </w:pPr>
      <w:r>
        <w:rPr>
          <w:rFonts w:ascii="Times New Roman" w:cs="Times New Roman" w:eastAsia="Times New Roman" w:hAnsi="Times New Roman"/>
          <w:sz w:val="20"/>
          <w:szCs w:val="20"/>
          <w:b w:val="1"/>
          <w:bCs w:val="1"/>
          <w:color w:val="00171E"/>
        </w:rPr>
        <w:t>Indemnification</w:t>
      </w:r>
      <w:r>
        <w:rPr>
          <w:rFonts w:ascii="Times New Roman" w:cs="Times New Roman" w:eastAsia="Times New Roman" w:hAnsi="Times New Roman"/>
          <w:sz w:val="20"/>
          <w:szCs w:val="20"/>
          <w:color w:val="00171E"/>
        </w:rPr>
        <w:t>. As soon as reasonably practicable after the due execution of this Agreement by each of the parties hereto, the</w:t>
      </w:r>
      <w:r>
        <w:rPr>
          <w:rFonts w:ascii="Times New Roman" w:cs="Times New Roman" w:eastAsia="Times New Roman" w:hAnsi="Times New Roman"/>
          <w:sz w:val="20"/>
          <w:szCs w:val="20"/>
          <w:b w:val="1"/>
          <w:bCs w:val="1"/>
          <w:color w:val="00171E"/>
        </w:rPr>
        <w:t xml:space="preserve"> </w:t>
      </w:r>
      <w:r>
        <w:rPr>
          <w:rFonts w:ascii="Times New Roman" w:cs="Times New Roman" w:eastAsia="Times New Roman" w:hAnsi="Times New Roman"/>
          <w:sz w:val="20"/>
          <w:szCs w:val="20"/>
          <w:color w:val="00171E"/>
        </w:rPr>
        <w:t>Company and Executive will enter into the Company’s standard form of indemnification agreement utilized by the Company for its directors and executive officers unless such an agreement is already in effect.</w:t>
      </w:r>
    </w:p>
    <w:p>
      <w:pPr>
        <w:spacing w:after="0" w:line="168" w:lineRule="exact"/>
        <w:rPr>
          <w:rFonts w:ascii="Times New Roman" w:cs="Times New Roman" w:eastAsia="Times New Roman" w:hAnsi="Times New Roman"/>
          <w:sz w:val="20"/>
          <w:szCs w:val="20"/>
          <w:b w:val="1"/>
          <w:bCs w:val="1"/>
          <w:color w:val="00171E"/>
        </w:rPr>
      </w:pPr>
    </w:p>
    <w:p>
      <w:pPr>
        <w:jc w:val="both"/>
        <w:ind w:firstLine="757"/>
        <w:spacing w:after="0" w:line="256" w:lineRule="auto"/>
        <w:tabs>
          <w:tab w:leader="none" w:pos="1018" w:val="left"/>
        </w:tabs>
        <w:numPr>
          <w:ilvl w:val="0"/>
          <w:numId w:val="103"/>
        </w:numPr>
        <w:rPr>
          <w:rFonts w:ascii="Times New Roman" w:cs="Times New Roman" w:eastAsia="Times New Roman" w:hAnsi="Times New Roman"/>
          <w:sz w:val="20"/>
          <w:szCs w:val="20"/>
          <w:b w:val="1"/>
          <w:bCs w:val="1"/>
          <w:color w:val="00171E"/>
        </w:rPr>
      </w:pPr>
      <w:r>
        <w:rPr>
          <w:rFonts w:ascii="Times New Roman" w:cs="Times New Roman" w:eastAsia="Times New Roman" w:hAnsi="Times New Roman"/>
          <w:sz w:val="20"/>
          <w:szCs w:val="20"/>
          <w:b w:val="1"/>
          <w:bCs w:val="1"/>
          <w:color w:val="00171E"/>
        </w:rPr>
        <w:t xml:space="preserve">Dispute Resolution. </w:t>
      </w:r>
      <w:r>
        <w:rPr>
          <w:rFonts w:ascii="Times New Roman" w:cs="Times New Roman" w:eastAsia="Times New Roman" w:hAnsi="Times New Roman"/>
          <w:sz w:val="20"/>
          <w:szCs w:val="20"/>
          <w:color w:val="00171E"/>
        </w:rPr>
        <w:t>The parties agree that all disputes, claims or controversies between them and between Executive and any</w:t>
      </w:r>
      <w:r>
        <w:rPr>
          <w:rFonts w:ascii="Times New Roman" w:cs="Times New Roman" w:eastAsia="Times New Roman" w:hAnsi="Times New Roman"/>
          <w:sz w:val="20"/>
          <w:szCs w:val="20"/>
          <w:b w:val="1"/>
          <w:bCs w:val="1"/>
          <w:color w:val="00171E"/>
        </w:rPr>
        <w:t xml:space="preserve"> </w:t>
      </w:r>
      <w:r>
        <w:rPr>
          <w:rFonts w:ascii="Times New Roman" w:cs="Times New Roman" w:eastAsia="Times New Roman" w:hAnsi="Times New Roman"/>
          <w:sz w:val="20"/>
          <w:szCs w:val="20"/>
          <w:color w:val="00171E"/>
        </w:rPr>
        <w:t>of the Company’s affiliated entities and the successor of all such entities, including any dispute, claim or controversy arising from or otherwise in connection with this Agreement and/or Executive’s employment with the Company, will be resolved as follows:</w:t>
      </w:r>
    </w:p>
    <w:p>
      <w:pPr>
        <w:spacing w:after="0" w:line="172" w:lineRule="exact"/>
        <w:rPr>
          <w:rFonts w:ascii="Times New Roman" w:cs="Times New Roman" w:eastAsia="Times New Roman" w:hAnsi="Times New Roman"/>
          <w:sz w:val="20"/>
          <w:szCs w:val="20"/>
          <w:b w:val="1"/>
          <w:bCs w:val="1"/>
          <w:color w:val="00171E"/>
        </w:rPr>
      </w:pPr>
    </w:p>
    <w:p>
      <w:pPr>
        <w:jc w:val="both"/>
        <w:ind w:firstLine="1505"/>
        <w:spacing w:after="0" w:line="254" w:lineRule="auto"/>
        <w:tabs>
          <w:tab w:leader="none" w:pos="2036" w:val="left"/>
        </w:tabs>
        <w:numPr>
          <w:ilvl w:val="1"/>
          <w:numId w:val="103"/>
        </w:numPr>
        <w:rPr>
          <w:rFonts w:ascii="Times New Roman" w:cs="Times New Roman" w:eastAsia="Times New Roman" w:hAnsi="Times New Roman"/>
          <w:sz w:val="20"/>
          <w:szCs w:val="20"/>
          <w:u w:val="single" w:color="auto"/>
          <w:color w:val="00171E"/>
        </w:rPr>
      </w:pPr>
      <w:r>
        <w:rPr>
          <w:rFonts w:ascii="Times New Roman" w:cs="Times New Roman" w:eastAsia="Times New Roman" w:hAnsi="Times New Roman"/>
          <w:sz w:val="20"/>
          <w:szCs w:val="20"/>
          <w:color w:val="00171E"/>
        </w:rPr>
        <w:t>Prior to initiating any other proceeding, the complaining party will provide the other party with a written statement of the claim identifying any supporting witnesses or documents and the requested relief. The responding party shall within forty-five (45) days furnish a statement of the relief, if any, that it is willing to provide, and identify supporting witnesses or documents.</w:t>
      </w:r>
    </w:p>
    <w:p>
      <w:pPr>
        <w:spacing w:after="0" w:line="174" w:lineRule="exact"/>
        <w:rPr>
          <w:rFonts w:ascii="Times New Roman" w:cs="Times New Roman" w:eastAsia="Times New Roman" w:hAnsi="Times New Roman"/>
          <w:sz w:val="20"/>
          <w:szCs w:val="20"/>
          <w:u w:val="single" w:color="auto"/>
          <w:color w:val="00171E"/>
        </w:rPr>
      </w:pPr>
    </w:p>
    <w:p>
      <w:pPr>
        <w:jc w:val="both"/>
        <w:ind w:firstLine="1505"/>
        <w:spacing w:after="0" w:line="254" w:lineRule="auto"/>
        <w:tabs>
          <w:tab w:leader="none" w:pos="2036" w:val="left"/>
        </w:tabs>
        <w:numPr>
          <w:ilvl w:val="1"/>
          <w:numId w:val="103"/>
        </w:numPr>
        <w:rPr>
          <w:rFonts w:ascii="Times New Roman" w:cs="Times New Roman" w:eastAsia="Times New Roman" w:hAnsi="Times New Roman"/>
          <w:sz w:val="20"/>
          <w:szCs w:val="20"/>
          <w:u w:val="single" w:color="auto"/>
          <w:color w:val="00171E"/>
        </w:rPr>
      </w:pPr>
      <w:r>
        <w:rPr>
          <w:rFonts w:ascii="Times New Roman" w:cs="Times New Roman" w:eastAsia="Times New Roman" w:hAnsi="Times New Roman"/>
          <w:sz w:val="20"/>
          <w:szCs w:val="20"/>
          <w:color w:val="00171E"/>
        </w:rPr>
        <w:t>If the matter is not resolved by the exchange of statements of claim and statements of response as provided herein, the parties shall submit the dispute to non-binding mediation, the cost of the mediator to be paid by the Company, before a mediator and/or service to be jointly selected by the parties. Each party will bear his/her or its own attorney’s fees and witness fees.</w:t>
      </w:r>
    </w:p>
    <w:p>
      <w:pPr>
        <w:spacing w:after="0" w:line="174" w:lineRule="exact"/>
        <w:rPr>
          <w:rFonts w:ascii="Times New Roman" w:cs="Times New Roman" w:eastAsia="Times New Roman" w:hAnsi="Times New Roman"/>
          <w:sz w:val="20"/>
          <w:szCs w:val="20"/>
          <w:u w:val="single" w:color="auto"/>
          <w:color w:val="00171E"/>
        </w:rPr>
      </w:pPr>
    </w:p>
    <w:p>
      <w:pPr>
        <w:jc w:val="both"/>
        <w:ind w:firstLine="1505"/>
        <w:spacing w:after="0" w:line="242" w:lineRule="auto"/>
        <w:tabs>
          <w:tab w:leader="none" w:pos="2036" w:val="left"/>
        </w:tabs>
        <w:numPr>
          <w:ilvl w:val="1"/>
          <w:numId w:val="103"/>
        </w:numPr>
        <w:rPr>
          <w:rFonts w:ascii="Times New Roman" w:cs="Times New Roman" w:eastAsia="Times New Roman" w:hAnsi="Times New Roman"/>
          <w:sz w:val="20"/>
          <w:szCs w:val="20"/>
          <w:u w:val="single" w:color="auto"/>
          <w:color w:val="00171E"/>
        </w:rPr>
      </w:pPr>
      <w:r>
        <w:rPr>
          <w:rFonts w:ascii="Times New Roman" w:cs="Times New Roman" w:eastAsia="Times New Roman" w:hAnsi="Times New Roman"/>
          <w:sz w:val="20"/>
          <w:szCs w:val="20"/>
          <w:color w:val="00171E"/>
        </w:rPr>
        <w:t>If the parties cannot agree on a mediator and/or if the matter is not otherwise resolved by mediation, any controversy or claim between Executive and the Company and any of its current or former directors, officers and employees, including any arising out of or relating to this Agreement or breach thereof, shall be settled by final and binding arbitration pursuant to the Federal Arbitration Act (9 U.S.C. Sec. 1 Et Seq.) (the “</w:t>
      </w:r>
      <w:r>
        <w:rPr>
          <w:rFonts w:ascii="Times New Roman" w:cs="Times New Roman" w:eastAsia="Times New Roman" w:hAnsi="Times New Roman"/>
          <w:sz w:val="20"/>
          <w:szCs w:val="20"/>
          <w:u w:val="single" w:color="auto"/>
          <w:color w:val="00171E"/>
        </w:rPr>
        <w:t>FAA</w:t>
      </w:r>
      <w:r>
        <w:rPr>
          <w:rFonts w:ascii="Times New Roman" w:cs="Times New Roman" w:eastAsia="Times New Roman" w:hAnsi="Times New Roman"/>
          <w:sz w:val="20"/>
          <w:szCs w:val="20"/>
          <w:color w:val="00171E"/>
        </w:rPr>
        <w:t>”), which shall take place in Santa Clara County, California, or elsewhere as mutually agreed by the parties, before a single, neutral, arbitrator pursuant to the Employment Dispute Rules of Judicial Arbitration and Mediation Services, Inc. (“</w:t>
      </w:r>
      <w:r>
        <w:rPr>
          <w:rFonts w:ascii="Times New Roman" w:cs="Times New Roman" w:eastAsia="Times New Roman" w:hAnsi="Times New Roman"/>
          <w:sz w:val="20"/>
          <w:szCs w:val="20"/>
          <w:u w:val="single" w:color="auto"/>
          <w:color w:val="00171E"/>
        </w:rPr>
        <w:t>JAMS</w:t>
      </w:r>
      <w:r>
        <w:rPr>
          <w:rFonts w:ascii="Times New Roman" w:cs="Times New Roman" w:eastAsia="Times New Roman" w:hAnsi="Times New Roman"/>
          <w:sz w:val="20"/>
          <w:szCs w:val="20"/>
          <w:color w:val="00171E"/>
        </w:rPr>
        <w:t>”), unless the parties to the dispute agree to another arbitration service or independent arbitrator. The parties may conduct discovery to the extent permitted in a court of law; the arbitrator will render an award together with a written opinion indicating the bases for such opinion; and the arbitrator will have full authority to award all remedies that would be available in court. Judgment upon the award rendered by the arbitrator may be entered in any court having jurisdiction thereof. Each party shall bear its own attorney’s fees and costs, unless the claim is based on a statute that provides otherwise. The Company will pay the arbitrator’s fees and any administrative charges of the arbitration service, except that if Executive initiates the claim, he/she will pay a portion of the administrative charges equal to the amount he/she would have paid to initiate the claim in a court of general jurisdiction.</w:t>
      </w:r>
    </w:p>
    <w:p>
      <w:pPr>
        <w:spacing w:after="0" w:line="187" w:lineRule="exact"/>
        <w:rPr>
          <w:rFonts w:ascii="Times New Roman" w:cs="Times New Roman" w:eastAsia="Times New Roman" w:hAnsi="Times New Roman"/>
          <w:sz w:val="20"/>
          <w:szCs w:val="20"/>
          <w:u w:val="single" w:color="auto"/>
          <w:color w:val="00171E"/>
        </w:rPr>
      </w:pPr>
    </w:p>
    <w:p>
      <w:pPr>
        <w:jc w:val="both"/>
        <w:ind w:firstLine="1505"/>
        <w:spacing w:after="0" w:line="249" w:lineRule="auto"/>
        <w:tabs>
          <w:tab w:leader="none" w:pos="2036" w:val="left"/>
        </w:tabs>
        <w:numPr>
          <w:ilvl w:val="1"/>
          <w:numId w:val="103"/>
        </w:numPr>
        <w:rPr>
          <w:rFonts w:ascii="Times New Roman" w:cs="Times New Roman" w:eastAsia="Times New Roman" w:hAnsi="Times New Roman"/>
          <w:sz w:val="20"/>
          <w:szCs w:val="20"/>
          <w:u w:val="single" w:color="auto"/>
          <w:color w:val="00171E"/>
        </w:rPr>
      </w:pPr>
      <w:r>
        <w:rPr>
          <w:rFonts w:ascii="Times New Roman" w:cs="Times New Roman" w:eastAsia="Times New Roman" w:hAnsi="Times New Roman"/>
          <w:sz w:val="20"/>
          <w:szCs w:val="20"/>
          <w:color w:val="00171E"/>
        </w:rPr>
        <w:t>THE FAA’S SUBSTANTIVE AND PROCEDURAL PROVISIONS SHALL EXCLUSIVELY GOVERN AND APPLY WITH FULL FORCE AND EFFECT TO THIS ARBITRATION AGREEMENT, INCLUDING ITS ENFORCEMENT, AND ANY STATE COURT OF COMPETENT JURISDICTION SHALL STAY PROCEEDINGS PENDING ARBITRATION OR COMPEL ARBITRATION IN THE SAME MANNER AS A FEDERAL COURT UNDER THE FAA.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8"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6"/>
          <w:szCs w:val="16"/>
          <w:b w:val="1"/>
          <w:bCs w:val="1"/>
          <w:color w:val="auto"/>
        </w:rPr>
        <w:t>E</w:t>
      </w:r>
      <w:r>
        <w:rPr>
          <w:rFonts w:ascii="Times New Roman" w:cs="Times New Roman" w:eastAsia="Times New Roman" w:hAnsi="Times New Roman"/>
          <w:sz w:val="10"/>
          <w:szCs w:val="10"/>
          <w:b w:val="1"/>
          <w:bCs w:val="1"/>
          <w:color w:val="auto"/>
        </w:rPr>
        <w:t>xecutive</w:t>
      </w:r>
      <w:r>
        <w:rPr>
          <w:rFonts w:ascii="Times New Roman" w:cs="Times New Roman" w:eastAsia="Times New Roman" w:hAnsi="Times New Roman"/>
          <w:sz w:val="16"/>
          <w:szCs w:val="16"/>
          <w:b w:val="1"/>
          <w:bCs w:val="1"/>
          <w:color w:val="auto"/>
        </w:rPr>
        <w:t xml:space="preserve"> E</w:t>
      </w:r>
      <w:r>
        <w:rPr>
          <w:rFonts w:ascii="Times New Roman" w:cs="Times New Roman" w:eastAsia="Times New Roman" w:hAnsi="Times New Roman"/>
          <w:sz w:val="10"/>
          <w:szCs w:val="10"/>
          <w:b w:val="1"/>
          <w:bCs w:val="1"/>
          <w:color w:val="auto"/>
        </w:rPr>
        <w:t>mployment</w:t>
      </w:r>
      <w:r>
        <w:rPr>
          <w:rFonts w:ascii="Times New Roman" w:cs="Times New Roman" w:eastAsia="Times New Roman" w:hAnsi="Times New Roman"/>
          <w:sz w:val="16"/>
          <w:szCs w:val="16"/>
          <w:b w:val="1"/>
          <w:bCs w:val="1"/>
          <w:color w:val="auto"/>
        </w:rPr>
        <w:t xml:space="preserve"> A</w:t>
      </w:r>
      <w:r>
        <w:rPr>
          <w:rFonts w:ascii="Times New Roman" w:cs="Times New Roman" w:eastAsia="Times New Roman" w:hAnsi="Times New Roman"/>
          <w:sz w:val="10"/>
          <w:szCs w:val="10"/>
          <w:b w:val="1"/>
          <w:bCs w:val="1"/>
          <w:color w:val="auto"/>
        </w:rPr>
        <w:t>gmt</w:t>
      </w:r>
      <w:r>
        <w:rPr>
          <w:rFonts w:ascii="Times New Roman" w:cs="Times New Roman" w:eastAsia="Times New Roman" w:hAnsi="Times New Roman"/>
          <w:sz w:val="16"/>
          <w:szCs w:val="16"/>
          <w:b w:val="1"/>
          <w:bCs w:val="1"/>
          <w:color w:val="auto"/>
        </w:rPr>
        <w:t xml:space="preserve"> S</w:t>
      </w:r>
      <w:r>
        <w:rPr>
          <w:rFonts w:ascii="Times New Roman" w:cs="Times New Roman" w:eastAsia="Times New Roman" w:hAnsi="Times New Roman"/>
          <w:sz w:val="10"/>
          <w:szCs w:val="10"/>
          <w:b w:val="1"/>
          <w:bCs w:val="1"/>
          <w:color w:val="auto"/>
        </w:rPr>
        <w:t>td</w:t>
      </w:r>
      <w:r>
        <w:rPr>
          <w:rFonts w:ascii="Times New Roman" w:cs="Times New Roman" w:eastAsia="Times New Roman" w:hAnsi="Times New Roman"/>
          <w:sz w:val="16"/>
          <w:szCs w:val="16"/>
          <w:b w:val="1"/>
          <w:bCs w:val="1"/>
          <w:color w:val="auto"/>
        </w:rPr>
        <w:t xml:space="preserve"> 11.1.24</w:t>
      </w:r>
      <w:r>
        <w:rPr>
          <w:sz w:val="20"/>
          <w:szCs w:val="20"/>
          <w:color w:val="auto"/>
        </w:rPr>
        <w:tab/>
      </w:r>
      <w:r>
        <w:rPr>
          <w:rFonts w:ascii="Times New Roman" w:cs="Times New Roman" w:eastAsia="Times New Roman" w:hAnsi="Times New Roman"/>
          <w:sz w:val="16"/>
          <w:szCs w:val="16"/>
          <w:b w:val="1"/>
          <w:bCs w:val="1"/>
          <w:color w:val="auto"/>
        </w:rPr>
        <w:t>A</w:t>
      </w:r>
      <w:r>
        <w:rPr>
          <w:rFonts w:ascii="Times New Roman" w:cs="Times New Roman" w:eastAsia="Times New Roman" w:hAnsi="Times New Roman"/>
          <w:sz w:val="10"/>
          <w:szCs w:val="10"/>
          <w:b w:val="1"/>
          <w:bCs w:val="1"/>
          <w:color w:val="auto"/>
        </w:rPr>
        <w:t>ccuray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13" w:name="page114"/>
    <w:bookmarkEnd w:id="113"/>
    <w:p>
      <w:pPr>
        <w:ind w:left="6560"/>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15</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NUMPAGES \* Arabic \* MERGEFORMAT 31</w:t>
      </w:r>
    </w:p>
    <w:p>
      <w:pPr>
        <w:spacing w:after="0" w:line="200" w:lineRule="exact"/>
        <w:rPr>
          <w:sz w:val="20"/>
          <w:szCs w:val="20"/>
          <w:color w:val="auto"/>
        </w:rPr>
      </w:pPr>
    </w:p>
    <w:p>
      <w:pPr>
        <w:spacing w:after="0" w:line="24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00171E"/>
        </w:rPr>
        <w:t>EXECUTIVE AND THE COMPANY FURTHER AGREE THAT, TO THE FULLEST EXTENT PERMITTED BY LAW, EXECUTIVE MAY BRING ANY ARBITRATION PROCEEDING ONLY IN EXECUTIVE’S INDIVIDUAL CAPACITY, AND NOT AS A PLAINTIFF, REPRESENTATIVE, OR CLASS MEMBER IN ANY PURPORTED CLASS OR COLLECTIVE ACTION, LAWSUIT OR PROCEEDING. EXECUTIVE AGREES THAT ANY CLAIMS EXECUTIVE MAY BRING PURSUANT TO THE PRIVATE ATTORNEYS GENERAL ACT (“PAGA”) ON BEHALF OF THE LABOR AND WORKFORCE DEVELOPMENT AGENCY MUST BE ARBITRATED ONLY IN EXECUTIVE’S INDIVIDUAL CAPACITY WITHOUT ANY JOINDER OR REPRESENTATION OF ANY CALIFORNIA LABOR CODE VIOLATIONS THAT WERE OR COULD BE ASSERTED BY OR ON BEHALF OF ANY OTHER PERSONS. EXECUTIVE AND THE COMPANY AGREE THAT THIS ARBITRATION PROCEDURE WILL BE THE EXCLUSIVE MEANS OF REDRESS FOR ANY DISPUTES RELATING TO OR ARISING FROM EXECUTIVE’S EMPLOYMENT WITH THE COMPANY OR TERMINATION THEREFROM, INCLUDING DISPUTES OVER UNPAID WAGES, BREACH OF CONTRACT OR TORT, VIOLATION OF PUBLIC POLICY, RIGHTS PROVIDED BY FEDERAL, STATE OR LOCAL STATUTES, REGULATIONS, ORDINANCES, AND COMMON LAW, LAWS THAT PROHIBIT DISCRIMINATION BASED ON ANY PROTECTED CLASSIFICATION, AND ANY OTHER STATUTES OR LAWS RELATING TO AN EXECUTIVE’S RELATIONSHIP WITH THE COMPANY. THE FOREGOING NOTWITHSTANDING, CLAIMS FOR WORKERS’ COMPENSATION BENEFITS OR UNEMPLOYMENT INSURANCE, OR ANY OTHER CLAIMS WHERE MANDATORY ARBITRATION IS PROHIBITED BY LAW, ARE NOT COVERED BY THIS ARBITRATION PROVISION. THE PARTIES EXPRESSLY WAIVE THE RIGHT TO A JURY TRIAL, AND AGREE THAT THE ARBITRATOR’S AWARD SHALL BE FINAL AND BINDING ON BOTH PARTIES. THIS ARBITRATION PROVISION IS TO BE CONSTRUED AS BROADLY AS IS PERMISSIBLE UNDER APPLICABLE LAW.</w:t>
      </w:r>
    </w:p>
    <w:p>
      <w:pPr>
        <w:spacing w:after="0" w:line="186" w:lineRule="exact"/>
        <w:rPr>
          <w:sz w:val="20"/>
          <w:szCs w:val="20"/>
          <w:color w:val="auto"/>
        </w:rPr>
      </w:pPr>
    </w:p>
    <w:p>
      <w:pPr>
        <w:jc w:val="both"/>
        <w:ind w:firstLine="757"/>
        <w:spacing w:after="0" w:line="245" w:lineRule="auto"/>
        <w:tabs>
          <w:tab w:leader="none" w:pos="1018" w:val="left"/>
        </w:tabs>
        <w:numPr>
          <w:ilvl w:val="0"/>
          <w:numId w:val="104"/>
        </w:numPr>
        <w:rPr>
          <w:rFonts w:ascii="Times New Roman" w:cs="Times New Roman" w:eastAsia="Times New Roman" w:hAnsi="Times New Roman"/>
          <w:sz w:val="20"/>
          <w:szCs w:val="20"/>
          <w:b w:val="1"/>
          <w:bCs w:val="1"/>
          <w:color w:val="00171E"/>
        </w:rPr>
      </w:pPr>
      <w:r>
        <w:rPr>
          <w:rFonts w:ascii="Times New Roman" w:cs="Times New Roman" w:eastAsia="Times New Roman" w:hAnsi="Times New Roman"/>
          <w:sz w:val="20"/>
          <w:szCs w:val="20"/>
          <w:b w:val="1"/>
          <w:bCs w:val="1"/>
          <w:color w:val="00171E"/>
        </w:rPr>
        <w:t xml:space="preserve">Representations. </w:t>
      </w:r>
      <w:r>
        <w:rPr>
          <w:rFonts w:ascii="Times New Roman" w:cs="Times New Roman" w:eastAsia="Times New Roman" w:hAnsi="Times New Roman"/>
          <w:sz w:val="20"/>
          <w:szCs w:val="20"/>
          <w:color w:val="00171E"/>
        </w:rPr>
        <w:t>Each person executing this Agreement hereby represents and warrants on behalf of himself/herself and of the</w:t>
      </w:r>
      <w:r>
        <w:rPr>
          <w:rFonts w:ascii="Times New Roman" w:cs="Times New Roman" w:eastAsia="Times New Roman" w:hAnsi="Times New Roman"/>
          <w:sz w:val="20"/>
          <w:szCs w:val="20"/>
          <w:b w:val="1"/>
          <w:bCs w:val="1"/>
          <w:color w:val="00171E"/>
        </w:rPr>
        <w:t xml:space="preserve"> </w:t>
      </w:r>
      <w:r>
        <w:rPr>
          <w:rFonts w:ascii="Times New Roman" w:cs="Times New Roman" w:eastAsia="Times New Roman" w:hAnsi="Times New Roman"/>
          <w:sz w:val="20"/>
          <w:szCs w:val="20"/>
          <w:color w:val="00171E"/>
        </w:rPr>
        <w:t>entity/individual on whose behalf he/she is executing the Agreement that he/she is authorized to represent and bind the entity/individual on whose behalf he/she is executing the Agreement. Executive specifically represents and warrants to the Company that he/she reasonably believes (a) he/she is not under any contractual or other obligations that would prevent, limit or impair Executive’s performance of his/her obligations under this Agreement and (b) that entering into this Agreement will not result in a breach of any other agreement to which he/she is a party. Executive acknowledges that Executive has been given the opportunity to consult with legal counsel and seek such advice and consultation as Executive deems appropriate or necessary.</w:t>
      </w:r>
    </w:p>
    <w:p>
      <w:pPr>
        <w:spacing w:after="0" w:line="179" w:lineRule="exact"/>
        <w:rPr>
          <w:rFonts w:ascii="Times New Roman" w:cs="Times New Roman" w:eastAsia="Times New Roman" w:hAnsi="Times New Roman"/>
          <w:sz w:val="20"/>
          <w:szCs w:val="20"/>
          <w:b w:val="1"/>
          <w:bCs w:val="1"/>
          <w:color w:val="00171E"/>
        </w:rPr>
      </w:pPr>
    </w:p>
    <w:p>
      <w:pPr>
        <w:jc w:val="both"/>
        <w:ind w:firstLine="757"/>
        <w:spacing w:after="0" w:line="250" w:lineRule="auto"/>
        <w:tabs>
          <w:tab w:leader="none" w:pos="1018" w:val="left"/>
        </w:tabs>
        <w:numPr>
          <w:ilvl w:val="0"/>
          <w:numId w:val="104"/>
        </w:numPr>
        <w:rPr>
          <w:rFonts w:ascii="Times New Roman" w:cs="Times New Roman" w:eastAsia="Times New Roman" w:hAnsi="Times New Roman"/>
          <w:sz w:val="20"/>
          <w:szCs w:val="20"/>
          <w:b w:val="1"/>
          <w:bCs w:val="1"/>
          <w:color w:val="00171E"/>
        </w:rPr>
      </w:pPr>
      <w:r>
        <w:rPr>
          <w:rFonts w:ascii="Times New Roman" w:cs="Times New Roman" w:eastAsia="Times New Roman" w:hAnsi="Times New Roman"/>
          <w:sz w:val="20"/>
          <w:szCs w:val="20"/>
          <w:b w:val="1"/>
          <w:bCs w:val="1"/>
          <w:color w:val="00171E"/>
        </w:rPr>
        <w:t xml:space="preserve">Amendments and Waivers. </w:t>
      </w:r>
      <w:r>
        <w:rPr>
          <w:rFonts w:ascii="Times New Roman" w:cs="Times New Roman" w:eastAsia="Times New Roman" w:hAnsi="Times New Roman"/>
          <w:sz w:val="20"/>
          <w:szCs w:val="20"/>
          <w:color w:val="00171E"/>
        </w:rPr>
        <w:t>No provisions of this Agreement may be modified, waived, or discharged except by a written</w:t>
      </w:r>
      <w:r>
        <w:rPr>
          <w:rFonts w:ascii="Times New Roman" w:cs="Times New Roman" w:eastAsia="Times New Roman" w:hAnsi="Times New Roman"/>
          <w:sz w:val="20"/>
          <w:szCs w:val="20"/>
          <w:b w:val="1"/>
          <w:bCs w:val="1"/>
          <w:color w:val="00171E"/>
        </w:rPr>
        <w:t xml:space="preserve"> </w:t>
      </w:r>
      <w:r>
        <w:rPr>
          <w:rFonts w:ascii="Times New Roman" w:cs="Times New Roman" w:eastAsia="Times New Roman" w:hAnsi="Times New Roman"/>
          <w:sz w:val="20"/>
          <w:szCs w:val="20"/>
          <w:color w:val="00171E"/>
        </w:rPr>
        <w:t>document signed by Executive and a duly authorized Company officer. Thus, for example, promotions, commendations, and/or bonuses shall not, by themselves, modify, amend, or extend this Agreement. A waiver of any conditions or provisions of this Agreement in a given instance shall not be deemed a waiver of such conditions or provisions at any other time.</w:t>
      </w:r>
    </w:p>
    <w:p>
      <w:pPr>
        <w:spacing w:after="0" w:line="67" w:lineRule="exact"/>
        <w:rPr>
          <w:rFonts w:ascii="Times New Roman" w:cs="Times New Roman" w:eastAsia="Times New Roman" w:hAnsi="Times New Roman"/>
          <w:sz w:val="20"/>
          <w:szCs w:val="20"/>
          <w:b w:val="1"/>
          <w:bCs w:val="1"/>
          <w:color w:val="00171E"/>
        </w:rPr>
      </w:pPr>
    </w:p>
    <w:p>
      <w:pPr>
        <w:ind w:left="1020" w:hanging="263"/>
        <w:spacing w:after="0"/>
        <w:tabs>
          <w:tab w:leader="none" w:pos="1020" w:val="left"/>
        </w:tabs>
        <w:numPr>
          <w:ilvl w:val="0"/>
          <w:numId w:val="104"/>
        </w:numPr>
        <w:rPr>
          <w:rFonts w:ascii="Times New Roman" w:cs="Times New Roman" w:eastAsia="Times New Roman" w:hAnsi="Times New Roman"/>
          <w:sz w:val="20"/>
          <w:szCs w:val="20"/>
          <w:b w:val="1"/>
          <w:bCs w:val="1"/>
          <w:color w:val="00171E"/>
        </w:rPr>
      </w:pPr>
      <w:r>
        <w:rPr>
          <w:rFonts w:ascii="Times New Roman" w:cs="Times New Roman" w:eastAsia="Times New Roman" w:hAnsi="Times New Roman"/>
          <w:sz w:val="20"/>
          <w:szCs w:val="20"/>
          <w:b w:val="1"/>
          <w:bCs w:val="1"/>
          <w:color w:val="00171E"/>
        </w:rPr>
        <w:t>Taxes.</w:t>
      </w:r>
    </w:p>
    <w:p>
      <w:pPr>
        <w:spacing w:after="0" w:line="111" w:lineRule="exact"/>
        <w:rPr>
          <w:rFonts w:ascii="Times New Roman" w:cs="Times New Roman" w:eastAsia="Times New Roman" w:hAnsi="Times New Roman"/>
          <w:sz w:val="20"/>
          <w:szCs w:val="20"/>
          <w:b w:val="1"/>
          <w:bCs w:val="1"/>
          <w:color w:val="00171E"/>
        </w:rPr>
      </w:pPr>
    </w:p>
    <w:p>
      <w:pPr>
        <w:jc w:val="both"/>
        <w:ind w:firstLine="1505"/>
        <w:spacing w:after="0" w:line="249" w:lineRule="auto"/>
        <w:tabs>
          <w:tab w:leader="none" w:pos="2036" w:val="left"/>
        </w:tabs>
        <w:numPr>
          <w:ilvl w:val="1"/>
          <w:numId w:val="104"/>
        </w:numPr>
        <w:rPr>
          <w:rFonts w:ascii="Times New Roman" w:cs="Times New Roman" w:eastAsia="Times New Roman" w:hAnsi="Times New Roman"/>
          <w:sz w:val="20"/>
          <w:szCs w:val="20"/>
          <w:u w:val="single" w:color="auto"/>
          <w:color w:val="00171E"/>
        </w:rPr>
      </w:pPr>
      <w:r>
        <w:rPr>
          <w:rFonts w:ascii="Times New Roman" w:cs="Times New Roman" w:eastAsia="Times New Roman" w:hAnsi="Times New Roman"/>
          <w:sz w:val="20"/>
          <w:szCs w:val="20"/>
          <w:u w:val="single" w:color="auto"/>
          <w:color w:val="00171E"/>
        </w:rPr>
        <w:t>Withholdings</w:t>
      </w:r>
      <w:r>
        <w:rPr>
          <w:rFonts w:ascii="Times New Roman" w:cs="Times New Roman" w:eastAsia="Times New Roman" w:hAnsi="Times New Roman"/>
          <w:sz w:val="20"/>
          <w:szCs w:val="20"/>
          <w:color w:val="00171E"/>
        </w:rPr>
        <w:t>. The Company may withhold from any compensation and benefits payable under this Agreement all federal, state, city and other taxes or amounts as shall be determined by the Company to be required to be withheld pursuant to applicable laws, or governmental regulations or rulings. Executive shall be solely responsible for the satisfaction of any taxes (including employment taxes imposed on employees and penalty taxes on nonqualified deferred compensation).</w:t>
      </w:r>
    </w:p>
    <w:p>
      <w:pPr>
        <w:spacing w:after="0" w:line="71" w:lineRule="exact"/>
        <w:rPr>
          <w:rFonts w:ascii="Times New Roman" w:cs="Times New Roman" w:eastAsia="Times New Roman" w:hAnsi="Times New Roman"/>
          <w:sz w:val="20"/>
          <w:szCs w:val="20"/>
          <w:u w:val="single" w:color="auto"/>
          <w:color w:val="00171E"/>
        </w:rPr>
      </w:pPr>
    </w:p>
    <w:p>
      <w:pPr>
        <w:ind w:firstLine="1505"/>
        <w:spacing w:after="0" w:line="254" w:lineRule="auto"/>
        <w:tabs>
          <w:tab w:leader="none" w:pos="2036" w:val="left"/>
        </w:tabs>
        <w:numPr>
          <w:ilvl w:val="1"/>
          <w:numId w:val="104"/>
        </w:numPr>
        <w:rPr>
          <w:rFonts w:ascii="Times New Roman" w:cs="Times New Roman" w:eastAsia="Times New Roman" w:hAnsi="Times New Roman"/>
          <w:sz w:val="20"/>
          <w:szCs w:val="20"/>
          <w:u w:val="single" w:color="auto"/>
          <w:color w:val="00171E"/>
        </w:rPr>
      </w:pPr>
      <w:r>
        <w:rPr>
          <w:rFonts w:ascii="Times New Roman" w:cs="Times New Roman" w:eastAsia="Times New Roman" w:hAnsi="Times New Roman"/>
          <w:sz w:val="20"/>
          <w:szCs w:val="20"/>
          <w:u w:val="single" w:color="auto"/>
          <w:color w:val="00171E"/>
        </w:rPr>
        <w:t>Net Proceeds Maximization</w:t>
      </w:r>
      <w:r>
        <w:rPr>
          <w:rFonts w:ascii="Times New Roman" w:cs="Times New Roman" w:eastAsia="Times New Roman" w:hAnsi="Times New Roman"/>
          <w:sz w:val="20"/>
          <w:szCs w:val="20"/>
          <w:color w:val="00171E"/>
        </w:rPr>
        <w:t>. Notwithstanding any provision of this Agreement to the contrary, if all or any portion of the payments or benefits received or realized by Executive pursuant to this Agreement either alone or together with other payments or benefits that Executive receives or realizes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71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75"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6"/>
          <w:szCs w:val="16"/>
          <w:b w:val="1"/>
          <w:bCs w:val="1"/>
          <w:color w:val="auto"/>
        </w:rPr>
        <w:t>E</w:t>
      </w:r>
      <w:r>
        <w:rPr>
          <w:rFonts w:ascii="Times New Roman" w:cs="Times New Roman" w:eastAsia="Times New Roman" w:hAnsi="Times New Roman"/>
          <w:sz w:val="10"/>
          <w:szCs w:val="10"/>
          <w:b w:val="1"/>
          <w:bCs w:val="1"/>
          <w:color w:val="auto"/>
        </w:rPr>
        <w:t>xecutive</w:t>
      </w:r>
      <w:r>
        <w:rPr>
          <w:rFonts w:ascii="Times New Roman" w:cs="Times New Roman" w:eastAsia="Times New Roman" w:hAnsi="Times New Roman"/>
          <w:sz w:val="16"/>
          <w:szCs w:val="16"/>
          <w:b w:val="1"/>
          <w:bCs w:val="1"/>
          <w:color w:val="auto"/>
        </w:rPr>
        <w:t xml:space="preserve"> E</w:t>
      </w:r>
      <w:r>
        <w:rPr>
          <w:rFonts w:ascii="Times New Roman" w:cs="Times New Roman" w:eastAsia="Times New Roman" w:hAnsi="Times New Roman"/>
          <w:sz w:val="10"/>
          <w:szCs w:val="10"/>
          <w:b w:val="1"/>
          <w:bCs w:val="1"/>
          <w:color w:val="auto"/>
        </w:rPr>
        <w:t>mployment</w:t>
      </w:r>
      <w:r>
        <w:rPr>
          <w:rFonts w:ascii="Times New Roman" w:cs="Times New Roman" w:eastAsia="Times New Roman" w:hAnsi="Times New Roman"/>
          <w:sz w:val="16"/>
          <w:szCs w:val="16"/>
          <w:b w:val="1"/>
          <w:bCs w:val="1"/>
          <w:color w:val="auto"/>
        </w:rPr>
        <w:t xml:space="preserve"> A</w:t>
      </w:r>
      <w:r>
        <w:rPr>
          <w:rFonts w:ascii="Times New Roman" w:cs="Times New Roman" w:eastAsia="Times New Roman" w:hAnsi="Times New Roman"/>
          <w:sz w:val="10"/>
          <w:szCs w:val="10"/>
          <w:b w:val="1"/>
          <w:bCs w:val="1"/>
          <w:color w:val="auto"/>
        </w:rPr>
        <w:t>gmt</w:t>
      </w:r>
      <w:r>
        <w:rPr>
          <w:rFonts w:ascii="Times New Roman" w:cs="Times New Roman" w:eastAsia="Times New Roman" w:hAnsi="Times New Roman"/>
          <w:sz w:val="16"/>
          <w:szCs w:val="16"/>
          <w:b w:val="1"/>
          <w:bCs w:val="1"/>
          <w:color w:val="auto"/>
        </w:rPr>
        <w:t xml:space="preserve"> S</w:t>
      </w:r>
      <w:r>
        <w:rPr>
          <w:rFonts w:ascii="Times New Roman" w:cs="Times New Roman" w:eastAsia="Times New Roman" w:hAnsi="Times New Roman"/>
          <w:sz w:val="10"/>
          <w:szCs w:val="10"/>
          <w:b w:val="1"/>
          <w:bCs w:val="1"/>
          <w:color w:val="auto"/>
        </w:rPr>
        <w:t>td</w:t>
      </w:r>
      <w:r>
        <w:rPr>
          <w:rFonts w:ascii="Times New Roman" w:cs="Times New Roman" w:eastAsia="Times New Roman" w:hAnsi="Times New Roman"/>
          <w:sz w:val="16"/>
          <w:szCs w:val="16"/>
          <w:b w:val="1"/>
          <w:bCs w:val="1"/>
          <w:color w:val="auto"/>
        </w:rPr>
        <w:t xml:space="preserve"> 11.1.24</w:t>
      </w:r>
      <w:r>
        <w:rPr>
          <w:sz w:val="20"/>
          <w:szCs w:val="20"/>
          <w:color w:val="auto"/>
        </w:rPr>
        <w:tab/>
      </w:r>
      <w:r>
        <w:rPr>
          <w:rFonts w:ascii="Times New Roman" w:cs="Times New Roman" w:eastAsia="Times New Roman" w:hAnsi="Times New Roman"/>
          <w:sz w:val="16"/>
          <w:szCs w:val="16"/>
          <w:b w:val="1"/>
          <w:bCs w:val="1"/>
          <w:color w:val="auto"/>
        </w:rPr>
        <w:t>A</w:t>
      </w:r>
      <w:r>
        <w:rPr>
          <w:rFonts w:ascii="Times New Roman" w:cs="Times New Roman" w:eastAsia="Times New Roman" w:hAnsi="Times New Roman"/>
          <w:sz w:val="10"/>
          <w:szCs w:val="10"/>
          <w:b w:val="1"/>
          <w:bCs w:val="1"/>
          <w:color w:val="auto"/>
        </w:rPr>
        <w:t>ccuray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16</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NUMPAGES \* Arabic \* MERGEFORMAT 31</w:t>
      </w:r>
    </w:p>
    <w:p>
      <w:pPr>
        <w:spacing w:after="0" w:line="200" w:lineRule="exact"/>
        <w:rPr>
          <w:sz w:val="20"/>
          <w:szCs w:val="20"/>
          <w:color w:val="auto"/>
        </w:rPr>
      </w:pPr>
    </w:p>
    <w:p>
      <w:pPr>
        <w:spacing w:after="0" w:line="24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00171E"/>
        </w:rPr>
        <w:t>or is then entitled to receive or realize from the Company or any of its affiliates (“</w:t>
      </w:r>
      <w:r>
        <w:rPr>
          <w:rFonts w:ascii="Times New Roman" w:cs="Times New Roman" w:eastAsia="Times New Roman" w:hAnsi="Times New Roman"/>
          <w:sz w:val="20"/>
          <w:szCs w:val="20"/>
          <w:u w:val="single" w:color="auto"/>
          <w:color w:val="00171E"/>
        </w:rPr>
        <w:t>Potential Parachute Payments</w:t>
      </w:r>
      <w:r>
        <w:rPr>
          <w:rFonts w:ascii="Times New Roman" w:cs="Times New Roman" w:eastAsia="Times New Roman" w:hAnsi="Times New Roman"/>
          <w:sz w:val="20"/>
          <w:szCs w:val="20"/>
          <w:color w:val="00171E"/>
        </w:rPr>
        <w:t>”) would constitute a “parachute payment” within the meaning of section 280G of the Internal Revenue Code of 1986, as amended (the “</w:t>
      </w:r>
      <w:r>
        <w:rPr>
          <w:rFonts w:ascii="Times New Roman" w:cs="Times New Roman" w:eastAsia="Times New Roman" w:hAnsi="Times New Roman"/>
          <w:sz w:val="20"/>
          <w:szCs w:val="20"/>
          <w:u w:val="single" w:color="auto"/>
          <w:color w:val="00171E"/>
        </w:rPr>
        <w:t>Code</w:t>
      </w:r>
      <w:r>
        <w:rPr>
          <w:rFonts w:ascii="Times New Roman" w:cs="Times New Roman" w:eastAsia="Times New Roman" w:hAnsi="Times New Roman"/>
          <w:sz w:val="20"/>
          <w:szCs w:val="20"/>
          <w:color w:val="00171E"/>
        </w:rPr>
        <w:t>”), and/or any corresponding and applicable state law provision, the Potential Parachute Payments will be reduced by reducing the amount of the Potential Parachute Payments to the extent necessary so that no portion of the Potential Parachute Payments will be subject to the excise tax imposed by section 4999 of the Code and any corresponding and/or applicable state law provision. A reduction will be made under the previous sentence only if, by reason of that reduction, Executive's net after tax benefit exceeds the net after tax benefit he/she would realize if the reduction were not made. For purposes of this paragraph, “net after tax benefit” means the sum of (i) the total amount received or realized by Executive pursuant to this Agreement that would constitute a “parachute payment” within the meaning of section 280G of the Code and any corresponding and applicable state law provision, plus (ii) all other payments or benefits that Executive receives or realizes or is then entitled to receive or realize from the Company and any of its affiliates that would constitute a “parachute payment” within the meaning of Section 280G of the Code and any corresponding and applicable state law provision, less (iii) the amount of federal or state income taxes payable with respect to the payments or benefits described in (i) and (ii) above calculated at the maximum marginal individual income tax rate for each year in which payments or benefits are realized by Executive (based upon the rate in effect for that year as set forth in the Code at the time of the first receipt or realization of the foregoing), less (iv) the amount of excise taxes imposed with respect to the payments or benefits described in (i) and (ii) above by section 4999 of the Code and any corresponding and applicable state law provision. All determinations and calculations made in this paragraph shall be made by an independent accounting firm selected by the Company prior to the Change in Control (the “</w:t>
      </w:r>
      <w:r>
        <w:rPr>
          <w:rFonts w:ascii="Times New Roman" w:cs="Times New Roman" w:eastAsia="Times New Roman" w:hAnsi="Times New Roman"/>
          <w:sz w:val="20"/>
          <w:szCs w:val="20"/>
          <w:u w:val="single" w:color="auto"/>
          <w:color w:val="00171E"/>
        </w:rPr>
        <w:t>Accounting Firm</w:t>
      </w:r>
      <w:r>
        <w:rPr>
          <w:rFonts w:ascii="Times New Roman" w:cs="Times New Roman" w:eastAsia="Times New Roman" w:hAnsi="Times New Roman"/>
          <w:sz w:val="20"/>
          <w:szCs w:val="20"/>
          <w:color w:val="00171E"/>
        </w:rPr>
        <w:t xml:space="preserve">”) and the Company will bear all costs and expenses incurred by the Accounting Firm in connection with its determination. The Accounting Firm shall be a nationally recognized United States public accounting firm which has not, during the two (2) years preceding the date of its selection, acted in any way on behalf of (x) the Company or any affiliate thereof or (y) Executive. If any payments or benefits are reduced pursuant to this </w:t>
      </w:r>
      <w:r>
        <w:rPr>
          <w:rFonts w:ascii="Times New Roman" w:cs="Times New Roman" w:eastAsia="Times New Roman" w:hAnsi="Times New Roman"/>
          <w:sz w:val="20"/>
          <w:szCs w:val="20"/>
          <w:u w:val="single" w:color="auto"/>
          <w:color w:val="00171E"/>
        </w:rPr>
        <w:t>Section 16(b)</w:t>
      </w:r>
      <w:r>
        <w:rPr>
          <w:rFonts w:ascii="Times New Roman" w:cs="Times New Roman" w:eastAsia="Times New Roman" w:hAnsi="Times New Roman"/>
          <w:sz w:val="20"/>
          <w:szCs w:val="20"/>
          <w:color w:val="00171E"/>
        </w:rPr>
        <w:t>, they shall be reduced in the following order: First all payments and benefits that do not constitute “nonqualified deferred compensation” within the meaning of Section 409A or that are exempt from Section 409A (with the payments or benefits being reduced in reverse order of when they otherwise would be made or provided); second, all payments or benefits that constitute “nonqualified deferred compensation” within the meaning of Section 409A that are not exempt from Section 409A that were granted to Executive in the 12-month period of time preceding the applicable Change in Control, in the order such benefits were granted to Executive; and third, all remaining payments and benefits shall be reduced pro-rata. Notwithstanding the foregoing, if (i) reducing payments or benefits in the order described above would result in the imposition on Executive of an additional tax under Section 409A, (ii) Executive so notifies the Company before such reductions and payments are made and benefits provided, and (iii) reducing the payments or benefits in another order would not result in the imposition on Executive of an additional tax under Section 409A , payments and benefits shall instead be reduced in such other order.</w:t>
      </w:r>
    </w:p>
    <w:p>
      <w:pPr>
        <w:spacing w:after="0" w:line="94" w:lineRule="exact"/>
        <w:rPr>
          <w:sz w:val="20"/>
          <w:szCs w:val="20"/>
          <w:color w:val="auto"/>
        </w:rPr>
      </w:pPr>
    </w:p>
    <w:p>
      <w:pPr>
        <w:ind w:left="2040" w:hanging="535"/>
        <w:spacing w:after="0"/>
        <w:tabs>
          <w:tab w:leader="none" w:pos="2040" w:val="left"/>
        </w:tabs>
        <w:numPr>
          <w:ilvl w:val="0"/>
          <w:numId w:val="105"/>
        </w:numPr>
        <w:rPr>
          <w:rFonts w:ascii="Times New Roman" w:cs="Times New Roman" w:eastAsia="Times New Roman" w:hAnsi="Times New Roman"/>
          <w:sz w:val="20"/>
          <w:szCs w:val="20"/>
          <w:u w:val="single" w:color="auto"/>
          <w:color w:val="00171E"/>
        </w:rPr>
      </w:pPr>
      <w:r>
        <w:rPr>
          <w:rFonts w:ascii="Times New Roman" w:cs="Times New Roman" w:eastAsia="Times New Roman" w:hAnsi="Times New Roman"/>
          <w:sz w:val="20"/>
          <w:szCs w:val="20"/>
          <w:u w:val="single" w:color="auto"/>
          <w:color w:val="00171E"/>
        </w:rPr>
        <w:t>Section 409A Compliance</w:t>
      </w:r>
      <w:r>
        <w:rPr>
          <w:rFonts w:ascii="Times New Roman" w:cs="Times New Roman" w:eastAsia="Times New Roman" w:hAnsi="Times New Roman"/>
          <w:sz w:val="20"/>
          <w:szCs w:val="20"/>
          <w:color w:val="00171E"/>
        </w:rPr>
        <w:t>.</w:t>
      </w:r>
    </w:p>
    <w:p>
      <w:pPr>
        <w:spacing w:after="0" w:line="107" w:lineRule="exact"/>
        <w:rPr>
          <w:rFonts w:ascii="Times New Roman" w:cs="Times New Roman" w:eastAsia="Times New Roman" w:hAnsi="Times New Roman"/>
          <w:sz w:val="20"/>
          <w:szCs w:val="20"/>
          <w:u w:val="single" w:color="auto"/>
          <w:color w:val="00171E"/>
        </w:rPr>
      </w:pPr>
    </w:p>
    <w:p>
      <w:pPr>
        <w:jc w:val="both"/>
        <w:ind w:firstLine="2254"/>
        <w:spacing w:after="0" w:line="243" w:lineRule="auto"/>
        <w:tabs>
          <w:tab w:leader="none" w:pos="2546" w:val="left"/>
        </w:tabs>
        <w:numPr>
          <w:ilvl w:val="1"/>
          <w:numId w:val="105"/>
        </w:numPr>
        <w:rPr>
          <w:rFonts w:ascii="Times New Roman" w:cs="Times New Roman" w:eastAsia="Times New Roman" w:hAnsi="Times New Roman"/>
          <w:sz w:val="20"/>
          <w:szCs w:val="20"/>
          <w:color w:val="00171E"/>
        </w:rPr>
      </w:pPr>
      <w:r>
        <w:rPr>
          <w:rFonts w:ascii="Times New Roman" w:cs="Times New Roman" w:eastAsia="Times New Roman" w:hAnsi="Times New Roman"/>
          <w:sz w:val="20"/>
          <w:szCs w:val="20"/>
          <w:color w:val="00171E"/>
        </w:rPr>
        <w:t>With respect to any reimbursement of expenses or any provision of in-kind benefits to Executive specified under this Agreement, such reimbursement of expenses or provision of in-kind benefits shall be subject to the following conditions: (1) the expenses eligible for reimbursement or the amount of in-kind benefits provided in one taxable year shall not affect the expenses eligible for reimbursement or the amount of in-kind benefits provided in any other taxable year, except for any medical reimbursement arrangements providing for the reimbursement of expenses referred to in section 105(b) of the Code; (2) the reimbursement of an eligible expense shall be made no later than the end of the year following the year in which such expense was incurred; and (3) the right to reimbursement or in-kind benefits shall not be subject to liquidation or exchange for another benefit. To the extent any bonus that becomes payable to Executive under the Bonus Plan constitutes “deferred compensation” within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71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0"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6"/>
          <w:szCs w:val="16"/>
          <w:b w:val="1"/>
          <w:bCs w:val="1"/>
          <w:color w:val="auto"/>
        </w:rPr>
        <w:t>E</w:t>
      </w:r>
      <w:r>
        <w:rPr>
          <w:rFonts w:ascii="Times New Roman" w:cs="Times New Roman" w:eastAsia="Times New Roman" w:hAnsi="Times New Roman"/>
          <w:sz w:val="10"/>
          <w:szCs w:val="10"/>
          <w:b w:val="1"/>
          <w:bCs w:val="1"/>
          <w:color w:val="auto"/>
        </w:rPr>
        <w:t>xecutive</w:t>
      </w:r>
      <w:r>
        <w:rPr>
          <w:rFonts w:ascii="Times New Roman" w:cs="Times New Roman" w:eastAsia="Times New Roman" w:hAnsi="Times New Roman"/>
          <w:sz w:val="16"/>
          <w:szCs w:val="16"/>
          <w:b w:val="1"/>
          <w:bCs w:val="1"/>
          <w:color w:val="auto"/>
        </w:rPr>
        <w:t xml:space="preserve"> E</w:t>
      </w:r>
      <w:r>
        <w:rPr>
          <w:rFonts w:ascii="Times New Roman" w:cs="Times New Roman" w:eastAsia="Times New Roman" w:hAnsi="Times New Roman"/>
          <w:sz w:val="10"/>
          <w:szCs w:val="10"/>
          <w:b w:val="1"/>
          <w:bCs w:val="1"/>
          <w:color w:val="auto"/>
        </w:rPr>
        <w:t>mployment</w:t>
      </w:r>
      <w:r>
        <w:rPr>
          <w:rFonts w:ascii="Times New Roman" w:cs="Times New Roman" w:eastAsia="Times New Roman" w:hAnsi="Times New Roman"/>
          <w:sz w:val="16"/>
          <w:szCs w:val="16"/>
          <w:b w:val="1"/>
          <w:bCs w:val="1"/>
          <w:color w:val="auto"/>
        </w:rPr>
        <w:t xml:space="preserve"> A</w:t>
      </w:r>
      <w:r>
        <w:rPr>
          <w:rFonts w:ascii="Times New Roman" w:cs="Times New Roman" w:eastAsia="Times New Roman" w:hAnsi="Times New Roman"/>
          <w:sz w:val="10"/>
          <w:szCs w:val="10"/>
          <w:b w:val="1"/>
          <w:bCs w:val="1"/>
          <w:color w:val="auto"/>
        </w:rPr>
        <w:t>gmt</w:t>
      </w:r>
      <w:r>
        <w:rPr>
          <w:rFonts w:ascii="Times New Roman" w:cs="Times New Roman" w:eastAsia="Times New Roman" w:hAnsi="Times New Roman"/>
          <w:sz w:val="16"/>
          <w:szCs w:val="16"/>
          <w:b w:val="1"/>
          <w:bCs w:val="1"/>
          <w:color w:val="auto"/>
        </w:rPr>
        <w:t xml:space="preserve"> S</w:t>
      </w:r>
      <w:r>
        <w:rPr>
          <w:rFonts w:ascii="Times New Roman" w:cs="Times New Roman" w:eastAsia="Times New Roman" w:hAnsi="Times New Roman"/>
          <w:sz w:val="10"/>
          <w:szCs w:val="10"/>
          <w:b w:val="1"/>
          <w:bCs w:val="1"/>
          <w:color w:val="auto"/>
        </w:rPr>
        <w:t>td</w:t>
      </w:r>
      <w:r>
        <w:rPr>
          <w:rFonts w:ascii="Times New Roman" w:cs="Times New Roman" w:eastAsia="Times New Roman" w:hAnsi="Times New Roman"/>
          <w:sz w:val="16"/>
          <w:szCs w:val="16"/>
          <w:b w:val="1"/>
          <w:bCs w:val="1"/>
          <w:color w:val="auto"/>
        </w:rPr>
        <w:t xml:space="preserve"> 11.1.24</w:t>
      </w:r>
      <w:r>
        <w:rPr>
          <w:sz w:val="20"/>
          <w:szCs w:val="20"/>
          <w:color w:val="auto"/>
        </w:rPr>
        <w:tab/>
      </w:r>
      <w:r>
        <w:rPr>
          <w:rFonts w:ascii="Times New Roman" w:cs="Times New Roman" w:eastAsia="Times New Roman" w:hAnsi="Times New Roman"/>
          <w:sz w:val="16"/>
          <w:szCs w:val="16"/>
          <w:b w:val="1"/>
          <w:bCs w:val="1"/>
          <w:color w:val="auto"/>
        </w:rPr>
        <w:t>A</w:t>
      </w:r>
      <w:r>
        <w:rPr>
          <w:rFonts w:ascii="Times New Roman" w:cs="Times New Roman" w:eastAsia="Times New Roman" w:hAnsi="Times New Roman"/>
          <w:sz w:val="10"/>
          <w:szCs w:val="10"/>
          <w:b w:val="1"/>
          <w:bCs w:val="1"/>
          <w:color w:val="auto"/>
        </w:rPr>
        <w:t>ccuray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5" w:name="page116"/>
    <w:bookmarkEnd w:id="115"/>
    <w:p>
      <w:pPr>
        <w:ind w:left="6560"/>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17</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NUMPAGES \* Arabic \* MERGEFORMAT 31</w:t>
      </w:r>
    </w:p>
    <w:p>
      <w:pPr>
        <w:spacing w:after="0" w:line="200" w:lineRule="exact"/>
        <w:rPr>
          <w:sz w:val="20"/>
          <w:szCs w:val="20"/>
          <w:color w:val="auto"/>
        </w:rPr>
      </w:pPr>
    </w:p>
    <w:p>
      <w:pPr>
        <w:spacing w:after="0" w:line="24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00171E"/>
        </w:rPr>
        <w:t>meaning of Section 409A of the Code, then notwithstanding any payment timing provisions in the Bonus Plan to the contrary, such payment will be made in the calendar year in which the applicable performance period ends.</w:t>
      </w:r>
    </w:p>
    <w:p>
      <w:pPr>
        <w:spacing w:after="0" w:line="51" w:lineRule="exact"/>
        <w:rPr>
          <w:sz w:val="20"/>
          <w:szCs w:val="20"/>
          <w:color w:val="auto"/>
        </w:rPr>
      </w:pPr>
    </w:p>
    <w:p>
      <w:pPr>
        <w:jc w:val="both"/>
        <w:ind w:firstLine="2254"/>
        <w:spacing w:after="0" w:line="245" w:lineRule="auto"/>
        <w:tabs>
          <w:tab w:leader="none" w:pos="2546" w:val="left"/>
        </w:tabs>
        <w:numPr>
          <w:ilvl w:val="0"/>
          <w:numId w:val="106"/>
        </w:numPr>
        <w:rPr>
          <w:rFonts w:ascii="Times New Roman" w:cs="Times New Roman" w:eastAsia="Times New Roman" w:hAnsi="Times New Roman"/>
          <w:sz w:val="20"/>
          <w:szCs w:val="20"/>
          <w:color w:val="00171E"/>
        </w:rPr>
      </w:pPr>
      <w:r>
        <w:rPr>
          <w:rFonts w:ascii="Times New Roman" w:cs="Times New Roman" w:eastAsia="Times New Roman" w:hAnsi="Times New Roman"/>
          <w:sz w:val="20"/>
          <w:szCs w:val="20"/>
          <w:color w:val="00171E"/>
        </w:rPr>
        <w:t>A termination of employment shall not be deemed to have occurred for purposes of any provision of this Agreement providing for the payment of any amounts or benefits considered “deferred compensation” (as defined under Treasury Regulation section 1.409A-1(b)(1), after giving effect to the exemptions in Treasury Regulation sections 1.409A-1(b)(3) through (b)(12)) upon or following a termination of employment unless such termination is also a “separation from service” within the meaning of Section 409A and, for purposes of any such provision of this Agreement, references to a “termination,” “termination of employment” or like terms shall mean “separation from service” within the meaning of Section 409A.</w:t>
      </w:r>
    </w:p>
    <w:p>
      <w:pPr>
        <w:spacing w:after="0" w:line="76" w:lineRule="exact"/>
        <w:rPr>
          <w:sz w:val="20"/>
          <w:szCs w:val="20"/>
          <w:color w:val="auto"/>
        </w:rPr>
      </w:pPr>
    </w:p>
    <w:p>
      <w:pPr>
        <w:jc w:val="both"/>
        <w:ind w:firstLine="2246"/>
        <w:spacing w:after="0" w:line="242" w:lineRule="auto"/>
        <w:rPr>
          <w:sz w:val="20"/>
          <w:szCs w:val="20"/>
          <w:color w:val="auto"/>
        </w:rPr>
      </w:pPr>
      <w:r>
        <w:rPr>
          <w:rFonts w:ascii="Times New Roman" w:cs="Times New Roman" w:eastAsia="Times New Roman" w:hAnsi="Times New Roman"/>
          <w:sz w:val="20"/>
          <w:szCs w:val="20"/>
          <w:color w:val="00171E"/>
        </w:rPr>
        <w:t>(iii)Notwithstanding anything in this Agreement to the contrary, if a payment obligation arises on account of Executive’s separation from service while Executive is a “specified employee” as described in Section 409A of the Code and any final regulations and guidance thereunder and any applicable state or local law equivalent, as each may be amended or promulgated from time to time (collectively, “</w:t>
      </w:r>
      <w:r>
        <w:rPr>
          <w:rFonts w:ascii="Times New Roman" w:cs="Times New Roman" w:eastAsia="Times New Roman" w:hAnsi="Times New Roman"/>
          <w:sz w:val="20"/>
          <w:szCs w:val="20"/>
          <w:u w:val="single" w:color="auto"/>
          <w:color w:val="00171E"/>
        </w:rPr>
        <w:t>Section 409A</w:t>
      </w:r>
      <w:r>
        <w:rPr>
          <w:rFonts w:ascii="Times New Roman" w:cs="Times New Roman" w:eastAsia="Times New Roman" w:hAnsi="Times New Roman"/>
          <w:sz w:val="20"/>
          <w:szCs w:val="20"/>
          <w:color w:val="00171E"/>
        </w:rPr>
        <w:t>”), and as determined by Company in accordance with its procedures, by which determination Executive is bound, any payment of “deferred compensation” (as defined under Treasury Regulation section 1.409A-1(b)(1), after giving effect to the exemptions in Treasury Regulation sections 1.409A-1(b)(3) through (b)(12)) shall be made on the first business day of the seventh month following the date of Executive’s separation from service (or, if earlier, within fifteen (15) days after the appointment of the personal representative or executor of Executive’s estate following Executive’s death) together with interest on them for the period of delay at a rate equal to the average prime interest rate published in the Wall Street Journal on any day chosen by the Company during that period. Thereafter, Executive shall receive any remaining payments as if there had not been an earlier delay.</w:t>
      </w:r>
    </w:p>
    <w:p>
      <w:pPr>
        <w:spacing w:after="0" w:line="84" w:lineRule="exact"/>
        <w:rPr>
          <w:sz w:val="20"/>
          <w:szCs w:val="20"/>
          <w:color w:val="auto"/>
        </w:rPr>
      </w:pPr>
    </w:p>
    <w:p>
      <w:pPr>
        <w:jc w:val="both"/>
        <w:ind w:firstLine="2246"/>
        <w:spacing w:after="0" w:line="245" w:lineRule="auto"/>
        <w:rPr>
          <w:sz w:val="20"/>
          <w:szCs w:val="20"/>
          <w:color w:val="auto"/>
        </w:rPr>
      </w:pPr>
      <w:r>
        <w:rPr>
          <w:rFonts w:ascii="Times New Roman" w:cs="Times New Roman" w:eastAsia="Times New Roman" w:hAnsi="Times New Roman"/>
          <w:sz w:val="20"/>
          <w:szCs w:val="20"/>
          <w:color w:val="00171E"/>
        </w:rPr>
        <w:t>(iv)Notwithstanding anything to the contrary contained in this Agreement, (i) the Executive shall have no legally-enforceable right to, and the Company shall have no obligation to make, any payment or provide any benefit to Executive if having such a right or obligation would result in the imposition of additional taxes under Section 409A, and (ii) any provision that would cause any payment or benefit to fail to satisfy Section 409A will have no force and effect until amended to comply therewith (which amendment may be retroactive to the extent permitted by Section 409A and may be accomplished by the Company without the Executive’s consent). Each payment made under this Agreement is intended to be a separate payment for the purposes of section 409A of the Code.</w:t>
      </w:r>
    </w:p>
    <w:p>
      <w:pPr>
        <w:spacing w:after="0" w:line="76" w:lineRule="exact"/>
        <w:rPr>
          <w:sz w:val="20"/>
          <w:szCs w:val="20"/>
          <w:color w:val="auto"/>
        </w:rPr>
      </w:pPr>
    </w:p>
    <w:p>
      <w:pPr>
        <w:jc w:val="both"/>
        <w:ind w:firstLine="2254"/>
        <w:spacing w:after="0" w:line="244" w:lineRule="auto"/>
        <w:tabs>
          <w:tab w:leader="none" w:pos="2546" w:val="left"/>
        </w:tabs>
        <w:numPr>
          <w:ilvl w:val="1"/>
          <w:numId w:val="107"/>
        </w:numPr>
        <w:rPr>
          <w:rFonts w:ascii="Times New Roman" w:cs="Times New Roman" w:eastAsia="Times New Roman" w:hAnsi="Times New Roman"/>
          <w:sz w:val="20"/>
          <w:szCs w:val="20"/>
          <w:color w:val="00171E"/>
        </w:rPr>
      </w:pPr>
      <w:r>
        <w:rPr>
          <w:rFonts w:ascii="Times New Roman" w:cs="Times New Roman" w:eastAsia="Times New Roman" w:hAnsi="Times New Roman"/>
          <w:sz w:val="20"/>
          <w:szCs w:val="20"/>
          <w:color w:val="00171E"/>
        </w:rPr>
        <w:t>The Company does not guarantee any particular tax effect to Executive under this Agreement. Company shall not be liable to Executive for reporting in good faith any payment made under this Agreement as an amount includible in gross income under Section 409A. In no event will the Company or any of its affiliates have any obligation, liability or responsibility to reimburse or indemnify Executive or hold Executive harmless for any taxes imposed, or other costs incurred, as a result of Section 409A. The parties intend this Agreement to be exempt from, or comply with, the requirements of Section 409A so that none of the payments and benefits to be provided hereunder will be subject to the additional tax imposed by Section 409A. Any ambiguities or ambiguous terms shall be interpreted to so be exempt or comply, and this Agreement shall be administered in accordance with such intent.</w:t>
      </w:r>
    </w:p>
    <w:p>
      <w:pPr>
        <w:spacing w:after="0" w:line="73" w:lineRule="exact"/>
        <w:rPr>
          <w:rFonts w:ascii="Times New Roman" w:cs="Times New Roman" w:eastAsia="Times New Roman" w:hAnsi="Times New Roman"/>
          <w:sz w:val="20"/>
          <w:szCs w:val="20"/>
          <w:color w:val="00171E"/>
        </w:rPr>
      </w:pPr>
    </w:p>
    <w:p>
      <w:pPr>
        <w:jc w:val="both"/>
        <w:ind w:firstLine="757"/>
        <w:spacing w:after="0" w:line="250" w:lineRule="auto"/>
        <w:tabs>
          <w:tab w:leader="none" w:pos="1018" w:val="left"/>
        </w:tabs>
        <w:numPr>
          <w:ilvl w:val="0"/>
          <w:numId w:val="108"/>
        </w:numPr>
        <w:rPr>
          <w:rFonts w:ascii="Times New Roman" w:cs="Times New Roman" w:eastAsia="Times New Roman" w:hAnsi="Times New Roman"/>
          <w:sz w:val="20"/>
          <w:szCs w:val="20"/>
          <w:b w:val="1"/>
          <w:bCs w:val="1"/>
          <w:color w:val="00171E"/>
        </w:rPr>
      </w:pPr>
      <w:r>
        <w:rPr>
          <w:rFonts w:ascii="Times New Roman" w:cs="Times New Roman" w:eastAsia="Times New Roman" w:hAnsi="Times New Roman"/>
          <w:sz w:val="20"/>
          <w:szCs w:val="20"/>
          <w:b w:val="1"/>
          <w:bCs w:val="1"/>
          <w:color w:val="00171E"/>
        </w:rPr>
        <w:t xml:space="preserve">U.S. Citizenship and Immigration Services; Confidentiality and Inventions Agreement. </w:t>
      </w:r>
      <w:r>
        <w:rPr>
          <w:rFonts w:ascii="Times New Roman" w:cs="Times New Roman" w:eastAsia="Times New Roman" w:hAnsi="Times New Roman"/>
          <w:sz w:val="20"/>
          <w:szCs w:val="20"/>
          <w:color w:val="00171E"/>
        </w:rPr>
        <w:t>Executive agrees to timely file all</w:t>
      </w:r>
      <w:r>
        <w:rPr>
          <w:rFonts w:ascii="Times New Roman" w:cs="Times New Roman" w:eastAsia="Times New Roman" w:hAnsi="Times New Roman"/>
          <w:sz w:val="20"/>
          <w:szCs w:val="20"/>
          <w:b w:val="1"/>
          <w:bCs w:val="1"/>
          <w:color w:val="00171E"/>
        </w:rPr>
        <w:t xml:space="preserve"> </w:t>
      </w:r>
      <w:r>
        <w:rPr>
          <w:rFonts w:ascii="Times New Roman" w:cs="Times New Roman" w:eastAsia="Times New Roman" w:hAnsi="Times New Roman"/>
          <w:sz w:val="20"/>
          <w:szCs w:val="20"/>
          <w:color w:val="00171E"/>
        </w:rPr>
        <w:t>documents required by the Department of Homeland Security to verify his/her identity and lawful employment in the United States. In addition, as a condition to Executive’s employment with the Company, Executive is required to complete, sign, return, and abide by the Company’s Employee Confidentiality and Inventions Agreement.</w:t>
      </w:r>
    </w:p>
    <w:p>
      <w:pPr>
        <w:spacing w:after="0" w:line="67" w:lineRule="exact"/>
        <w:rPr>
          <w:rFonts w:ascii="Times New Roman" w:cs="Times New Roman" w:eastAsia="Times New Roman" w:hAnsi="Times New Roman"/>
          <w:sz w:val="20"/>
          <w:szCs w:val="20"/>
          <w:b w:val="1"/>
          <w:bCs w:val="1"/>
          <w:color w:val="00171E"/>
        </w:rPr>
      </w:pPr>
    </w:p>
    <w:p>
      <w:pPr>
        <w:ind w:firstLine="757"/>
        <w:spacing w:after="0" w:line="273" w:lineRule="auto"/>
        <w:tabs>
          <w:tab w:leader="none" w:pos="1018" w:val="left"/>
        </w:tabs>
        <w:numPr>
          <w:ilvl w:val="0"/>
          <w:numId w:val="108"/>
        </w:numPr>
        <w:rPr>
          <w:rFonts w:ascii="Times New Roman" w:cs="Times New Roman" w:eastAsia="Times New Roman" w:hAnsi="Times New Roman"/>
          <w:sz w:val="20"/>
          <w:szCs w:val="20"/>
          <w:b w:val="1"/>
          <w:bCs w:val="1"/>
          <w:color w:val="00171E"/>
        </w:rPr>
      </w:pPr>
      <w:r>
        <w:rPr>
          <w:rFonts w:ascii="Times New Roman" w:cs="Times New Roman" w:eastAsia="Times New Roman" w:hAnsi="Times New Roman"/>
          <w:sz w:val="20"/>
          <w:szCs w:val="20"/>
          <w:b w:val="1"/>
          <w:bCs w:val="1"/>
          <w:color w:val="00171E"/>
        </w:rPr>
        <w:t xml:space="preserve">Counterparts. </w:t>
      </w:r>
      <w:r>
        <w:rPr>
          <w:rFonts w:ascii="Times New Roman" w:cs="Times New Roman" w:eastAsia="Times New Roman" w:hAnsi="Times New Roman"/>
          <w:sz w:val="20"/>
          <w:szCs w:val="20"/>
          <w:color w:val="00171E"/>
        </w:rPr>
        <w:t>This Agreement may be executed in one or more counterparts, each of which shall be deemed to be an original</w:t>
      </w:r>
      <w:r>
        <w:rPr>
          <w:rFonts w:ascii="Times New Roman" w:cs="Times New Roman" w:eastAsia="Times New Roman" w:hAnsi="Times New Roman"/>
          <w:sz w:val="20"/>
          <w:szCs w:val="20"/>
          <w:b w:val="1"/>
          <w:bCs w:val="1"/>
          <w:color w:val="00171E"/>
        </w:rPr>
        <w:t xml:space="preserve"> </w:t>
      </w:r>
      <w:r>
        <w:rPr>
          <w:rFonts w:ascii="Times New Roman" w:cs="Times New Roman" w:eastAsia="Times New Roman" w:hAnsi="Times New Roman"/>
          <w:sz w:val="20"/>
          <w:szCs w:val="20"/>
          <w:color w:val="00171E"/>
        </w:rPr>
        <w:t>but all of which together shall constitute the same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132320" cy="171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56"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6"/>
          <w:szCs w:val="16"/>
          <w:b w:val="1"/>
          <w:bCs w:val="1"/>
          <w:color w:val="auto"/>
        </w:rPr>
        <w:t>E</w:t>
      </w:r>
      <w:r>
        <w:rPr>
          <w:rFonts w:ascii="Times New Roman" w:cs="Times New Roman" w:eastAsia="Times New Roman" w:hAnsi="Times New Roman"/>
          <w:sz w:val="10"/>
          <w:szCs w:val="10"/>
          <w:b w:val="1"/>
          <w:bCs w:val="1"/>
          <w:color w:val="auto"/>
        </w:rPr>
        <w:t>xecutive</w:t>
      </w:r>
      <w:r>
        <w:rPr>
          <w:rFonts w:ascii="Times New Roman" w:cs="Times New Roman" w:eastAsia="Times New Roman" w:hAnsi="Times New Roman"/>
          <w:sz w:val="16"/>
          <w:szCs w:val="16"/>
          <w:b w:val="1"/>
          <w:bCs w:val="1"/>
          <w:color w:val="auto"/>
        </w:rPr>
        <w:t xml:space="preserve"> E</w:t>
      </w:r>
      <w:r>
        <w:rPr>
          <w:rFonts w:ascii="Times New Roman" w:cs="Times New Roman" w:eastAsia="Times New Roman" w:hAnsi="Times New Roman"/>
          <w:sz w:val="10"/>
          <w:szCs w:val="10"/>
          <w:b w:val="1"/>
          <w:bCs w:val="1"/>
          <w:color w:val="auto"/>
        </w:rPr>
        <w:t>mployment</w:t>
      </w:r>
      <w:r>
        <w:rPr>
          <w:rFonts w:ascii="Times New Roman" w:cs="Times New Roman" w:eastAsia="Times New Roman" w:hAnsi="Times New Roman"/>
          <w:sz w:val="16"/>
          <w:szCs w:val="16"/>
          <w:b w:val="1"/>
          <w:bCs w:val="1"/>
          <w:color w:val="auto"/>
        </w:rPr>
        <w:t xml:space="preserve"> A</w:t>
      </w:r>
      <w:r>
        <w:rPr>
          <w:rFonts w:ascii="Times New Roman" w:cs="Times New Roman" w:eastAsia="Times New Roman" w:hAnsi="Times New Roman"/>
          <w:sz w:val="10"/>
          <w:szCs w:val="10"/>
          <w:b w:val="1"/>
          <w:bCs w:val="1"/>
          <w:color w:val="auto"/>
        </w:rPr>
        <w:t>gmt</w:t>
      </w:r>
      <w:r>
        <w:rPr>
          <w:rFonts w:ascii="Times New Roman" w:cs="Times New Roman" w:eastAsia="Times New Roman" w:hAnsi="Times New Roman"/>
          <w:sz w:val="16"/>
          <w:szCs w:val="16"/>
          <w:b w:val="1"/>
          <w:bCs w:val="1"/>
          <w:color w:val="auto"/>
        </w:rPr>
        <w:t xml:space="preserve"> S</w:t>
      </w:r>
      <w:r>
        <w:rPr>
          <w:rFonts w:ascii="Times New Roman" w:cs="Times New Roman" w:eastAsia="Times New Roman" w:hAnsi="Times New Roman"/>
          <w:sz w:val="10"/>
          <w:szCs w:val="10"/>
          <w:b w:val="1"/>
          <w:bCs w:val="1"/>
          <w:color w:val="auto"/>
        </w:rPr>
        <w:t>td</w:t>
      </w:r>
      <w:r>
        <w:rPr>
          <w:rFonts w:ascii="Times New Roman" w:cs="Times New Roman" w:eastAsia="Times New Roman" w:hAnsi="Times New Roman"/>
          <w:sz w:val="16"/>
          <w:szCs w:val="16"/>
          <w:b w:val="1"/>
          <w:bCs w:val="1"/>
          <w:color w:val="auto"/>
        </w:rPr>
        <w:t xml:space="preserve"> 11.1.24</w:t>
      </w:r>
      <w:r>
        <w:rPr>
          <w:sz w:val="20"/>
          <w:szCs w:val="20"/>
          <w:color w:val="auto"/>
        </w:rPr>
        <w:tab/>
      </w:r>
      <w:r>
        <w:rPr>
          <w:rFonts w:ascii="Times New Roman" w:cs="Times New Roman" w:eastAsia="Times New Roman" w:hAnsi="Times New Roman"/>
          <w:sz w:val="16"/>
          <w:szCs w:val="16"/>
          <w:b w:val="1"/>
          <w:bCs w:val="1"/>
          <w:color w:val="auto"/>
        </w:rPr>
        <w:t>A</w:t>
      </w:r>
      <w:r>
        <w:rPr>
          <w:rFonts w:ascii="Times New Roman" w:cs="Times New Roman" w:eastAsia="Times New Roman" w:hAnsi="Times New Roman"/>
          <w:sz w:val="10"/>
          <w:szCs w:val="10"/>
          <w:b w:val="1"/>
          <w:bCs w:val="1"/>
          <w:color w:val="auto"/>
        </w:rPr>
        <w:t>ccuray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18</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NUMPAGES \* Arabic \* MERGEFORMAT 31</w:t>
      </w:r>
    </w:p>
    <w:p>
      <w:pPr>
        <w:spacing w:after="0" w:line="200" w:lineRule="exact"/>
        <w:rPr>
          <w:sz w:val="20"/>
          <w:szCs w:val="20"/>
          <w:color w:val="auto"/>
        </w:rPr>
      </w:pPr>
    </w:p>
    <w:p>
      <w:pPr>
        <w:spacing w:after="0" w:line="237" w:lineRule="exact"/>
        <w:rPr>
          <w:sz w:val="20"/>
          <w:szCs w:val="20"/>
          <w:color w:val="auto"/>
        </w:rPr>
      </w:pPr>
    </w:p>
    <w:p>
      <w:pPr>
        <w:jc w:val="both"/>
        <w:ind w:firstLine="757"/>
        <w:spacing w:after="0" w:line="243" w:lineRule="auto"/>
        <w:tabs>
          <w:tab w:leader="none" w:pos="1144" w:val="left"/>
        </w:tabs>
        <w:numPr>
          <w:ilvl w:val="0"/>
          <w:numId w:val="109"/>
        </w:numPr>
        <w:rPr>
          <w:rFonts w:ascii="Times New Roman" w:cs="Times New Roman" w:eastAsia="Times New Roman" w:hAnsi="Times New Roman"/>
          <w:sz w:val="20"/>
          <w:szCs w:val="20"/>
          <w:b w:val="1"/>
          <w:bCs w:val="1"/>
          <w:color w:val="00171E"/>
        </w:rPr>
      </w:pPr>
      <w:r>
        <w:rPr>
          <w:rFonts w:ascii="Times New Roman" w:cs="Times New Roman" w:eastAsia="Times New Roman" w:hAnsi="Times New Roman"/>
          <w:sz w:val="20"/>
          <w:szCs w:val="20"/>
          <w:b w:val="1"/>
          <w:bCs w:val="1"/>
          <w:color w:val="00171E"/>
        </w:rPr>
        <w:t xml:space="preserve">Resignation from Positions. </w:t>
      </w:r>
      <w:r>
        <w:rPr>
          <w:rFonts w:ascii="Times New Roman" w:cs="Times New Roman" w:eastAsia="Times New Roman" w:hAnsi="Times New Roman"/>
          <w:sz w:val="20"/>
          <w:szCs w:val="20"/>
          <w:color w:val="00171E"/>
        </w:rPr>
        <w:t>Upon Executive’s cessation of employment with the Company for any reason, Executive agrees</w:t>
      </w:r>
      <w:r>
        <w:rPr>
          <w:rFonts w:ascii="Times New Roman" w:cs="Times New Roman" w:eastAsia="Times New Roman" w:hAnsi="Times New Roman"/>
          <w:sz w:val="20"/>
          <w:szCs w:val="20"/>
          <w:b w:val="1"/>
          <w:bCs w:val="1"/>
          <w:color w:val="00171E"/>
        </w:rPr>
        <w:t xml:space="preserve"> </w:t>
      </w:r>
      <w:r>
        <w:rPr>
          <w:rFonts w:ascii="Times New Roman" w:cs="Times New Roman" w:eastAsia="Times New Roman" w:hAnsi="Times New Roman"/>
          <w:sz w:val="20"/>
          <w:szCs w:val="20"/>
          <w:color w:val="00171E"/>
        </w:rPr>
        <w:t xml:space="preserve">that Executive shall be deemed to have resigned as an officer and as a director (if applicable) from the Company and every subsidiary of the Company on which Executive is then serving as an officer or director, and from any other entity or company on which Executive is then serving as a director or officer at the request of the Company, in each case effective as of the date of Executive’s cessation of employment. In the event of Executive’s cessation of employment, Executive agrees to execute a general resignation resigning from all positions then held by Executive on every subsidiary of the Company and other entity or company on which Executive is then serving as a director or officer at the request of the Company. Executive hereby grants the corporate secretary of the Company an irrevocable power of attorney to execute on behalf of Executive all such resignations, documents and instruments and to take all such other actions as reasonably necessary to carry out the intention of this </w:t>
      </w:r>
      <w:r>
        <w:rPr>
          <w:rFonts w:ascii="Times New Roman" w:cs="Times New Roman" w:eastAsia="Times New Roman" w:hAnsi="Times New Roman"/>
          <w:sz w:val="20"/>
          <w:szCs w:val="20"/>
          <w:u w:val="single" w:color="auto"/>
          <w:color w:val="00171E"/>
        </w:rPr>
        <w:t>Section 19</w:t>
      </w:r>
      <w:r>
        <w:rPr>
          <w:rFonts w:ascii="Times New Roman" w:cs="Times New Roman" w:eastAsia="Times New Roman" w:hAnsi="Times New Roman"/>
          <w:sz w:val="20"/>
          <w:szCs w:val="20"/>
          <w:color w:val="00171E"/>
        </w:rPr>
        <w:t>.</w:t>
      </w:r>
    </w:p>
    <w:p>
      <w:pPr>
        <w:spacing w:after="0" w:line="77" w:lineRule="exact"/>
        <w:rPr>
          <w:rFonts w:ascii="Times New Roman" w:cs="Times New Roman" w:eastAsia="Times New Roman" w:hAnsi="Times New Roman"/>
          <w:sz w:val="20"/>
          <w:szCs w:val="20"/>
          <w:b w:val="1"/>
          <w:bCs w:val="1"/>
          <w:color w:val="00171E"/>
        </w:rPr>
      </w:pPr>
    </w:p>
    <w:p>
      <w:pPr>
        <w:jc w:val="both"/>
        <w:ind w:firstLine="757"/>
        <w:spacing w:after="0" w:line="256" w:lineRule="auto"/>
        <w:tabs>
          <w:tab w:leader="none" w:pos="1225" w:val="left"/>
        </w:tabs>
        <w:numPr>
          <w:ilvl w:val="0"/>
          <w:numId w:val="109"/>
        </w:numPr>
        <w:rPr>
          <w:rFonts w:ascii="Times New Roman" w:cs="Times New Roman" w:eastAsia="Times New Roman" w:hAnsi="Times New Roman"/>
          <w:sz w:val="20"/>
          <w:szCs w:val="20"/>
          <w:b w:val="1"/>
          <w:bCs w:val="1"/>
          <w:color w:val="00171E"/>
        </w:rPr>
      </w:pPr>
      <w:r>
        <w:rPr>
          <w:rFonts w:ascii="Times New Roman" w:cs="Times New Roman" w:eastAsia="Times New Roman" w:hAnsi="Times New Roman"/>
          <w:sz w:val="20"/>
          <w:szCs w:val="20"/>
          <w:b w:val="1"/>
          <w:bCs w:val="1"/>
          <w:color w:val="00171E"/>
        </w:rPr>
        <w:t xml:space="preserve">Executive’s Commencement of Employment. </w:t>
      </w:r>
      <w:r>
        <w:rPr>
          <w:rFonts w:ascii="Times New Roman" w:cs="Times New Roman" w:eastAsia="Times New Roman" w:hAnsi="Times New Roman"/>
          <w:sz w:val="20"/>
          <w:szCs w:val="20"/>
          <w:color w:val="00171E"/>
        </w:rPr>
        <w:t>It is a condition precedent to the effectiveness of this Agreement that</w:t>
      </w:r>
      <w:r>
        <w:rPr>
          <w:rFonts w:ascii="Times New Roman" w:cs="Times New Roman" w:eastAsia="Times New Roman" w:hAnsi="Times New Roman"/>
          <w:sz w:val="20"/>
          <w:szCs w:val="20"/>
          <w:b w:val="1"/>
          <w:bCs w:val="1"/>
          <w:color w:val="00171E"/>
        </w:rPr>
        <w:t xml:space="preserve"> </w:t>
      </w:r>
      <w:r>
        <w:rPr>
          <w:rFonts w:ascii="Times New Roman" w:cs="Times New Roman" w:eastAsia="Times New Roman" w:hAnsi="Times New Roman"/>
          <w:sz w:val="20"/>
          <w:szCs w:val="20"/>
          <w:color w:val="00171E"/>
        </w:rPr>
        <w:t>Executive commences working full-time for the Company. If Executive does not commence such full-time employment on the Effective Date, then this Agreement shall be null and void and the Company shall have no obligations hereunder or otherwise to Executive.</w:t>
      </w:r>
    </w:p>
    <w:p>
      <w:pPr>
        <w:spacing w:after="0" w:line="60" w:lineRule="exact"/>
        <w:rPr>
          <w:rFonts w:ascii="Times New Roman" w:cs="Times New Roman" w:eastAsia="Times New Roman" w:hAnsi="Times New Roman"/>
          <w:sz w:val="20"/>
          <w:szCs w:val="20"/>
          <w:b w:val="1"/>
          <w:bCs w:val="1"/>
          <w:color w:val="00171E"/>
        </w:rPr>
      </w:pPr>
    </w:p>
    <w:p>
      <w:pPr>
        <w:ind w:left="1160" w:hanging="403"/>
        <w:spacing w:after="0"/>
        <w:tabs>
          <w:tab w:leader="none" w:pos="1160" w:val="left"/>
        </w:tabs>
        <w:numPr>
          <w:ilvl w:val="0"/>
          <w:numId w:val="109"/>
        </w:numPr>
        <w:rPr>
          <w:rFonts w:ascii="Times New Roman" w:cs="Times New Roman" w:eastAsia="Times New Roman" w:hAnsi="Times New Roman"/>
          <w:sz w:val="20"/>
          <w:szCs w:val="20"/>
          <w:b w:val="1"/>
          <w:bCs w:val="1"/>
          <w:color w:val="00171E"/>
        </w:rPr>
      </w:pPr>
      <w:r>
        <w:rPr>
          <w:rFonts w:ascii="Times New Roman" w:cs="Times New Roman" w:eastAsia="Times New Roman" w:hAnsi="Times New Roman"/>
          <w:sz w:val="20"/>
          <w:szCs w:val="20"/>
          <w:b w:val="1"/>
          <w:bCs w:val="1"/>
          <w:color w:val="00171E"/>
        </w:rPr>
        <w:t>Executive’s Acknowledgement.</w:t>
      </w:r>
    </w:p>
    <w:p>
      <w:pPr>
        <w:spacing w:after="0" w:line="125" w:lineRule="exact"/>
        <w:rPr>
          <w:sz w:val="20"/>
          <w:szCs w:val="20"/>
          <w:color w:val="auto"/>
        </w:rPr>
      </w:pPr>
    </w:p>
    <w:p>
      <w:pPr>
        <w:jc w:val="both"/>
        <w:ind w:left="460" w:right="440"/>
        <w:spacing w:after="0" w:line="246" w:lineRule="auto"/>
        <w:rPr>
          <w:sz w:val="20"/>
          <w:szCs w:val="20"/>
          <w:color w:val="auto"/>
        </w:rPr>
      </w:pPr>
      <w:r>
        <w:rPr>
          <w:rFonts w:ascii="Times New Roman" w:cs="Times New Roman" w:eastAsia="Times New Roman" w:hAnsi="Times New Roman"/>
          <w:sz w:val="20"/>
          <w:szCs w:val="20"/>
          <w:color w:val="00171E"/>
        </w:rPr>
        <w:t>EXECUTIVE ACKNOWLEDGES THAT ALL UNDERSTANDINGS AND AGREEMENTS BETWEEN THE COMPANY AND HIM/HER RELATING TO THE SUBJECTS COVERED IN THIS AGREEMENT ARE CONTAINED IN IT (INCLUDING THE AGREEMENTS SET FORTH AS EXHIBITS) AND THAT HE/SHE HAS ENTERED INTO THIS AGREEMENT VOLUNTARILY AND NOT IN RELIANCE ON ANY PROMISES OR REPRESENTATIONS BY THE COMPANY OTHER THAN THOSE CONTAINED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-744220</wp:posOffset>
            </wp:positionV>
            <wp:extent cx="6707505" cy="180403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707505" cy="1804035"/>
                    </a:xfrm>
                    <a:prstGeom prst="rect">
                      <a:avLst/>
                    </a:prstGeom>
                    <a:noFill/>
                  </pic:spPr>
                </pic:pic>
              </a:graphicData>
            </a:graphic>
          </wp:anchor>
        </w:drawing>
      </w:r>
    </w:p>
    <w:p>
      <w:pPr>
        <w:spacing w:after="0" w:line="178" w:lineRule="exact"/>
        <w:rPr>
          <w:sz w:val="20"/>
          <w:szCs w:val="20"/>
          <w:color w:val="auto"/>
        </w:rPr>
      </w:pPr>
    </w:p>
    <w:p>
      <w:pPr>
        <w:jc w:val="both"/>
        <w:ind w:left="460" w:right="460"/>
        <w:spacing w:after="0" w:line="245" w:lineRule="auto"/>
        <w:rPr>
          <w:sz w:val="20"/>
          <w:szCs w:val="20"/>
          <w:color w:val="auto"/>
        </w:rPr>
      </w:pPr>
      <w:r>
        <w:rPr>
          <w:rFonts w:ascii="Times New Roman" w:cs="Times New Roman" w:eastAsia="Times New Roman" w:hAnsi="Times New Roman"/>
          <w:sz w:val="20"/>
          <w:szCs w:val="20"/>
          <w:color w:val="00171E"/>
        </w:rPr>
        <w:t>EXECUTIVE FURTHER ACKNOWLEDGES THAT HE/SHE HAS CAREFULLY READ THIS AGREEMENT (INCLUDING THE AGREEMENTS SET FORTH AS EXHIBITS), THAT HE/SHE UNDERSTANDS ALL OF SUCH AGREEMENTS, AND THAT HE/SHE HAS BEEN GIVEN THE OPPORTUNITY TO DISCUSS SUCH AGREEMENTS WITH HIS/HER PRIVATE LEGAL COUNSEL AND HAS AVAILED HIMSELF/HERSELF OF THAT OPPORTUNITY TO THE EXTENT HE/SHE WISHED TO DO SO. EXECUTIVE UNDERSTANDS THAT THE DISPUTE RESOLUTION PROVISIONS OF THIS AGREEMENT GIVE UP THE RIGHT TO A JURY TRIAL ON MATTERS COVERED BY THEM.</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00171E"/>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171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12"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6"/>
          <w:szCs w:val="16"/>
          <w:b w:val="1"/>
          <w:bCs w:val="1"/>
          <w:color w:val="auto"/>
        </w:rPr>
        <w:t>E</w:t>
      </w:r>
      <w:r>
        <w:rPr>
          <w:rFonts w:ascii="Times New Roman" w:cs="Times New Roman" w:eastAsia="Times New Roman" w:hAnsi="Times New Roman"/>
          <w:sz w:val="10"/>
          <w:szCs w:val="10"/>
          <w:b w:val="1"/>
          <w:bCs w:val="1"/>
          <w:color w:val="auto"/>
        </w:rPr>
        <w:t>xecutive</w:t>
      </w:r>
      <w:r>
        <w:rPr>
          <w:rFonts w:ascii="Times New Roman" w:cs="Times New Roman" w:eastAsia="Times New Roman" w:hAnsi="Times New Roman"/>
          <w:sz w:val="16"/>
          <w:szCs w:val="16"/>
          <w:b w:val="1"/>
          <w:bCs w:val="1"/>
          <w:color w:val="auto"/>
        </w:rPr>
        <w:t xml:space="preserve"> E</w:t>
      </w:r>
      <w:r>
        <w:rPr>
          <w:rFonts w:ascii="Times New Roman" w:cs="Times New Roman" w:eastAsia="Times New Roman" w:hAnsi="Times New Roman"/>
          <w:sz w:val="10"/>
          <w:szCs w:val="10"/>
          <w:b w:val="1"/>
          <w:bCs w:val="1"/>
          <w:color w:val="auto"/>
        </w:rPr>
        <w:t>mployment</w:t>
      </w:r>
      <w:r>
        <w:rPr>
          <w:rFonts w:ascii="Times New Roman" w:cs="Times New Roman" w:eastAsia="Times New Roman" w:hAnsi="Times New Roman"/>
          <w:sz w:val="16"/>
          <w:szCs w:val="16"/>
          <w:b w:val="1"/>
          <w:bCs w:val="1"/>
          <w:color w:val="auto"/>
        </w:rPr>
        <w:t xml:space="preserve"> A</w:t>
      </w:r>
      <w:r>
        <w:rPr>
          <w:rFonts w:ascii="Times New Roman" w:cs="Times New Roman" w:eastAsia="Times New Roman" w:hAnsi="Times New Roman"/>
          <w:sz w:val="10"/>
          <w:szCs w:val="10"/>
          <w:b w:val="1"/>
          <w:bCs w:val="1"/>
          <w:color w:val="auto"/>
        </w:rPr>
        <w:t>gmt</w:t>
      </w:r>
      <w:r>
        <w:rPr>
          <w:rFonts w:ascii="Times New Roman" w:cs="Times New Roman" w:eastAsia="Times New Roman" w:hAnsi="Times New Roman"/>
          <w:sz w:val="16"/>
          <w:szCs w:val="16"/>
          <w:b w:val="1"/>
          <w:bCs w:val="1"/>
          <w:color w:val="auto"/>
        </w:rPr>
        <w:t xml:space="preserve"> S</w:t>
      </w:r>
      <w:r>
        <w:rPr>
          <w:rFonts w:ascii="Times New Roman" w:cs="Times New Roman" w:eastAsia="Times New Roman" w:hAnsi="Times New Roman"/>
          <w:sz w:val="10"/>
          <w:szCs w:val="10"/>
          <w:b w:val="1"/>
          <w:bCs w:val="1"/>
          <w:color w:val="auto"/>
        </w:rPr>
        <w:t>td</w:t>
      </w:r>
      <w:r>
        <w:rPr>
          <w:rFonts w:ascii="Times New Roman" w:cs="Times New Roman" w:eastAsia="Times New Roman" w:hAnsi="Times New Roman"/>
          <w:sz w:val="16"/>
          <w:szCs w:val="16"/>
          <w:b w:val="1"/>
          <w:bCs w:val="1"/>
          <w:color w:val="auto"/>
        </w:rPr>
        <w:t xml:space="preserve"> 11.1.24</w:t>
      </w:r>
      <w:r>
        <w:rPr>
          <w:sz w:val="20"/>
          <w:szCs w:val="20"/>
          <w:color w:val="auto"/>
        </w:rPr>
        <w:tab/>
      </w:r>
      <w:r>
        <w:rPr>
          <w:rFonts w:ascii="Times New Roman" w:cs="Times New Roman" w:eastAsia="Times New Roman" w:hAnsi="Times New Roman"/>
          <w:sz w:val="16"/>
          <w:szCs w:val="16"/>
          <w:b w:val="1"/>
          <w:bCs w:val="1"/>
          <w:color w:val="auto"/>
        </w:rPr>
        <w:t>A</w:t>
      </w:r>
      <w:r>
        <w:rPr>
          <w:rFonts w:ascii="Times New Roman" w:cs="Times New Roman" w:eastAsia="Times New Roman" w:hAnsi="Times New Roman"/>
          <w:sz w:val="10"/>
          <w:szCs w:val="10"/>
          <w:b w:val="1"/>
          <w:bCs w:val="1"/>
          <w:color w:val="auto"/>
        </w:rPr>
        <w:t>ccuray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19</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NUMPAGES \* Arabic \* MERGEFORMAT 31</w:t>
      </w:r>
    </w:p>
    <w:p>
      <w:pPr>
        <w:spacing w:after="0" w:line="200" w:lineRule="exact"/>
        <w:rPr>
          <w:sz w:val="20"/>
          <w:szCs w:val="20"/>
          <w:color w:val="auto"/>
        </w:rPr>
      </w:pPr>
    </w:p>
    <w:p>
      <w:pPr>
        <w:spacing w:after="0" w:line="24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00171E"/>
        </w:rPr>
        <w:t>IN WITNESS WHEREOF, the parties have executed this Agreement as of the date first written above.</w:t>
      </w:r>
    </w:p>
    <w:p>
      <w:pPr>
        <w:spacing w:after="0" w:line="225"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0"/>
          <w:szCs w:val="20"/>
          <w:b w:val="1"/>
          <w:bCs w:val="1"/>
          <w:color w:val="00171E"/>
        </w:rPr>
        <w:t>A</w:t>
      </w:r>
      <w:r>
        <w:rPr>
          <w:rFonts w:ascii="Times New Roman" w:cs="Times New Roman" w:eastAsia="Times New Roman" w:hAnsi="Times New Roman"/>
          <w:sz w:val="13"/>
          <w:szCs w:val="13"/>
          <w:b w:val="1"/>
          <w:bCs w:val="1"/>
          <w:color w:val="00171E"/>
        </w:rPr>
        <w:t>ccuray</w:t>
      </w:r>
      <w:r>
        <w:rPr>
          <w:rFonts w:ascii="Times New Roman" w:cs="Times New Roman" w:eastAsia="Times New Roman" w:hAnsi="Times New Roman"/>
          <w:sz w:val="20"/>
          <w:szCs w:val="20"/>
          <w:b w:val="1"/>
          <w:bCs w:val="1"/>
          <w:color w:val="00171E"/>
        </w:rPr>
        <w:t xml:space="preserve"> I</w:t>
      </w:r>
      <w:r>
        <w:rPr>
          <w:rFonts w:ascii="Times New Roman" w:cs="Times New Roman" w:eastAsia="Times New Roman" w:hAnsi="Times New Roman"/>
          <w:sz w:val="13"/>
          <w:szCs w:val="13"/>
          <w:b w:val="1"/>
          <w:bCs w:val="1"/>
          <w:color w:val="00171E"/>
        </w:rPr>
        <w:t>ncorporated</w:t>
      </w:r>
      <w:r>
        <w:rPr>
          <w:rFonts w:ascii="Times New Roman" w:cs="Times New Roman" w:eastAsia="Times New Roman" w:hAnsi="Times New Roman"/>
          <w:sz w:val="20"/>
          <w:szCs w:val="20"/>
          <w:color w:val="00171E"/>
        </w:rPr>
        <w:t>,</w:t>
      </w:r>
    </w:p>
    <w:p>
      <w:pPr>
        <w:spacing w:after="0" w:line="26"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0"/>
          <w:szCs w:val="20"/>
          <w:color w:val="00171E"/>
        </w:rPr>
        <w:t>a Delaware Corporation</w:t>
      </w:r>
    </w:p>
    <w:p>
      <w:pPr>
        <w:spacing w:after="0" w:line="200" w:lineRule="exact"/>
        <w:rPr>
          <w:sz w:val="20"/>
          <w:szCs w:val="20"/>
          <w:color w:val="auto"/>
        </w:rPr>
      </w:pPr>
    </w:p>
    <w:p>
      <w:pPr>
        <w:spacing w:after="0" w:line="237"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0"/>
          <w:szCs w:val="20"/>
          <w:color w:val="00171E"/>
        </w:rPr>
        <w:t>By: /s/ Jesse Chew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1725295</wp:posOffset>
            </wp:positionH>
            <wp:positionV relativeFrom="paragraph">
              <wp:posOffset>-10795</wp:posOffset>
            </wp:positionV>
            <wp:extent cx="154559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545590" cy="8255"/>
                    </a:xfrm>
                    <a:prstGeom prst="rect">
                      <a:avLst/>
                    </a:prstGeom>
                    <a:noFill/>
                  </pic:spPr>
                </pic:pic>
              </a:graphicData>
            </a:graphic>
          </wp:anchor>
        </w:drawing>
      </w:r>
    </w:p>
    <w:p>
      <w:pPr>
        <w:spacing w:after="0" w:line="1" w:lineRule="exact"/>
        <w:rPr>
          <w:sz w:val="20"/>
          <w:szCs w:val="20"/>
          <w:color w:val="auto"/>
        </w:rPr>
      </w:pPr>
    </w:p>
    <w:p>
      <w:pPr>
        <w:ind w:left="2380"/>
        <w:spacing w:after="0"/>
        <w:tabs>
          <w:tab w:leader="none" w:pos="3160" w:val="left"/>
        </w:tabs>
        <w:rPr>
          <w:sz w:val="20"/>
          <w:szCs w:val="20"/>
          <w:color w:val="auto"/>
        </w:rPr>
      </w:pPr>
      <w:r>
        <w:rPr>
          <w:rFonts w:ascii="Times New Roman" w:cs="Times New Roman" w:eastAsia="Times New Roman" w:hAnsi="Times New Roman"/>
          <w:sz w:val="20"/>
          <w:szCs w:val="20"/>
          <w:color w:val="00171E"/>
        </w:rPr>
        <w:t>Name:</w:t>
        <w:tab/>
        <w:t>Jesse Chew</w:t>
      </w:r>
    </w:p>
    <w:p>
      <w:pPr>
        <w:ind w:left="2380"/>
        <w:spacing w:after="0"/>
        <w:tabs>
          <w:tab w:leader="none" w:pos="3160" w:val="left"/>
        </w:tabs>
        <w:rPr>
          <w:sz w:val="20"/>
          <w:szCs w:val="20"/>
          <w:color w:val="auto"/>
        </w:rPr>
      </w:pPr>
      <w:r>
        <w:rPr>
          <w:rFonts w:ascii="Times New Roman" w:cs="Times New Roman" w:eastAsia="Times New Roman" w:hAnsi="Times New Roman"/>
          <w:sz w:val="20"/>
          <w:szCs w:val="20"/>
          <w:color w:val="00171E"/>
        </w:rPr>
        <w:t>Title:</w:t>
      </w:r>
      <w:r>
        <w:rPr>
          <w:sz w:val="20"/>
          <w:szCs w:val="20"/>
          <w:color w:val="auto"/>
        </w:rPr>
        <w:tab/>
      </w:r>
      <w:r>
        <w:rPr>
          <w:rFonts w:ascii="Times New Roman" w:cs="Times New Roman" w:eastAsia="Times New Roman" w:hAnsi="Times New Roman"/>
          <w:sz w:val="20"/>
          <w:szCs w:val="20"/>
          <w:color w:val="00171E"/>
        </w:rPr>
        <w:t>Chief Legal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171E"/>
        </w:rPr>
        <w:t>Accepted and Agreed,</w:t>
      </w:r>
    </w:p>
    <w:p>
      <w:pPr>
        <w:spacing w:after="0" w:line="200" w:lineRule="exact"/>
        <w:rPr>
          <w:sz w:val="20"/>
          <w:szCs w:val="20"/>
          <w:color w:val="auto"/>
        </w:rPr>
      </w:pPr>
    </w:p>
    <w:p>
      <w:pPr>
        <w:spacing w:after="0" w:line="259"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0"/>
          <w:szCs w:val="20"/>
          <w:color w:val="00171E"/>
        </w:rPr>
        <w:t>Ali Pervaiz:</w:t>
      </w:r>
      <w:r>
        <w:rPr>
          <w:sz w:val="20"/>
          <w:szCs w:val="20"/>
          <w:color w:val="auto"/>
        </w:rPr>
        <w:tab/>
      </w:r>
      <w:r>
        <w:rPr>
          <w:rFonts w:ascii="Times New Roman" w:cs="Times New Roman" w:eastAsia="Times New Roman" w:hAnsi="Times New Roman"/>
          <w:sz w:val="19"/>
          <w:szCs w:val="19"/>
          <w:color w:val="00171E"/>
        </w:rPr>
        <w:t>/s/ Ali Pervaiz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356870</wp:posOffset>
            </wp:positionV>
            <wp:extent cx="7132320" cy="171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758825</wp:posOffset>
            </wp:positionH>
            <wp:positionV relativeFrom="paragraph">
              <wp:posOffset>-10795</wp:posOffset>
            </wp:positionV>
            <wp:extent cx="175895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758950" cy="8255"/>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6"/>
          <w:szCs w:val="16"/>
          <w:b w:val="1"/>
          <w:bCs w:val="1"/>
          <w:color w:val="auto"/>
        </w:rPr>
        <w:t>E</w:t>
      </w:r>
      <w:r>
        <w:rPr>
          <w:rFonts w:ascii="Times New Roman" w:cs="Times New Roman" w:eastAsia="Times New Roman" w:hAnsi="Times New Roman"/>
          <w:sz w:val="10"/>
          <w:szCs w:val="10"/>
          <w:b w:val="1"/>
          <w:bCs w:val="1"/>
          <w:color w:val="auto"/>
        </w:rPr>
        <w:t>xecutive</w:t>
      </w:r>
      <w:r>
        <w:rPr>
          <w:rFonts w:ascii="Times New Roman" w:cs="Times New Roman" w:eastAsia="Times New Roman" w:hAnsi="Times New Roman"/>
          <w:sz w:val="16"/>
          <w:szCs w:val="16"/>
          <w:b w:val="1"/>
          <w:bCs w:val="1"/>
          <w:color w:val="auto"/>
        </w:rPr>
        <w:t xml:space="preserve"> E</w:t>
      </w:r>
      <w:r>
        <w:rPr>
          <w:rFonts w:ascii="Times New Roman" w:cs="Times New Roman" w:eastAsia="Times New Roman" w:hAnsi="Times New Roman"/>
          <w:sz w:val="10"/>
          <w:szCs w:val="10"/>
          <w:b w:val="1"/>
          <w:bCs w:val="1"/>
          <w:color w:val="auto"/>
        </w:rPr>
        <w:t>mployment</w:t>
      </w:r>
      <w:r>
        <w:rPr>
          <w:rFonts w:ascii="Times New Roman" w:cs="Times New Roman" w:eastAsia="Times New Roman" w:hAnsi="Times New Roman"/>
          <w:sz w:val="16"/>
          <w:szCs w:val="16"/>
          <w:b w:val="1"/>
          <w:bCs w:val="1"/>
          <w:color w:val="auto"/>
        </w:rPr>
        <w:t xml:space="preserve"> A</w:t>
      </w:r>
      <w:r>
        <w:rPr>
          <w:rFonts w:ascii="Times New Roman" w:cs="Times New Roman" w:eastAsia="Times New Roman" w:hAnsi="Times New Roman"/>
          <w:sz w:val="10"/>
          <w:szCs w:val="10"/>
          <w:b w:val="1"/>
          <w:bCs w:val="1"/>
          <w:color w:val="auto"/>
        </w:rPr>
        <w:t>gmt</w:t>
      </w:r>
      <w:r>
        <w:rPr>
          <w:rFonts w:ascii="Times New Roman" w:cs="Times New Roman" w:eastAsia="Times New Roman" w:hAnsi="Times New Roman"/>
          <w:sz w:val="16"/>
          <w:szCs w:val="16"/>
          <w:b w:val="1"/>
          <w:bCs w:val="1"/>
          <w:color w:val="auto"/>
        </w:rPr>
        <w:t xml:space="preserve"> S</w:t>
      </w:r>
      <w:r>
        <w:rPr>
          <w:rFonts w:ascii="Times New Roman" w:cs="Times New Roman" w:eastAsia="Times New Roman" w:hAnsi="Times New Roman"/>
          <w:sz w:val="10"/>
          <w:szCs w:val="10"/>
          <w:b w:val="1"/>
          <w:bCs w:val="1"/>
          <w:color w:val="auto"/>
        </w:rPr>
        <w:t>td</w:t>
      </w:r>
      <w:r>
        <w:rPr>
          <w:rFonts w:ascii="Times New Roman" w:cs="Times New Roman" w:eastAsia="Times New Roman" w:hAnsi="Times New Roman"/>
          <w:sz w:val="16"/>
          <w:szCs w:val="16"/>
          <w:b w:val="1"/>
          <w:bCs w:val="1"/>
          <w:color w:val="auto"/>
        </w:rPr>
        <w:t xml:space="preserve"> 11.1.24</w:t>
      </w:r>
      <w:r>
        <w:rPr>
          <w:sz w:val="20"/>
          <w:szCs w:val="20"/>
          <w:color w:val="auto"/>
        </w:rPr>
        <w:tab/>
      </w:r>
      <w:r>
        <w:rPr>
          <w:rFonts w:ascii="Times New Roman" w:cs="Times New Roman" w:eastAsia="Times New Roman" w:hAnsi="Times New Roman"/>
          <w:sz w:val="16"/>
          <w:szCs w:val="16"/>
          <w:b w:val="1"/>
          <w:bCs w:val="1"/>
          <w:color w:val="auto"/>
        </w:rPr>
        <w:t>A</w:t>
      </w:r>
      <w:r>
        <w:rPr>
          <w:rFonts w:ascii="Times New Roman" w:cs="Times New Roman" w:eastAsia="Times New Roman" w:hAnsi="Times New Roman"/>
          <w:sz w:val="10"/>
          <w:szCs w:val="10"/>
          <w:b w:val="1"/>
          <w:bCs w:val="1"/>
          <w:color w:val="auto"/>
        </w:rPr>
        <w:t>ccuray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20</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NUMPAGES \* Arabic \* MERGEFORMAT 31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00171E"/>
        </w:rPr>
        <w:t>Exhibit A</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00171E"/>
        </w:rPr>
        <w:t>SECTION 7 OF THE DEFEND TRADE SECRETS ACT OF 2016</w:t>
      </w:r>
    </w:p>
    <w:p>
      <w:pPr>
        <w:spacing w:after="0" w:line="200" w:lineRule="exact"/>
        <w:rPr>
          <w:sz w:val="20"/>
          <w:szCs w:val="20"/>
          <w:color w:val="auto"/>
        </w:rPr>
      </w:pPr>
    </w:p>
    <w:p>
      <w:pPr>
        <w:spacing w:after="0" w:line="23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00171E"/>
        </w:rPr>
        <w:t>“ . . . An individual shall not be held criminally or civilly liable under any Federal or State trade secret law for the disclosure of a trade secret that—(A) is made—(i)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 . . An individual who files a lawsuit for retaliation by an employer for reporting a suspected violation of law may disclose the trade secret to the attorney of the individual and use the trade secret information in the court proceeding, if the individual—(A) files any document containing the trade secret under seal; and (B) does not disclose the trade secret, except pursuant to court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483870</wp:posOffset>
            </wp:positionV>
            <wp:extent cx="7132320" cy="171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6"/>
          <w:szCs w:val="16"/>
          <w:b w:val="1"/>
          <w:bCs w:val="1"/>
          <w:color w:val="auto"/>
        </w:rPr>
        <w:t>E</w:t>
      </w:r>
      <w:r>
        <w:rPr>
          <w:rFonts w:ascii="Times New Roman" w:cs="Times New Roman" w:eastAsia="Times New Roman" w:hAnsi="Times New Roman"/>
          <w:sz w:val="10"/>
          <w:szCs w:val="10"/>
          <w:b w:val="1"/>
          <w:bCs w:val="1"/>
          <w:color w:val="auto"/>
        </w:rPr>
        <w:t>xecutive</w:t>
      </w:r>
      <w:r>
        <w:rPr>
          <w:rFonts w:ascii="Times New Roman" w:cs="Times New Roman" w:eastAsia="Times New Roman" w:hAnsi="Times New Roman"/>
          <w:sz w:val="16"/>
          <w:szCs w:val="16"/>
          <w:b w:val="1"/>
          <w:bCs w:val="1"/>
          <w:color w:val="auto"/>
        </w:rPr>
        <w:t xml:space="preserve"> E</w:t>
      </w:r>
      <w:r>
        <w:rPr>
          <w:rFonts w:ascii="Times New Roman" w:cs="Times New Roman" w:eastAsia="Times New Roman" w:hAnsi="Times New Roman"/>
          <w:sz w:val="10"/>
          <w:szCs w:val="10"/>
          <w:b w:val="1"/>
          <w:bCs w:val="1"/>
          <w:color w:val="auto"/>
        </w:rPr>
        <w:t>mployment</w:t>
      </w:r>
      <w:r>
        <w:rPr>
          <w:rFonts w:ascii="Times New Roman" w:cs="Times New Roman" w:eastAsia="Times New Roman" w:hAnsi="Times New Roman"/>
          <w:sz w:val="16"/>
          <w:szCs w:val="16"/>
          <w:b w:val="1"/>
          <w:bCs w:val="1"/>
          <w:color w:val="auto"/>
        </w:rPr>
        <w:t xml:space="preserve"> A</w:t>
      </w:r>
      <w:r>
        <w:rPr>
          <w:rFonts w:ascii="Times New Roman" w:cs="Times New Roman" w:eastAsia="Times New Roman" w:hAnsi="Times New Roman"/>
          <w:sz w:val="10"/>
          <w:szCs w:val="10"/>
          <w:b w:val="1"/>
          <w:bCs w:val="1"/>
          <w:color w:val="auto"/>
        </w:rPr>
        <w:t>gmt</w:t>
      </w:r>
      <w:r>
        <w:rPr>
          <w:rFonts w:ascii="Times New Roman" w:cs="Times New Roman" w:eastAsia="Times New Roman" w:hAnsi="Times New Roman"/>
          <w:sz w:val="16"/>
          <w:szCs w:val="16"/>
          <w:b w:val="1"/>
          <w:bCs w:val="1"/>
          <w:color w:val="auto"/>
        </w:rPr>
        <w:t xml:space="preserve"> S</w:t>
      </w:r>
      <w:r>
        <w:rPr>
          <w:rFonts w:ascii="Times New Roman" w:cs="Times New Roman" w:eastAsia="Times New Roman" w:hAnsi="Times New Roman"/>
          <w:sz w:val="10"/>
          <w:szCs w:val="10"/>
          <w:b w:val="1"/>
          <w:bCs w:val="1"/>
          <w:color w:val="auto"/>
        </w:rPr>
        <w:t>td</w:t>
      </w:r>
      <w:r>
        <w:rPr>
          <w:rFonts w:ascii="Times New Roman" w:cs="Times New Roman" w:eastAsia="Times New Roman" w:hAnsi="Times New Roman"/>
          <w:sz w:val="16"/>
          <w:szCs w:val="16"/>
          <w:b w:val="1"/>
          <w:bCs w:val="1"/>
          <w:color w:val="auto"/>
        </w:rPr>
        <w:t xml:space="preserve"> 11.1.24</w:t>
      </w:r>
      <w:r>
        <w:rPr>
          <w:sz w:val="20"/>
          <w:szCs w:val="20"/>
          <w:color w:val="auto"/>
        </w:rPr>
        <w:tab/>
      </w:r>
      <w:r>
        <w:rPr>
          <w:rFonts w:ascii="Times New Roman" w:cs="Times New Roman" w:eastAsia="Times New Roman" w:hAnsi="Times New Roman"/>
          <w:sz w:val="16"/>
          <w:szCs w:val="16"/>
          <w:b w:val="1"/>
          <w:bCs w:val="1"/>
          <w:color w:val="auto"/>
        </w:rPr>
        <w:t>A</w:t>
      </w:r>
      <w:r>
        <w:rPr>
          <w:rFonts w:ascii="Times New Roman" w:cs="Times New Roman" w:eastAsia="Times New Roman" w:hAnsi="Times New Roman"/>
          <w:sz w:val="10"/>
          <w:szCs w:val="10"/>
          <w:b w:val="1"/>
          <w:bCs w:val="1"/>
          <w:color w:val="auto"/>
        </w:rPr>
        <w:t>ccuray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9" w:name="page120"/>
    <w:bookmarkEnd w:id="119"/>
    <w:p>
      <w:pPr>
        <w:ind w:left="48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808480" cy="21463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clrChange>
                        <a:clrFrom>
                          <a:srgbClr val="FFFFFF"/>
                        </a:clrFrom>
                        <a:clrTo>
                          <a:srgbClr val="FFFFFF">
                            <a:alpha val="0"/>
                          </a:srgbClr>
                        </a:clrTo>
                      </a:clrChange>
                      <a:extLst>
                        <a:ext uri="{28A0092B-C50C-407E-A947-70E740481C1C}"/>
                      </a:extLst>
                    </a:blip>
                    <a:srcRect/>
                    <a:stretch>
                      <a:fillRect/>
                    </a:stretch>
                  </pic:blipFill>
                  <pic:spPr bwMode="auto">
                    <a:xfrm>
                      <a:off x="0" y="0"/>
                      <a:ext cx="1808480" cy="214630"/>
                    </a:xfrm>
                    <a:prstGeom prst="rect">
                      <a:avLst/>
                    </a:prstGeom>
                    <a:noFill/>
                  </pic:spPr>
                </pic:pic>
              </a:graphicData>
            </a:graphic>
          </wp:anchor>
        </w:drawing>
        <w:t>EXHIBIT 10.4</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1</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NUMPAGES 34</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00171E"/>
        </w:rPr>
        <w:t>EXECUTIVE EMPLOYMENT AGREEMENT</w:t>
      </w:r>
    </w:p>
    <w:p>
      <w:pPr>
        <w:spacing w:after="0" w:line="220"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00171E"/>
        </w:rPr>
        <w:t>This Employment Agreement (“</w:t>
      </w:r>
      <w:r>
        <w:rPr>
          <w:rFonts w:ascii="Times New Roman" w:cs="Times New Roman" w:eastAsia="Times New Roman" w:hAnsi="Times New Roman"/>
          <w:sz w:val="20"/>
          <w:szCs w:val="20"/>
          <w:u w:val="single" w:color="auto"/>
          <w:color w:val="00171E"/>
        </w:rPr>
        <w:t>Agreement</w:t>
      </w:r>
      <w:r>
        <w:rPr>
          <w:rFonts w:ascii="Times New Roman" w:cs="Times New Roman" w:eastAsia="Times New Roman" w:hAnsi="Times New Roman"/>
          <w:sz w:val="20"/>
          <w:szCs w:val="20"/>
          <w:color w:val="00171E"/>
        </w:rPr>
        <w:t>”) is entered into and effective as of February 3, 2025 (“</w:t>
      </w:r>
      <w:r>
        <w:rPr>
          <w:rFonts w:ascii="Times New Roman" w:cs="Times New Roman" w:eastAsia="Times New Roman" w:hAnsi="Times New Roman"/>
          <w:sz w:val="20"/>
          <w:szCs w:val="20"/>
          <w:u w:val="single" w:color="auto"/>
          <w:color w:val="00171E"/>
        </w:rPr>
        <w:t>Effective Date</w:t>
      </w:r>
      <w:r>
        <w:rPr>
          <w:rFonts w:ascii="Times New Roman" w:cs="Times New Roman" w:eastAsia="Times New Roman" w:hAnsi="Times New Roman"/>
          <w:sz w:val="20"/>
          <w:szCs w:val="20"/>
          <w:color w:val="00171E"/>
        </w:rPr>
        <w:t>”), by and between Accuray Incorporated, a Delaware corporation (the “</w:t>
      </w:r>
      <w:r>
        <w:rPr>
          <w:rFonts w:ascii="Times New Roman" w:cs="Times New Roman" w:eastAsia="Times New Roman" w:hAnsi="Times New Roman"/>
          <w:sz w:val="20"/>
          <w:szCs w:val="20"/>
          <w:u w:val="single" w:color="auto"/>
          <w:color w:val="00171E"/>
        </w:rPr>
        <w:t>Company</w:t>
      </w:r>
      <w:r>
        <w:rPr>
          <w:rFonts w:ascii="Times New Roman" w:cs="Times New Roman" w:eastAsia="Times New Roman" w:hAnsi="Times New Roman"/>
          <w:sz w:val="20"/>
          <w:szCs w:val="20"/>
          <w:color w:val="00171E"/>
        </w:rPr>
        <w:t>”), and Sandeep Chalke (“</w:t>
      </w:r>
      <w:r>
        <w:rPr>
          <w:rFonts w:ascii="Times New Roman" w:cs="Times New Roman" w:eastAsia="Times New Roman" w:hAnsi="Times New Roman"/>
          <w:sz w:val="20"/>
          <w:szCs w:val="20"/>
          <w:u w:val="single" w:color="auto"/>
          <w:color w:val="00171E"/>
        </w:rPr>
        <w:t>Executive</w:t>
      </w:r>
      <w:r>
        <w:rPr>
          <w:rFonts w:ascii="Times New Roman" w:cs="Times New Roman" w:eastAsia="Times New Roman" w:hAnsi="Times New Roman"/>
          <w:sz w:val="20"/>
          <w:szCs w:val="20"/>
          <w:color w:val="00171E"/>
        </w:rPr>
        <w: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00171E"/>
        </w:rPr>
        <w:t>RECITALS</w:t>
      </w:r>
    </w:p>
    <w:p>
      <w:pPr>
        <w:spacing w:after="0" w:line="220" w:lineRule="exact"/>
        <w:rPr>
          <w:sz w:val="20"/>
          <w:szCs w:val="20"/>
          <w:color w:val="auto"/>
        </w:rPr>
      </w:pPr>
    </w:p>
    <w:p>
      <w:pPr>
        <w:ind w:right="40" w:firstLine="757"/>
        <w:spacing w:after="0" w:line="269" w:lineRule="auto"/>
        <w:tabs>
          <w:tab w:leader="none" w:pos="1145" w:val="left"/>
        </w:tabs>
        <w:numPr>
          <w:ilvl w:val="0"/>
          <w:numId w:val="111"/>
        </w:numPr>
        <w:rPr>
          <w:rFonts w:ascii="Times New Roman" w:cs="Times New Roman" w:eastAsia="Times New Roman" w:hAnsi="Times New Roman"/>
          <w:sz w:val="20"/>
          <w:szCs w:val="20"/>
          <w:color w:val="00171E"/>
        </w:rPr>
      </w:pPr>
      <w:r>
        <w:rPr>
          <w:rFonts w:ascii="Times New Roman" w:cs="Times New Roman" w:eastAsia="Times New Roman" w:hAnsi="Times New Roman"/>
          <w:sz w:val="20"/>
          <w:szCs w:val="20"/>
          <w:color w:val="00171E"/>
        </w:rPr>
        <w:t>The Company is in the business of developing, manufacturing and selling radiation oncology, including radio surgery and radiation therapy, technologies and devices (the “</w:t>
      </w:r>
      <w:r>
        <w:rPr>
          <w:rFonts w:ascii="Times New Roman" w:cs="Times New Roman" w:eastAsia="Times New Roman" w:hAnsi="Times New Roman"/>
          <w:sz w:val="20"/>
          <w:szCs w:val="20"/>
          <w:u w:val="single" w:color="auto"/>
          <w:color w:val="00171E"/>
        </w:rPr>
        <w:t>Business</w:t>
      </w:r>
      <w:r>
        <w:rPr>
          <w:rFonts w:ascii="Times New Roman" w:cs="Times New Roman" w:eastAsia="Times New Roman" w:hAnsi="Times New Roman"/>
          <w:sz w:val="20"/>
          <w:szCs w:val="20"/>
          <w:color w:val="00171E"/>
        </w:rPr>
        <w:t>”).</w:t>
      </w:r>
    </w:p>
    <w:p>
      <w:pPr>
        <w:spacing w:after="0" w:line="159" w:lineRule="exact"/>
        <w:rPr>
          <w:rFonts w:ascii="Times New Roman" w:cs="Times New Roman" w:eastAsia="Times New Roman" w:hAnsi="Times New Roman"/>
          <w:sz w:val="20"/>
          <w:szCs w:val="20"/>
          <w:color w:val="00171E"/>
        </w:rPr>
      </w:pPr>
    </w:p>
    <w:p>
      <w:pPr>
        <w:ind w:right="20" w:firstLine="757"/>
        <w:spacing w:after="0" w:line="269" w:lineRule="auto"/>
        <w:tabs>
          <w:tab w:leader="none" w:pos="1145" w:val="left"/>
        </w:tabs>
        <w:numPr>
          <w:ilvl w:val="0"/>
          <w:numId w:val="111"/>
        </w:numPr>
        <w:rPr>
          <w:rFonts w:ascii="Times New Roman" w:cs="Times New Roman" w:eastAsia="Times New Roman" w:hAnsi="Times New Roman"/>
          <w:sz w:val="20"/>
          <w:szCs w:val="20"/>
          <w:color w:val="00171E"/>
        </w:rPr>
      </w:pPr>
      <w:r>
        <w:rPr>
          <w:rFonts w:ascii="Times New Roman" w:cs="Times New Roman" w:eastAsia="Times New Roman" w:hAnsi="Times New Roman"/>
          <w:sz w:val="20"/>
          <w:szCs w:val="20"/>
          <w:color w:val="00171E"/>
        </w:rPr>
        <w:t>The Company wishes to employ Executive to serve as Senior Vice President, Chief Commercial Officer and Executive desires to serve the Company in such capacity pursuant to the terms and conditions in this Agreement.</w:t>
      </w:r>
    </w:p>
    <w:p>
      <w:pPr>
        <w:spacing w:after="0" w:line="159" w:lineRule="exact"/>
        <w:rPr>
          <w:rFonts w:ascii="Times New Roman" w:cs="Times New Roman" w:eastAsia="Times New Roman" w:hAnsi="Times New Roman"/>
          <w:sz w:val="20"/>
          <w:szCs w:val="20"/>
          <w:color w:val="00171E"/>
        </w:rPr>
      </w:pPr>
    </w:p>
    <w:p>
      <w:pPr>
        <w:ind w:left="1160" w:hanging="403"/>
        <w:spacing w:after="0"/>
        <w:tabs>
          <w:tab w:leader="none" w:pos="1160" w:val="left"/>
        </w:tabs>
        <w:numPr>
          <w:ilvl w:val="0"/>
          <w:numId w:val="111"/>
        </w:numPr>
        <w:rPr>
          <w:rFonts w:ascii="Times New Roman" w:cs="Times New Roman" w:eastAsia="Times New Roman" w:hAnsi="Times New Roman"/>
          <w:sz w:val="20"/>
          <w:szCs w:val="20"/>
          <w:color w:val="00171E"/>
        </w:rPr>
      </w:pPr>
      <w:r>
        <w:rPr>
          <w:rFonts w:ascii="Times New Roman" w:cs="Times New Roman" w:eastAsia="Times New Roman" w:hAnsi="Times New Roman"/>
          <w:sz w:val="20"/>
          <w:szCs w:val="20"/>
          <w:color w:val="00171E"/>
        </w:rPr>
        <w:t>As of the Effective Date, Executive has commenced full-time employment with the Company.</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00171E"/>
        </w:rPr>
        <w:t>NOW, THEREFORE, the parties agree as follows:</w:t>
      </w:r>
    </w:p>
    <w:p>
      <w:pPr>
        <w:spacing w:after="0" w:line="212" w:lineRule="exact"/>
        <w:rPr>
          <w:sz w:val="20"/>
          <w:szCs w:val="20"/>
          <w:color w:val="auto"/>
        </w:rPr>
      </w:pPr>
    </w:p>
    <w:p>
      <w:pPr>
        <w:ind w:left="1020" w:hanging="263"/>
        <w:spacing w:after="0"/>
        <w:tabs>
          <w:tab w:leader="none" w:pos="1020" w:val="left"/>
        </w:tabs>
        <w:numPr>
          <w:ilvl w:val="0"/>
          <w:numId w:val="112"/>
        </w:numPr>
        <w:rPr>
          <w:rFonts w:ascii="Times New Roman" w:cs="Times New Roman" w:eastAsia="Times New Roman" w:hAnsi="Times New Roman"/>
          <w:sz w:val="20"/>
          <w:szCs w:val="20"/>
          <w:b w:val="1"/>
          <w:bCs w:val="1"/>
          <w:color w:val="00171E"/>
        </w:rPr>
      </w:pPr>
      <w:r>
        <w:rPr>
          <w:rFonts w:ascii="Times New Roman" w:cs="Times New Roman" w:eastAsia="Times New Roman" w:hAnsi="Times New Roman"/>
          <w:sz w:val="20"/>
          <w:szCs w:val="20"/>
          <w:b w:val="1"/>
          <w:bCs w:val="1"/>
          <w:color w:val="00171E"/>
        </w:rPr>
        <w:t>Position and Duties.</w:t>
      </w:r>
    </w:p>
    <w:p>
      <w:pPr>
        <w:spacing w:after="0" w:line="219" w:lineRule="exact"/>
        <w:rPr>
          <w:rFonts w:ascii="Times New Roman" w:cs="Times New Roman" w:eastAsia="Times New Roman" w:hAnsi="Times New Roman"/>
          <w:sz w:val="20"/>
          <w:szCs w:val="20"/>
          <w:b w:val="1"/>
          <w:bCs w:val="1"/>
          <w:color w:val="00171E"/>
        </w:rPr>
      </w:pPr>
    </w:p>
    <w:p>
      <w:pPr>
        <w:jc w:val="both"/>
        <w:ind w:firstLine="1505"/>
        <w:spacing w:after="0" w:line="266" w:lineRule="auto"/>
        <w:tabs>
          <w:tab w:leader="none" w:pos="2036" w:val="left"/>
        </w:tabs>
        <w:numPr>
          <w:ilvl w:val="1"/>
          <w:numId w:val="112"/>
        </w:numPr>
        <w:rPr>
          <w:rFonts w:ascii="Times New Roman" w:cs="Times New Roman" w:eastAsia="Times New Roman" w:hAnsi="Times New Roman"/>
          <w:sz w:val="19"/>
          <w:szCs w:val="19"/>
          <w:u w:val="single" w:color="auto"/>
          <w:color w:val="00171E"/>
        </w:rPr>
      </w:pPr>
      <w:r>
        <w:rPr>
          <w:rFonts w:ascii="Times New Roman" w:cs="Times New Roman" w:eastAsia="Times New Roman" w:hAnsi="Times New Roman"/>
          <w:sz w:val="19"/>
          <w:szCs w:val="19"/>
          <w:color w:val="00171E"/>
        </w:rPr>
        <w:t>During the term of this Agreement, Executive will be employed by the Company to serve as Senior Vice President, Chief Commercial Officer of the Company, reporting to the President and Chief Executive Officer of the Company. Executive will be responsible for: (i) performing the duties and responsibilities customarily expected to be performed by such position and (ii) performing such other duties and functions as are reasonably required and/or as may be reasonably prescribed by the Company from time to time.</w:t>
      </w:r>
    </w:p>
    <w:p>
      <w:pPr>
        <w:spacing w:after="0" w:line="165" w:lineRule="exact"/>
        <w:rPr>
          <w:rFonts w:ascii="Times New Roman" w:cs="Times New Roman" w:eastAsia="Times New Roman" w:hAnsi="Times New Roman"/>
          <w:sz w:val="19"/>
          <w:szCs w:val="19"/>
          <w:u w:val="single" w:color="auto"/>
          <w:color w:val="00171E"/>
        </w:rPr>
      </w:pPr>
    </w:p>
    <w:p>
      <w:pPr>
        <w:ind w:right="20" w:firstLine="1505"/>
        <w:spacing w:after="0" w:line="269" w:lineRule="auto"/>
        <w:tabs>
          <w:tab w:leader="none" w:pos="2036" w:val="left"/>
        </w:tabs>
        <w:numPr>
          <w:ilvl w:val="1"/>
          <w:numId w:val="112"/>
        </w:numPr>
        <w:rPr>
          <w:rFonts w:ascii="Times New Roman" w:cs="Times New Roman" w:eastAsia="Times New Roman" w:hAnsi="Times New Roman"/>
          <w:sz w:val="20"/>
          <w:szCs w:val="20"/>
          <w:u w:val="single" w:color="auto"/>
          <w:color w:val="00171E"/>
        </w:rPr>
      </w:pPr>
      <w:r>
        <w:rPr>
          <w:rFonts w:ascii="Times New Roman" w:cs="Times New Roman" w:eastAsia="Times New Roman" w:hAnsi="Times New Roman"/>
          <w:sz w:val="20"/>
          <w:szCs w:val="20"/>
          <w:color w:val="00171E"/>
        </w:rPr>
        <w:t>The location of Executive’s employment will be the Company’s headquarters offices, but Executive from time to time may be required to travel to other geographic locations in connection with the performance of his/her duties.</w:t>
      </w:r>
    </w:p>
    <w:p>
      <w:pPr>
        <w:spacing w:after="0" w:line="155" w:lineRule="exact"/>
        <w:rPr>
          <w:rFonts w:ascii="Times New Roman" w:cs="Times New Roman" w:eastAsia="Times New Roman" w:hAnsi="Times New Roman"/>
          <w:sz w:val="20"/>
          <w:szCs w:val="20"/>
          <w:u w:val="single" w:color="auto"/>
          <w:color w:val="00171E"/>
        </w:rPr>
      </w:pPr>
    </w:p>
    <w:p>
      <w:pPr>
        <w:jc w:val="both"/>
        <w:ind w:firstLine="757"/>
        <w:spacing w:after="0" w:line="245" w:lineRule="auto"/>
        <w:tabs>
          <w:tab w:leader="none" w:pos="1018" w:val="left"/>
        </w:tabs>
        <w:numPr>
          <w:ilvl w:val="0"/>
          <w:numId w:val="112"/>
        </w:numPr>
        <w:rPr>
          <w:rFonts w:ascii="Times New Roman" w:cs="Times New Roman" w:eastAsia="Times New Roman" w:hAnsi="Times New Roman"/>
          <w:sz w:val="20"/>
          <w:szCs w:val="20"/>
          <w:b w:val="1"/>
          <w:bCs w:val="1"/>
          <w:color w:val="00171E"/>
        </w:rPr>
      </w:pPr>
      <w:r>
        <w:rPr>
          <w:rFonts w:ascii="Times New Roman" w:cs="Times New Roman" w:eastAsia="Times New Roman" w:hAnsi="Times New Roman"/>
          <w:sz w:val="20"/>
          <w:szCs w:val="20"/>
          <w:b w:val="1"/>
          <w:bCs w:val="1"/>
          <w:color w:val="00171E"/>
        </w:rPr>
        <w:t xml:space="preserve">Standards of Performance. </w:t>
      </w:r>
      <w:r>
        <w:rPr>
          <w:rFonts w:ascii="Times New Roman" w:cs="Times New Roman" w:eastAsia="Times New Roman" w:hAnsi="Times New Roman"/>
          <w:sz w:val="20"/>
          <w:szCs w:val="20"/>
          <w:color w:val="00171E"/>
        </w:rPr>
        <w:t>Executive will at all times faithfully, industriously and to the best of his/her ability, experience and</w:t>
      </w:r>
      <w:r>
        <w:rPr>
          <w:rFonts w:ascii="Times New Roman" w:cs="Times New Roman" w:eastAsia="Times New Roman" w:hAnsi="Times New Roman"/>
          <w:sz w:val="20"/>
          <w:szCs w:val="20"/>
          <w:b w:val="1"/>
          <w:bCs w:val="1"/>
          <w:color w:val="00171E"/>
        </w:rPr>
        <w:t xml:space="preserve"> </w:t>
      </w:r>
      <w:r>
        <w:rPr>
          <w:rFonts w:ascii="Times New Roman" w:cs="Times New Roman" w:eastAsia="Times New Roman" w:hAnsi="Times New Roman"/>
          <w:sz w:val="20"/>
          <w:szCs w:val="20"/>
          <w:color w:val="00171E"/>
        </w:rPr>
        <w:t>talents perform all of the duties required of and from him/her pursuant to the terms of this Agreement. Executive will devote his/her full business energies and abilities and all of his/her business time to the performance of his/her duties hereunder and will not, without the Company’s prior written consent, render to others any service of any kind (whether or not for compensation) that, in the Company’s sole but reasonable judgment, would conflict with the full performance of his/her duties hereunder. In no event will Executive engage in any activities that could reasonably create a conflict of interest or the appearance of a conflict of interest. Executive shall be subject to the Company’s policies, procedures and approval practices, as generally in effect from time to time.</w:t>
      </w:r>
    </w:p>
    <w:p>
      <w:pPr>
        <w:spacing w:after="0" w:line="197" w:lineRule="exact"/>
        <w:rPr>
          <w:rFonts w:ascii="Times New Roman" w:cs="Times New Roman" w:eastAsia="Times New Roman" w:hAnsi="Times New Roman"/>
          <w:sz w:val="20"/>
          <w:szCs w:val="20"/>
          <w:b w:val="1"/>
          <w:bCs w:val="1"/>
          <w:color w:val="00171E"/>
        </w:rPr>
      </w:pPr>
    </w:p>
    <w:p>
      <w:pPr>
        <w:ind w:left="1020" w:hanging="263"/>
        <w:spacing w:after="0"/>
        <w:tabs>
          <w:tab w:leader="none" w:pos="1020" w:val="left"/>
        </w:tabs>
        <w:numPr>
          <w:ilvl w:val="0"/>
          <w:numId w:val="112"/>
        </w:numPr>
        <w:rPr>
          <w:rFonts w:ascii="Times New Roman" w:cs="Times New Roman" w:eastAsia="Times New Roman" w:hAnsi="Times New Roman"/>
          <w:sz w:val="20"/>
          <w:szCs w:val="20"/>
          <w:b w:val="1"/>
          <w:bCs w:val="1"/>
          <w:color w:val="00171E"/>
        </w:rPr>
      </w:pPr>
      <w:r>
        <w:rPr>
          <w:rFonts w:ascii="Times New Roman" w:cs="Times New Roman" w:eastAsia="Times New Roman" w:hAnsi="Times New Roman"/>
          <w:sz w:val="18"/>
          <w:szCs w:val="18"/>
          <w:b w:val="1"/>
          <w:bCs w:val="1"/>
          <w:color w:val="00171E"/>
        </w:rPr>
        <w:t>Term.</w:t>
      </w:r>
    </w:p>
    <w:p>
      <w:pPr>
        <w:spacing w:after="0" w:line="201" w:lineRule="exact"/>
        <w:rPr>
          <w:rFonts w:ascii="Times New Roman" w:cs="Times New Roman" w:eastAsia="Times New Roman" w:hAnsi="Times New Roman"/>
          <w:sz w:val="20"/>
          <w:szCs w:val="20"/>
          <w:b w:val="1"/>
          <w:bCs w:val="1"/>
          <w:color w:val="00171E"/>
        </w:rPr>
      </w:pPr>
    </w:p>
    <w:p>
      <w:pPr>
        <w:ind w:firstLine="1505"/>
        <w:spacing w:after="0" w:line="269" w:lineRule="auto"/>
        <w:tabs>
          <w:tab w:leader="none" w:pos="2036" w:val="left"/>
        </w:tabs>
        <w:numPr>
          <w:ilvl w:val="1"/>
          <w:numId w:val="112"/>
        </w:numPr>
        <w:rPr>
          <w:rFonts w:ascii="Times New Roman" w:cs="Times New Roman" w:eastAsia="Times New Roman" w:hAnsi="Times New Roman"/>
          <w:sz w:val="20"/>
          <w:szCs w:val="20"/>
          <w:u w:val="single" w:color="auto"/>
          <w:color w:val="00171E"/>
        </w:rPr>
      </w:pPr>
      <w:r>
        <w:rPr>
          <w:rFonts w:ascii="Times New Roman" w:cs="Times New Roman" w:eastAsia="Times New Roman" w:hAnsi="Times New Roman"/>
          <w:sz w:val="20"/>
          <w:szCs w:val="20"/>
          <w:u w:val="single" w:color="auto"/>
          <w:color w:val="00171E"/>
        </w:rPr>
        <w:t>Term of Agreement</w:t>
      </w:r>
      <w:r>
        <w:rPr>
          <w:rFonts w:ascii="Times New Roman" w:cs="Times New Roman" w:eastAsia="Times New Roman" w:hAnsi="Times New Roman"/>
          <w:sz w:val="20"/>
          <w:szCs w:val="20"/>
          <w:color w:val="00171E"/>
        </w:rPr>
        <w:t>. This Agreement will have an initial term of three (3) years commencing on the Effective Date (the “</w:t>
      </w:r>
      <w:r>
        <w:rPr>
          <w:rFonts w:ascii="Times New Roman" w:cs="Times New Roman" w:eastAsia="Times New Roman" w:hAnsi="Times New Roman"/>
          <w:sz w:val="20"/>
          <w:szCs w:val="20"/>
          <w:u w:val="single" w:color="auto"/>
          <w:color w:val="00171E"/>
        </w:rPr>
        <w:t>Initial Term</w:t>
      </w:r>
      <w:r>
        <w:rPr>
          <w:rFonts w:ascii="Times New Roman" w:cs="Times New Roman" w:eastAsia="Times New Roman" w:hAnsi="Times New Roman"/>
          <w:sz w:val="20"/>
          <w:szCs w:val="20"/>
          <w:color w:val="00171E"/>
        </w:rPr>
        <w:t>”). On the third anniversary of the Effective Date,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171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8"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6"/>
          <w:szCs w:val="16"/>
          <w:b w:val="1"/>
          <w:bCs w:val="1"/>
          <w:color w:val="auto"/>
        </w:rPr>
        <w:t>E</w:t>
      </w:r>
      <w:r>
        <w:rPr>
          <w:rFonts w:ascii="Times New Roman" w:cs="Times New Roman" w:eastAsia="Times New Roman" w:hAnsi="Times New Roman"/>
          <w:sz w:val="10"/>
          <w:szCs w:val="10"/>
          <w:b w:val="1"/>
          <w:bCs w:val="1"/>
          <w:color w:val="auto"/>
        </w:rPr>
        <w:t>xecutive</w:t>
      </w:r>
      <w:r>
        <w:rPr>
          <w:rFonts w:ascii="Times New Roman" w:cs="Times New Roman" w:eastAsia="Times New Roman" w:hAnsi="Times New Roman"/>
          <w:sz w:val="16"/>
          <w:szCs w:val="16"/>
          <w:b w:val="1"/>
          <w:bCs w:val="1"/>
          <w:color w:val="auto"/>
        </w:rPr>
        <w:t xml:space="preserve"> E</w:t>
      </w:r>
      <w:r>
        <w:rPr>
          <w:rFonts w:ascii="Times New Roman" w:cs="Times New Roman" w:eastAsia="Times New Roman" w:hAnsi="Times New Roman"/>
          <w:sz w:val="10"/>
          <w:szCs w:val="10"/>
          <w:b w:val="1"/>
          <w:bCs w:val="1"/>
          <w:color w:val="auto"/>
        </w:rPr>
        <w:t>mployment</w:t>
      </w:r>
      <w:r>
        <w:rPr>
          <w:rFonts w:ascii="Times New Roman" w:cs="Times New Roman" w:eastAsia="Times New Roman" w:hAnsi="Times New Roman"/>
          <w:sz w:val="16"/>
          <w:szCs w:val="16"/>
          <w:b w:val="1"/>
          <w:bCs w:val="1"/>
          <w:color w:val="auto"/>
        </w:rPr>
        <w:t xml:space="preserve"> A</w:t>
      </w:r>
      <w:r>
        <w:rPr>
          <w:rFonts w:ascii="Times New Roman" w:cs="Times New Roman" w:eastAsia="Times New Roman" w:hAnsi="Times New Roman"/>
          <w:sz w:val="10"/>
          <w:szCs w:val="10"/>
          <w:b w:val="1"/>
          <w:bCs w:val="1"/>
          <w:color w:val="auto"/>
        </w:rPr>
        <w:t>gmt</w:t>
      </w:r>
      <w:r>
        <w:rPr>
          <w:rFonts w:ascii="Times New Roman" w:cs="Times New Roman" w:eastAsia="Times New Roman" w:hAnsi="Times New Roman"/>
          <w:sz w:val="16"/>
          <w:szCs w:val="16"/>
          <w:b w:val="1"/>
          <w:bCs w:val="1"/>
          <w:color w:val="auto"/>
        </w:rPr>
        <w:t xml:space="preserve"> S</w:t>
      </w:r>
      <w:r>
        <w:rPr>
          <w:rFonts w:ascii="Times New Roman" w:cs="Times New Roman" w:eastAsia="Times New Roman" w:hAnsi="Times New Roman"/>
          <w:sz w:val="10"/>
          <w:szCs w:val="10"/>
          <w:b w:val="1"/>
          <w:bCs w:val="1"/>
          <w:color w:val="auto"/>
        </w:rPr>
        <w:t>td</w:t>
      </w:r>
      <w:r>
        <w:rPr>
          <w:rFonts w:ascii="Times New Roman" w:cs="Times New Roman" w:eastAsia="Times New Roman" w:hAnsi="Times New Roman"/>
          <w:sz w:val="16"/>
          <w:szCs w:val="16"/>
          <w:b w:val="1"/>
          <w:bCs w:val="1"/>
          <w:color w:val="auto"/>
        </w:rPr>
        <w:t xml:space="preserve"> 11.1.24</w:t>
      </w:r>
      <w:r>
        <w:rPr>
          <w:sz w:val="20"/>
          <w:szCs w:val="20"/>
          <w:color w:val="auto"/>
        </w:rPr>
        <w:tab/>
      </w:r>
      <w:r>
        <w:rPr>
          <w:rFonts w:ascii="Times New Roman" w:cs="Times New Roman" w:eastAsia="Times New Roman" w:hAnsi="Times New Roman"/>
          <w:sz w:val="16"/>
          <w:szCs w:val="16"/>
          <w:b w:val="1"/>
          <w:bCs w:val="1"/>
          <w:color w:val="auto"/>
        </w:rPr>
        <w:t>A</w:t>
      </w:r>
      <w:r>
        <w:rPr>
          <w:rFonts w:ascii="Times New Roman" w:cs="Times New Roman" w:eastAsia="Times New Roman" w:hAnsi="Times New Roman"/>
          <w:sz w:val="10"/>
          <w:szCs w:val="10"/>
          <w:b w:val="1"/>
          <w:bCs w:val="1"/>
          <w:color w:val="auto"/>
        </w:rPr>
        <w:t>ccuray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NUMPAGES \* Arabic \* MERGEFORMAT 31</w:t>
      </w:r>
    </w:p>
    <w:p>
      <w:pPr>
        <w:spacing w:after="0" w:line="200" w:lineRule="exact"/>
        <w:rPr>
          <w:sz w:val="20"/>
          <w:szCs w:val="20"/>
          <w:color w:val="auto"/>
        </w:rPr>
      </w:pPr>
    </w:p>
    <w:p>
      <w:pPr>
        <w:spacing w:after="0" w:line="24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00171E"/>
        </w:rPr>
        <w:t>Agreement will renew automatically for additional three (3) year terms (each, an “</w:t>
      </w:r>
      <w:r>
        <w:rPr>
          <w:rFonts w:ascii="Times New Roman" w:cs="Times New Roman" w:eastAsia="Times New Roman" w:hAnsi="Times New Roman"/>
          <w:sz w:val="20"/>
          <w:szCs w:val="20"/>
          <w:u w:val="single" w:color="auto"/>
          <w:color w:val="00171E"/>
        </w:rPr>
        <w:t>Additional Term</w:t>
      </w:r>
      <w:r>
        <w:rPr>
          <w:rFonts w:ascii="Times New Roman" w:cs="Times New Roman" w:eastAsia="Times New Roman" w:hAnsi="Times New Roman"/>
          <w:sz w:val="20"/>
          <w:szCs w:val="20"/>
          <w:color w:val="00171E"/>
        </w:rPr>
        <w:t>” and together with the Initial Term, the “</w:t>
      </w:r>
      <w:r>
        <w:rPr>
          <w:rFonts w:ascii="Times New Roman" w:cs="Times New Roman" w:eastAsia="Times New Roman" w:hAnsi="Times New Roman"/>
          <w:sz w:val="20"/>
          <w:szCs w:val="20"/>
          <w:u w:val="single" w:color="auto"/>
          <w:color w:val="00171E"/>
        </w:rPr>
        <w:t>Term</w:t>
      </w:r>
      <w:r>
        <w:rPr>
          <w:rFonts w:ascii="Times New Roman" w:cs="Times New Roman" w:eastAsia="Times New Roman" w:hAnsi="Times New Roman"/>
          <w:sz w:val="20"/>
          <w:szCs w:val="20"/>
          <w:color w:val="00171E"/>
        </w:rPr>
        <w:t xml:space="preserve">”), unless either party provides the other party with written notice of non-renewal at least sixty (60) days prior to the date of automatic renewal; provided, however, that if the Company enters into a definitive agreement to be acquired and the transactions contemplated thereby would result in the occurrence of a Change in Control (as defined below) if consummated, then the Company will no longer be permitted to provide Executive with written notice to not renew this Agreement unless such definitive agreement is terminated without the Change in Control being consummated. If the Change in Control is consummated, the Agreement will continue in effect through the longer of the date that is twenty-four (24) months following the effective date of the Change in Control or the remainder of the Term then in effect (for purposes of clarification, it will be possible for the Term of the Agreement to automatically extend after the Company enters into the definitive agreement, but before the Change in Control is consummated). If the definitive agreement is terminated without the transactions contemplated thereby having been consummated and at the time of such termination there is at least twelve (12) months remaining in the Term, the Agreement will continue in effect for the remainder of the Term then in effect, but if there is less than twelve (12) months remaining in the Term then in effect, the Agreement will automatically extend for an additional three (3) years from the date the definitive agreement is terminated. If Executive becomes entitled to benefits under </w:t>
      </w:r>
      <w:r>
        <w:rPr>
          <w:rFonts w:ascii="Times New Roman" w:cs="Times New Roman" w:eastAsia="Times New Roman" w:hAnsi="Times New Roman"/>
          <w:sz w:val="20"/>
          <w:szCs w:val="20"/>
          <w:u w:val="single" w:color="auto"/>
          <w:color w:val="00171E"/>
        </w:rPr>
        <w:t>Section 5</w:t>
      </w:r>
      <w:r>
        <w:rPr>
          <w:rFonts w:ascii="Times New Roman" w:cs="Times New Roman" w:eastAsia="Times New Roman" w:hAnsi="Times New Roman"/>
          <w:sz w:val="20"/>
          <w:szCs w:val="20"/>
          <w:color w:val="00171E"/>
        </w:rPr>
        <w:t xml:space="preserve"> during the term of this Agreement, the Agreement will not terminate until all of the obligations of the parties hereto with respect to this Agreement have been satisfied.</w:t>
      </w:r>
    </w:p>
    <w:p>
      <w:pPr>
        <w:spacing w:after="0" w:line="196" w:lineRule="exact"/>
        <w:rPr>
          <w:sz w:val="20"/>
          <w:szCs w:val="20"/>
          <w:color w:val="auto"/>
        </w:rPr>
      </w:pPr>
    </w:p>
    <w:p>
      <w:pPr>
        <w:jc w:val="both"/>
        <w:ind w:firstLine="1505"/>
        <w:spacing w:after="0" w:line="246" w:lineRule="auto"/>
        <w:tabs>
          <w:tab w:leader="none" w:pos="2036" w:val="left"/>
        </w:tabs>
        <w:numPr>
          <w:ilvl w:val="1"/>
          <w:numId w:val="113"/>
        </w:numPr>
        <w:rPr>
          <w:rFonts w:ascii="Times New Roman" w:cs="Times New Roman" w:eastAsia="Times New Roman" w:hAnsi="Times New Roman"/>
          <w:sz w:val="20"/>
          <w:szCs w:val="20"/>
          <w:u w:val="single" w:color="auto"/>
          <w:color w:val="00171E"/>
        </w:rPr>
      </w:pPr>
      <w:r>
        <w:rPr>
          <w:rFonts w:ascii="Times New Roman" w:cs="Times New Roman" w:eastAsia="Times New Roman" w:hAnsi="Times New Roman"/>
          <w:sz w:val="20"/>
          <w:szCs w:val="20"/>
          <w:u w:val="single" w:color="auto"/>
          <w:color w:val="00171E"/>
        </w:rPr>
        <w:t>At-Will Employment</w:t>
      </w:r>
      <w:r>
        <w:rPr>
          <w:rFonts w:ascii="Times New Roman" w:cs="Times New Roman" w:eastAsia="Times New Roman" w:hAnsi="Times New Roman"/>
          <w:sz w:val="20"/>
          <w:szCs w:val="20"/>
          <w:color w:val="00171E"/>
        </w:rPr>
        <w:t xml:space="preserve">. The Company and Executive acknowledge that, notwithstanding the foregoing, Executive’s employment is and will continue to be at-will, as defined under applicable law. As an at-will employee, either the Company or the Executive may terminate the employment relationship and this Agreement at any time, with or without cause; provided, however, that in connection with such termination, the Company will provide Executive with any applicable benefits under </w:t>
      </w:r>
      <w:r>
        <w:rPr>
          <w:rFonts w:ascii="Times New Roman" w:cs="Times New Roman" w:eastAsia="Times New Roman" w:hAnsi="Times New Roman"/>
          <w:sz w:val="20"/>
          <w:szCs w:val="20"/>
          <w:u w:val="single" w:color="auto"/>
          <w:color w:val="00171E"/>
        </w:rPr>
        <w:t>Section 5</w:t>
      </w:r>
      <w:r>
        <w:rPr>
          <w:rFonts w:ascii="Times New Roman" w:cs="Times New Roman" w:eastAsia="Times New Roman" w:hAnsi="Times New Roman"/>
          <w:sz w:val="20"/>
          <w:szCs w:val="20"/>
          <w:color w:val="00171E"/>
        </w:rPr>
        <w:t xml:space="preserve"> to which Executive is entitled, all in accordance with the terms and conditions thereof.</w:t>
      </w:r>
    </w:p>
    <w:p>
      <w:pPr>
        <w:spacing w:after="0" w:line="180" w:lineRule="exact"/>
        <w:rPr>
          <w:rFonts w:ascii="Times New Roman" w:cs="Times New Roman" w:eastAsia="Times New Roman" w:hAnsi="Times New Roman"/>
          <w:sz w:val="20"/>
          <w:szCs w:val="20"/>
          <w:u w:val="single" w:color="auto"/>
          <w:color w:val="00171E"/>
        </w:rPr>
      </w:pPr>
    </w:p>
    <w:p>
      <w:pPr>
        <w:ind w:left="1020" w:hanging="263"/>
        <w:spacing w:after="0"/>
        <w:tabs>
          <w:tab w:leader="none" w:pos="1020" w:val="left"/>
        </w:tabs>
        <w:numPr>
          <w:ilvl w:val="0"/>
          <w:numId w:val="114"/>
        </w:numPr>
        <w:rPr>
          <w:rFonts w:ascii="Times New Roman" w:cs="Times New Roman" w:eastAsia="Times New Roman" w:hAnsi="Times New Roman"/>
          <w:sz w:val="20"/>
          <w:szCs w:val="20"/>
          <w:b w:val="1"/>
          <w:bCs w:val="1"/>
          <w:color w:val="00171E"/>
        </w:rPr>
      </w:pPr>
      <w:r>
        <w:rPr>
          <w:rFonts w:ascii="Times New Roman" w:cs="Times New Roman" w:eastAsia="Times New Roman" w:hAnsi="Times New Roman"/>
          <w:sz w:val="20"/>
          <w:szCs w:val="20"/>
          <w:b w:val="1"/>
          <w:bCs w:val="1"/>
          <w:color w:val="00171E"/>
        </w:rPr>
        <w:t>Compensation and Benefits.</w:t>
      </w:r>
    </w:p>
    <w:p>
      <w:pPr>
        <w:spacing w:after="0" w:line="219" w:lineRule="exact"/>
        <w:rPr>
          <w:rFonts w:ascii="Times New Roman" w:cs="Times New Roman" w:eastAsia="Times New Roman" w:hAnsi="Times New Roman"/>
          <w:sz w:val="20"/>
          <w:szCs w:val="20"/>
          <w:b w:val="1"/>
          <w:bCs w:val="1"/>
          <w:color w:val="00171E"/>
        </w:rPr>
      </w:pPr>
    </w:p>
    <w:p>
      <w:pPr>
        <w:jc w:val="both"/>
        <w:ind w:firstLine="1505"/>
        <w:spacing w:after="0" w:line="246" w:lineRule="auto"/>
        <w:tabs>
          <w:tab w:leader="none" w:pos="2036" w:val="left"/>
        </w:tabs>
        <w:numPr>
          <w:ilvl w:val="1"/>
          <w:numId w:val="114"/>
        </w:numPr>
        <w:rPr>
          <w:rFonts w:ascii="Times New Roman" w:cs="Times New Roman" w:eastAsia="Times New Roman" w:hAnsi="Times New Roman"/>
          <w:sz w:val="20"/>
          <w:szCs w:val="20"/>
          <w:u w:val="single" w:color="auto"/>
          <w:color w:val="00171E"/>
        </w:rPr>
      </w:pPr>
      <w:r>
        <w:rPr>
          <w:rFonts w:ascii="Times New Roman" w:cs="Times New Roman" w:eastAsia="Times New Roman" w:hAnsi="Times New Roman"/>
          <w:sz w:val="20"/>
          <w:szCs w:val="20"/>
          <w:u w:val="single" w:color="auto"/>
          <w:color w:val="00171E"/>
        </w:rPr>
        <w:t>Base Salary</w:t>
      </w:r>
      <w:r>
        <w:rPr>
          <w:rFonts w:ascii="Times New Roman" w:cs="Times New Roman" w:eastAsia="Times New Roman" w:hAnsi="Times New Roman"/>
          <w:sz w:val="20"/>
          <w:szCs w:val="20"/>
          <w:color w:val="00171E"/>
        </w:rPr>
        <w:t>. As an annual base salary (“</w:t>
      </w:r>
      <w:r>
        <w:rPr>
          <w:rFonts w:ascii="Times New Roman" w:cs="Times New Roman" w:eastAsia="Times New Roman" w:hAnsi="Times New Roman"/>
          <w:sz w:val="20"/>
          <w:szCs w:val="20"/>
          <w:u w:val="single" w:color="auto"/>
          <w:color w:val="00171E"/>
        </w:rPr>
        <w:t>Base Salary</w:t>
      </w:r>
      <w:r>
        <w:rPr>
          <w:rFonts w:ascii="Times New Roman" w:cs="Times New Roman" w:eastAsia="Times New Roman" w:hAnsi="Times New Roman"/>
          <w:sz w:val="20"/>
          <w:szCs w:val="20"/>
          <w:color w:val="00171E"/>
        </w:rPr>
        <w:t>”) for all services rendered pursuant to this Agreement, Executive will be paid an initial Base Salary in the gross amount of $459,000.00 calculated on an annualized basis, less necessary withholdings and authorized deductions, and payable pursuant to the Company’s regular payroll practices at the time. The Base Salary will be subject to review and adjustments will be made based upon the Company’s normal performance review practices as determined by the Company in its sole discretion.</w:t>
      </w:r>
    </w:p>
    <w:p>
      <w:pPr>
        <w:spacing w:after="0" w:line="184" w:lineRule="exact"/>
        <w:rPr>
          <w:rFonts w:ascii="Times New Roman" w:cs="Times New Roman" w:eastAsia="Times New Roman" w:hAnsi="Times New Roman"/>
          <w:sz w:val="20"/>
          <w:szCs w:val="20"/>
          <w:u w:val="single" w:color="auto"/>
          <w:color w:val="00171E"/>
        </w:rPr>
      </w:pPr>
    </w:p>
    <w:p>
      <w:pPr>
        <w:jc w:val="both"/>
        <w:ind w:firstLine="1505"/>
        <w:spacing w:after="0" w:line="242" w:lineRule="auto"/>
        <w:tabs>
          <w:tab w:leader="none" w:pos="2036" w:val="left"/>
        </w:tabs>
        <w:numPr>
          <w:ilvl w:val="1"/>
          <w:numId w:val="114"/>
        </w:numPr>
        <w:rPr>
          <w:rFonts w:ascii="Times New Roman" w:cs="Times New Roman" w:eastAsia="Times New Roman" w:hAnsi="Times New Roman"/>
          <w:sz w:val="20"/>
          <w:szCs w:val="20"/>
          <w:u w:val="single" w:color="auto"/>
          <w:color w:val="00171E"/>
        </w:rPr>
      </w:pPr>
      <w:r>
        <w:rPr>
          <w:rFonts w:ascii="Times New Roman" w:cs="Times New Roman" w:eastAsia="Times New Roman" w:hAnsi="Times New Roman"/>
          <w:sz w:val="20"/>
          <w:szCs w:val="20"/>
          <w:u w:val="single" w:color="auto"/>
          <w:color w:val="00171E"/>
        </w:rPr>
        <w:t>Bonus</w:t>
      </w:r>
      <w:r>
        <w:rPr>
          <w:rFonts w:ascii="Times New Roman" w:cs="Times New Roman" w:eastAsia="Times New Roman" w:hAnsi="Times New Roman"/>
          <w:sz w:val="20"/>
          <w:szCs w:val="20"/>
          <w:color w:val="00171E"/>
        </w:rPr>
        <w:t>. During Executive’s employment under this Agreement, Executive will be eligible for an annual bonus, subject to the terms and conditions of the Company’s bonus plan, as in effect from time to time (the “</w:t>
      </w:r>
      <w:r>
        <w:rPr>
          <w:rFonts w:ascii="Times New Roman" w:cs="Times New Roman" w:eastAsia="Times New Roman" w:hAnsi="Times New Roman"/>
          <w:sz w:val="20"/>
          <w:szCs w:val="20"/>
          <w:u w:val="single" w:color="auto"/>
          <w:color w:val="00171E"/>
        </w:rPr>
        <w:t>Bonus Plan</w:t>
      </w:r>
      <w:r>
        <w:rPr>
          <w:rFonts w:ascii="Times New Roman" w:cs="Times New Roman" w:eastAsia="Times New Roman" w:hAnsi="Times New Roman"/>
          <w:sz w:val="20"/>
          <w:szCs w:val="20"/>
          <w:color w:val="00171E"/>
        </w:rPr>
        <w:t xml:space="preserve">”), which is applicable to senior executives of the Company. The target amount of Executive’s annual bonus is 75% of Executive’s annual Base Salary (as defined in the Company’s Bonus Plan). However, the actual amount of each annual bonus (if any) will be conditioned on the Company’s achievement of corporate performance objectives approved by the Company and, if applicable, Executive’s achievement of individual performance metrics to be established annually and approved by the Company, all as established pursuant to the Company’s Bonus Plan, and the amount of an annual bonus may be zero. For the avoidance of doubt, an annual bonus will be payable only if the corporate and/or individual performance objectives approved by the Company are achieved as determined by the Company, subject to the Company’s right to exercise discretion in determining the amount of the annual bonus to be awarded, if any, as set forth in the Company’s Bonus Plan. To encourage continued tenure with the Company, Executive must be employed by the Company as of the payment date to earn and be eligible for an annual bonus for the year to which the annual bonus relates, unless otherwise provided in </w:t>
      </w:r>
      <w:r>
        <w:rPr>
          <w:rFonts w:ascii="Times New Roman" w:cs="Times New Roman" w:eastAsia="Times New Roman" w:hAnsi="Times New Roman"/>
          <w:sz w:val="20"/>
          <w:szCs w:val="20"/>
          <w:u w:val="single" w:color="auto"/>
          <w:color w:val="00171E"/>
        </w:rPr>
        <w:t>Section 5</w:t>
      </w:r>
      <w:r>
        <w:rPr>
          <w:rFonts w:ascii="Times New Roman" w:cs="Times New Roman" w:eastAsia="Times New Roman" w:hAnsi="Times New Roman"/>
          <w:sz w:val="20"/>
          <w:szCs w:val="20"/>
          <w:color w:val="00171E"/>
        </w:rPr>
        <w:t>. Bonuses will be paid out according to the terms of the Bonus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132320" cy="171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96"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6"/>
          <w:szCs w:val="16"/>
          <w:b w:val="1"/>
          <w:bCs w:val="1"/>
          <w:color w:val="auto"/>
        </w:rPr>
        <w:t>E</w:t>
      </w:r>
      <w:r>
        <w:rPr>
          <w:rFonts w:ascii="Times New Roman" w:cs="Times New Roman" w:eastAsia="Times New Roman" w:hAnsi="Times New Roman"/>
          <w:sz w:val="10"/>
          <w:szCs w:val="10"/>
          <w:b w:val="1"/>
          <w:bCs w:val="1"/>
          <w:color w:val="auto"/>
        </w:rPr>
        <w:t>xecutive</w:t>
      </w:r>
      <w:r>
        <w:rPr>
          <w:rFonts w:ascii="Times New Roman" w:cs="Times New Roman" w:eastAsia="Times New Roman" w:hAnsi="Times New Roman"/>
          <w:sz w:val="16"/>
          <w:szCs w:val="16"/>
          <w:b w:val="1"/>
          <w:bCs w:val="1"/>
          <w:color w:val="auto"/>
        </w:rPr>
        <w:t xml:space="preserve"> E</w:t>
      </w:r>
      <w:r>
        <w:rPr>
          <w:rFonts w:ascii="Times New Roman" w:cs="Times New Roman" w:eastAsia="Times New Roman" w:hAnsi="Times New Roman"/>
          <w:sz w:val="10"/>
          <w:szCs w:val="10"/>
          <w:b w:val="1"/>
          <w:bCs w:val="1"/>
          <w:color w:val="auto"/>
        </w:rPr>
        <w:t>mployment</w:t>
      </w:r>
      <w:r>
        <w:rPr>
          <w:rFonts w:ascii="Times New Roman" w:cs="Times New Roman" w:eastAsia="Times New Roman" w:hAnsi="Times New Roman"/>
          <w:sz w:val="16"/>
          <w:szCs w:val="16"/>
          <w:b w:val="1"/>
          <w:bCs w:val="1"/>
          <w:color w:val="auto"/>
        </w:rPr>
        <w:t xml:space="preserve"> A</w:t>
      </w:r>
      <w:r>
        <w:rPr>
          <w:rFonts w:ascii="Times New Roman" w:cs="Times New Roman" w:eastAsia="Times New Roman" w:hAnsi="Times New Roman"/>
          <w:sz w:val="10"/>
          <w:szCs w:val="10"/>
          <w:b w:val="1"/>
          <w:bCs w:val="1"/>
          <w:color w:val="auto"/>
        </w:rPr>
        <w:t>gmt</w:t>
      </w:r>
      <w:r>
        <w:rPr>
          <w:rFonts w:ascii="Times New Roman" w:cs="Times New Roman" w:eastAsia="Times New Roman" w:hAnsi="Times New Roman"/>
          <w:sz w:val="16"/>
          <w:szCs w:val="16"/>
          <w:b w:val="1"/>
          <w:bCs w:val="1"/>
          <w:color w:val="auto"/>
        </w:rPr>
        <w:t xml:space="preserve"> S</w:t>
      </w:r>
      <w:r>
        <w:rPr>
          <w:rFonts w:ascii="Times New Roman" w:cs="Times New Roman" w:eastAsia="Times New Roman" w:hAnsi="Times New Roman"/>
          <w:sz w:val="10"/>
          <w:szCs w:val="10"/>
          <w:b w:val="1"/>
          <w:bCs w:val="1"/>
          <w:color w:val="auto"/>
        </w:rPr>
        <w:t>td</w:t>
      </w:r>
      <w:r>
        <w:rPr>
          <w:rFonts w:ascii="Times New Roman" w:cs="Times New Roman" w:eastAsia="Times New Roman" w:hAnsi="Times New Roman"/>
          <w:sz w:val="16"/>
          <w:szCs w:val="16"/>
          <w:b w:val="1"/>
          <w:bCs w:val="1"/>
          <w:color w:val="auto"/>
        </w:rPr>
        <w:t xml:space="preserve"> 11.1.24</w:t>
      </w:r>
      <w:r>
        <w:rPr>
          <w:sz w:val="20"/>
          <w:szCs w:val="20"/>
          <w:color w:val="auto"/>
        </w:rPr>
        <w:tab/>
      </w:r>
      <w:r>
        <w:rPr>
          <w:rFonts w:ascii="Times New Roman" w:cs="Times New Roman" w:eastAsia="Times New Roman" w:hAnsi="Times New Roman"/>
          <w:sz w:val="16"/>
          <w:szCs w:val="16"/>
          <w:b w:val="1"/>
          <w:bCs w:val="1"/>
          <w:color w:val="auto"/>
        </w:rPr>
        <w:t>A</w:t>
      </w:r>
      <w:r>
        <w:rPr>
          <w:rFonts w:ascii="Times New Roman" w:cs="Times New Roman" w:eastAsia="Times New Roman" w:hAnsi="Times New Roman"/>
          <w:sz w:val="10"/>
          <w:szCs w:val="10"/>
          <w:b w:val="1"/>
          <w:bCs w:val="1"/>
          <w:color w:val="auto"/>
        </w:rPr>
        <w:t>ccuray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1" w:name="page122"/>
    <w:bookmarkEnd w:id="121"/>
    <w:p>
      <w:pPr>
        <w:ind w:left="6660"/>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3</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NUMPAGES \* Arabic \* MERGEFORMAT 31</w:t>
      </w:r>
    </w:p>
    <w:p>
      <w:pPr>
        <w:spacing w:after="0" w:line="200" w:lineRule="exact"/>
        <w:rPr>
          <w:sz w:val="20"/>
          <w:szCs w:val="20"/>
          <w:color w:val="auto"/>
        </w:rPr>
      </w:pPr>
    </w:p>
    <w:p>
      <w:pPr>
        <w:spacing w:after="0" w:line="241" w:lineRule="exact"/>
        <w:rPr>
          <w:sz w:val="20"/>
          <w:szCs w:val="20"/>
          <w:color w:val="auto"/>
        </w:rPr>
      </w:pPr>
    </w:p>
    <w:p>
      <w:pPr>
        <w:jc w:val="both"/>
        <w:ind w:firstLine="1505"/>
        <w:spacing w:after="0" w:line="246" w:lineRule="auto"/>
        <w:tabs>
          <w:tab w:leader="none" w:pos="2036" w:val="left"/>
        </w:tabs>
        <w:numPr>
          <w:ilvl w:val="1"/>
          <w:numId w:val="115"/>
        </w:numPr>
        <w:rPr>
          <w:rFonts w:ascii="Times New Roman" w:cs="Times New Roman" w:eastAsia="Times New Roman" w:hAnsi="Times New Roman"/>
          <w:sz w:val="20"/>
          <w:szCs w:val="20"/>
          <w:u w:val="single" w:color="auto"/>
          <w:color w:val="00171E"/>
        </w:rPr>
      </w:pPr>
      <w:r>
        <w:rPr>
          <w:rFonts w:ascii="Times New Roman" w:cs="Times New Roman" w:eastAsia="Times New Roman" w:hAnsi="Times New Roman"/>
          <w:sz w:val="20"/>
          <w:szCs w:val="20"/>
          <w:u w:val="single" w:color="auto"/>
          <w:color w:val="00171E"/>
        </w:rPr>
        <w:t>Equity Incentive Awards</w:t>
      </w:r>
      <w:r>
        <w:rPr>
          <w:rFonts w:ascii="Times New Roman" w:cs="Times New Roman" w:eastAsia="Times New Roman" w:hAnsi="Times New Roman"/>
          <w:sz w:val="20"/>
          <w:szCs w:val="20"/>
          <w:color w:val="00171E"/>
        </w:rPr>
        <w:t>. Executive will be eligible to receive awards of stock options, restricted stock units, performance stock units, or other equity awards pursuant to any plans or arrangements the Company may have in effect from time to time. The Company’s Board of Directors (the “</w:t>
      </w:r>
      <w:r>
        <w:rPr>
          <w:rFonts w:ascii="Times New Roman" w:cs="Times New Roman" w:eastAsia="Times New Roman" w:hAnsi="Times New Roman"/>
          <w:sz w:val="20"/>
          <w:szCs w:val="20"/>
          <w:u w:val="single" w:color="auto"/>
          <w:color w:val="00171E"/>
        </w:rPr>
        <w:t>Board</w:t>
      </w:r>
      <w:r>
        <w:rPr>
          <w:rFonts w:ascii="Times New Roman" w:cs="Times New Roman" w:eastAsia="Times New Roman" w:hAnsi="Times New Roman"/>
          <w:sz w:val="20"/>
          <w:szCs w:val="20"/>
          <w:color w:val="00171E"/>
        </w:rPr>
        <w:t>”) or its Compensation Committee will determine in its discretion whether Executive will be granted any such equity awards and the terms of any such award in accordance with the terms of any applicable plan or arrangement that may be in effect from time to time.</w:t>
      </w:r>
    </w:p>
    <w:p>
      <w:pPr>
        <w:spacing w:after="0" w:line="184" w:lineRule="exact"/>
        <w:rPr>
          <w:rFonts w:ascii="Times New Roman" w:cs="Times New Roman" w:eastAsia="Times New Roman" w:hAnsi="Times New Roman"/>
          <w:sz w:val="20"/>
          <w:szCs w:val="20"/>
          <w:u w:val="single" w:color="auto"/>
          <w:color w:val="00171E"/>
        </w:rPr>
      </w:pPr>
    </w:p>
    <w:p>
      <w:pPr>
        <w:jc w:val="both"/>
        <w:ind w:firstLine="1505"/>
        <w:spacing w:after="0" w:line="243" w:lineRule="auto"/>
        <w:tabs>
          <w:tab w:leader="none" w:pos="2036" w:val="left"/>
        </w:tabs>
        <w:numPr>
          <w:ilvl w:val="1"/>
          <w:numId w:val="115"/>
        </w:numPr>
        <w:rPr>
          <w:rFonts w:ascii="Times New Roman" w:cs="Times New Roman" w:eastAsia="Times New Roman" w:hAnsi="Times New Roman"/>
          <w:sz w:val="20"/>
          <w:szCs w:val="20"/>
          <w:u w:val="single" w:color="auto"/>
          <w:color w:val="00171E"/>
        </w:rPr>
      </w:pPr>
      <w:r>
        <w:rPr>
          <w:rFonts w:ascii="Times New Roman" w:cs="Times New Roman" w:eastAsia="Times New Roman" w:hAnsi="Times New Roman"/>
          <w:sz w:val="20"/>
          <w:szCs w:val="20"/>
          <w:u w:val="single" w:color="auto"/>
          <w:color w:val="00171E"/>
        </w:rPr>
        <w:t>Flexible Time Off and Benefits</w:t>
      </w:r>
      <w:r>
        <w:rPr>
          <w:rFonts w:ascii="Times New Roman" w:cs="Times New Roman" w:eastAsia="Times New Roman" w:hAnsi="Times New Roman"/>
          <w:sz w:val="20"/>
          <w:szCs w:val="20"/>
          <w:color w:val="00171E"/>
        </w:rPr>
        <w:t>. Executive will be allowed to use flexible time off for vacation, illness and holidays pursuant to the Company’s policies that apply to executive officers of the Company. In addition, Executive will be entitled to participate in any plans regarding benefits of employment, including pension, profit sharing, group health, disability insurance and other employee pension and welfare benefit plans now existing or hereafter established to the extent that Executive is then eligible under the terms of such plans and if the other executive officers of the Company generally are eligible to participate in such plan. The Company may, in its sole discretion and from time to time, establish additional senior management benefit plans as it deems appropriate. Executive understands that any such plans may be modified or eliminated in the Company’s sole discretion in accordance with applicable law, provided that no such plan modification or elimination shall result in Executive becoming unvested, or being required to revest, in any of Executive’s benefits that already are then vested.</w:t>
      </w:r>
    </w:p>
    <w:p>
      <w:pPr>
        <w:spacing w:after="0" w:line="185" w:lineRule="exact"/>
        <w:rPr>
          <w:rFonts w:ascii="Times New Roman" w:cs="Times New Roman" w:eastAsia="Times New Roman" w:hAnsi="Times New Roman"/>
          <w:sz w:val="20"/>
          <w:szCs w:val="20"/>
          <w:u w:val="single" w:color="auto"/>
          <w:color w:val="00171E"/>
        </w:rPr>
      </w:pPr>
    </w:p>
    <w:p>
      <w:pPr>
        <w:jc w:val="both"/>
        <w:ind w:firstLine="1505"/>
        <w:spacing w:after="0" w:line="249" w:lineRule="auto"/>
        <w:tabs>
          <w:tab w:leader="none" w:pos="2036" w:val="left"/>
        </w:tabs>
        <w:numPr>
          <w:ilvl w:val="1"/>
          <w:numId w:val="115"/>
        </w:numPr>
        <w:rPr>
          <w:rFonts w:ascii="Times New Roman" w:cs="Times New Roman" w:eastAsia="Times New Roman" w:hAnsi="Times New Roman"/>
          <w:sz w:val="20"/>
          <w:szCs w:val="20"/>
          <w:u w:val="single" w:color="auto"/>
          <w:color w:val="00171E"/>
        </w:rPr>
      </w:pPr>
      <w:r>
        <w:rPr>
          <w:rFonts w:ascii="Times New Roman" w:cs="Times New Roman" w:eastAsia="Times New Roman" w:hAnsi="Times New Roman"/>
          <w:sz w:val="20"/>
          <w:szCs w:val="20"/>
          <w:u w:val="single" w:color="auto"/>
          <w:color w:val="00171E"/>
        </w:rPr>
        <w:t>Reimbursement of Business Expenses</w:t>
      </w:r>
      <w:r>
        <w:rPr>
          <w:rFonts w:ascii="Times New Roman" w:cs="Times New Roman" w:eastAsia="Times New Roman" w:hAnsi="Times New Roman"/>
          <w:sz w:val="20"/>
          <w:szCs w:val="20"/>
          <w:color w:val="00171E"/>
        </w:rPr>
        <w:t>. The Company will promptly reimburse to Executive his/her reasonable, customary and documented out-of-pocket reasonable and necessary business expenses in connection with the performance of his/her duties under this Agreement, and in accordance with the policies and procedures established by the Company; provided that each reimbursement shall be requested within two (2) months after being incurred.</w:t>
      </w:r>
    </w:p>
    <w:p>
      <w:pPr>
        <w:spacing w:after="0" w:line="179" w:lineRule="exact"/>
        <w:rPr>
          <w:rFonts w:ascii="Times New Roman" w:cs="Times New Roman" w:eastAsia="Times New Roman" w:hAnsi="Times New Roman"/>
          <w:sz w:val="20"/>
          <w:szCs w:val="20"/>
          <w:u w:val="single" w:color="auto"/>
          <w:color w:val="00171E"/>
        </w:rPr>
      </w:pPr>
    </w:p>
    <w:p>
      <w:pPr>
        <w:jc w:val="both"/>
        <w:ind w:firstLine="1505"/>
        <w:spacing w:after="0" w:line="242" w:lineRule="auto"/>
        <w:tabs>
          <w:tab w:leader="none" w:pos="2036" w:val="left"/>
        </w:tabs>
        <w:numPr>
          <w:ilvl w:val="1"/>
          <w:numId w:val="115"/>
        </w:numPr>
        <w:rPr>
          <w:rFonts w:ascii="Times New Roman" w:cs="Times New Roman" w:eastAsia="Times New Roman" w:hAnsi="Times New Roman"/>
          <w:sz w:val="20"/>
          <w:szCs w:val="20"/>
          <w:u w:val="single" w:color="auto"/>
          <w:color w:val="00171E"/>
        </w:rPr>
      </w:pPr>
      <w:r>
        <w:rPr>
          <w:rFonts w:ascii="Times New Roman" w:cs="Times New Roman" w:eastAsia="Times New Roman" w:hAnsi="Times New Roman"/>
          <w:sz w:val="20"/>
          <w:szCs w:val="20"/>
          <w:u w:val="single" w:color="auto"/>
          <w:color w:val="00171E"/>
        </w:rPr>
        <w:t>Sarbanes-Oxley Act Loan Prohibition and Company Compensation-Related Polices</w:t>
      </w:r>
      <w:r>
        <w:rPr>
          <w:rFonts w:ascii="Times New Roman" w:cs="Times New Roman" w:eastAsia="Times New Roman" w:hAnsi="Times New Roman"/>
          <w:sz w:val="20"/>
          <w:szCs w:val="20"/>
          <w:color w:val="00171E"/>
        </w:rPr>
        <w:t>. To the extent that any Company benefit, program, practice, arrangement or this Agreement would or might otherwise result in Executive’s receipt of an illegal loan (the “</w:t>
      </w:r>
      <w:r>
        <w:rPr>
          <w:rFonts w:ascii="Times New Roman" w:cs="Times New Roman" w:eastAsia="Times New Roman" w:hAnsi="Times New Roman"/>
          <w:sz w:val="20"/>
          <w:szCs w:val="20"/>
          <w:u w:val="single" w:color="auto"/>
          <w:color w:val="00171E"/>
        </w:rPr>
        <w:t>Loan</w:t>
      </w:r>
      <w:r>
        <w:rPr>
          <w:rFonts w:ascii="Times New Roman" w:cs="Times New Roman" w:eastAsia="Times New Roman" w:hAnsi="Times New Roman"/>
          <w:sz w:val="20"/>
          <w:szCs w:val="20"/>
          <w:color w:val="00171E"/>
        </w:rPr>
        <w:t>”), the Company shall use commercially reasonable efforts to provide Executive with a substitute for the Loan that is lawful and of at least equal value to Executive. If this cannot be done, or if doing so would be significantly more expensive to the Company than making the Loan, in each case as determined by the Company in its sole discretion, the Company need not make the Loan to Executive or provide him/her a substitute for it. Further, Executive acknowledges that any bonus or equity award provided for in this Agreement or otherwise awarded to him/her shall be subject to the Company’s policies regarding recoupment and clawback and, pursuant to the Company’s Compensation Recovery Policy (the “</w:t>
      </w:r>
      <w:r>
        <w:rPr>
          <w:rFonts w:ascii="Times New Roman" w:cs="Times New Roman" w:eastAsia="Times New Roman" w:hAnsi="Times New Roman"/>
          <w:sz w:val="20"/>
          <w:szCs w:val="20"/>
          <w:u w:val="single" w:color="auto"/>
          <w:color w:val="00171E"/>
        </w:rPr>
        <w:t>Clawback Policy</w:t>
      </w:r>
      <w:r>
        <w:rPr>
          <w:rFonts w:ascii="Times New Roman" w:cs="Times New Roman" w:eastAsia="Times New Roman" w:hAnsi="Times New Roman"/>
          <w:sz w:val="20"/>
          <w:szCs w:val="20"/>
          <w:color w:val="00171E"/>
        </w:rPr>
        <w:t>”), any of Executive’s “Incentive-Based Compensation” as defined therein shall be subject to the Clawback Policy, in each case as such policies may be amended from time to time, and Executive agrees that he/she will be subject to, and shall comply with, the Company’s stock ownership requirements which are set forth in its Amended and Restated Corporate Governance Guidelines, as such requirements may be amended from time to time, and the Company’s Insider Trading Policy, as amended from time to time.</w:t>
      </w:r>
    </w:p>
    <w:p>
      <w:pPr>
        <w:spacing w:after="0" w:line="183" w:lineRule="exact"/>
        <w:rPr>
          <w:rFonts w:ascii="Times New Roman" w:cs="Times New Roman" w:eastAsia="Times New Roman" w:hAnsi="Times New Roman"/>
          <w:sz w:val="20"/>
          <w:szCs w:val="20"/>
          <w:u w:val="single" w:color="auto"/>
          <w:color w:val="00171E"/>
        </w:rPr>
      </w:pPr>
    </w:p>
    <w:p>
      <w:pPr>
        <w:ind w:left="1020" w:hanging="263"/>
        <w:spacing w:after="0"/>
        <w:tabs>
          <w:tab w:leader="none" w:pos="1020" w:val="left"/>
        </w:tabs>
        <w:numPr>
          <w:ilvl w:val="0"/>
          <w:numId w:val="116"/>
        </w:numPr>
        <w:rPr>
          <w:rFonts w:ascii="Times New Roman" w:cs="Times New Roman" w:eastAsia="Times New Roman" w:hAnsi="Times New Roman"/>
          <w:sz w:val="20"/>
          <w:szCs w:val="20"/>
          <w:b w:val="1"/>
          <w:bCs w:val="1"/>
          <w:color w:val="00171E"/>
        </w:rPr>
      </w:pPr>
      <w:r>
        <w:rPr>
          <w:rFonts w:ascii="Times New Roman" w:cs="Times New Roman" w:eastAsia="Times New Roman" w:hAnsi="Times New Roman"/>
          <w:sz w:val="20"/>
          <w:szCs w:val="20"/>
          <w:b w:val="1"/>
          <w:bCs w:val="1"/>
          <w:color w:val="00171E"/>
        </w:rPr>
        <w:t>Termination of Employment.</w:t>
      </w:r>
    </w:p>
    <w:p>
      <w:pPr>
        <w:spacing w:after="0" w:line="219" w:lineRule="exact"/>
        <w:rPr>
          <w:rFonts w:ascii="Times New Roman" w:cs="Times New Roman" w:eastAsia="Times New Roman" w:hAnsi="Times New Roman"/>
          <w:sz w:val="20"/>
          <w:szCs w:val="20"/>
          <w:b w:val="1"/>
          <w:bCs w:val="1"/>
          <w:color w:val="00171E"/>
        </w:rPr>
      </w:pPr>
    </w:p>
    <w:p>
      <w:pPr>
        <w:jc w:val="both"/>
        <w:ind w:firstLine="1505"/>
        <w:spacing w:after="0" w:line="246" w:lineRule="auto"/>
        <w:tabs>
          <w:tab w:leader="none" w:pos="2036" w:val="left"/>
        </w:tabs>
        <w:numPr>
          <w:ilvl w:val="1"/>
          <w:numId w:val="116"/>
        </w:numPr>
        <w:rPr>
          <w:rFonts w:ascii="Times New Roman" w:cs="Times New Roman" w:eastAsia="Times New Roman" w:hAnsi="Times New Roman"/>
          <w:sz w:val="20"/>
          <w:szCs w:val="20"/>
          <w:u w:val="single" w:color="auto"/>
          <w:color w:val="00171E"/>
        </w:rPr>
      </w:pPr>
      <w:r>
        <w:rPr>
          <w:rFonts w:ascii="Times New Roman" w:cs="Times New Roman" w:eastAsia="Times New Roman" w:hAnsi="Times New Roman"/>
          <w:sz w:val="20"/>
          <w:szCs w:val="20"/>
          <w:u w:val="single" w:color="auto"/>
          <w:color w:val="00171E"/>
        </w:rPr>
        <w:t>By Company Without Cause</w:t>
      </w:r>
      <w:r>
        <w:rPr>
          <w:rFonts w:ascii="Times New Roman" w:cs="Times New Roman" w:eastAsia="Times New Roman" w:hAnsi="Times New Roman"/>
          <w:sz w:val="20"/>
          <w:szCs w:val="20"/>
          <w:color w:val="00171E"/>
        </w:rPr>
        <w:t xml:space="preserve">. Subject to the last paragraph of this </w:t>
      </w:r>
      <w:r>
        <w:rPr>
          <w:rFonts w:ascii="Times New Roman" w:cs="Times New Roman" w:eastAsia="Times New Roman" w:hAnsi="Times New Roman"/>
          <w:sz w:val="20"/>
          <w:szCs w:val="20"/>
          <w:u w:val="single" w:color="auto"/>
          <w:color w:val="00171E"/>
        </w:rPr>
        <w:t>Section 5(a)</w:t>
      </w:r>
      <w:r>
        <w:rPr>
          <w:rFonts w:ascii="Times New Roman" w:cs="Times New Roman" w:eastAsia="Times New Roman" w:hAnsi="Times New Roman"/>
          <w:sz w:val="20"/>
          <w:szCs w:val="20"/>
          <w:color w:val="00171E"/>
        </w:rPr>
        <w:t>, the Company may terminate Executive’s employment without Cause (as defined below) (excluding due to Executive’s death or Incapacity (as defined below)) effective on thirty (30) days’ written notice (such thirty (30)-day period, the “</w:t>
      </w:r>
      <w:r>
        <w:rPr>
          <w:rFonts w:ascii="Times New Roman" w:cs="Times New Roman" w:eastAsia="Times New Roman" w:hAnsi="Times New Roman"/>
          <w:sz w:val="20"/>
          <w:szCs w:val="20"/>
          <w:u w:val="single" w:color="auto"/>
          <w:color w:val="00171E"/>
        </w:rPr>
        <w:t>Notice Period</w:t>
      </w:r>
      <w:r>
        <w:rPr>
          <w:rFonts w:ascii="Times New Roman" w:cs="Times New Roman" w:eastAsia="Times New Roman" w:hAnsi="Times New Roman"/>
          <w:sz w:val="20"/>
          <w:szCs w:val="20"/>
          <w:color w:val="00171E"/>
        </w:rPr>
        <w:t>”, and such notice, the “</w:t>
      </w:r>
      <w:r>
        <w:rPr>
          <w:rFonts w:ascii="Times New Roman" w:cs="Times New Roman" w:eastAsia="Times New Roman" w:hAnsi="Times New Roman"/>
          <w:sz w:val="20"/>
          <w:szCs w:val="20"/>
          <w:u w:val="single" w:color="auto"/>
          <w:color w:val="00171E"/>
        </w:rPr>
        <w:t>Termination Notice</w:t>
      </w:r>
      <w:r>
        <w:rPr>
          <w:rFonts w:ascii="Times New Roman" w:cs="Times New Roman" w:eastAsia="Times New Roman" w:hAnsi="Times New Roman"/>
          <w:sz w:val="20"/>
          <w:szCs w:val="20"/>
          <w:color w:val="00171E"/>
        </w:rPr>
        <w:t>”), during which notice period Executive may be relieved of his/her duties and placed on paid terminal leave. In such event and subject to the other provisions of this Agreement, Executive will be entitled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191770</wp:posOffset>
            </wp:positionV>
            <wp:extent cx="7132320" cy="171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93"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6"/>
          <w:szCs w:val="16"/>
          <w:b w:val="1"/>
          <w:bCs w:val="1"/>
          <w:color w:val="auto"/>
        </w:rPr>
        <w:t>E</w:t>
      </w:r>
      <w:r>
        <w:rPr>
          <w:rFonts w:ascii="Times New Roman" w:cs="Times New Roman" w:eastAsia="Times New Roman" w:hAnsi="Times New Roman"/>
          <w:sz w:val="10"/>
          <w:szCs w:val="10"/>
          <w:b w:val="1"/>
          <w:bCs w:val="1"/>
          <w:color w:val="auto"/>
        </w:rPr>
        <w:t>xecutive</w:t>
      </w:r>
      <w:r>
        <w:rPr>
          <w:rFonts w:ascii="Times New Roman" w:cs="Times New Roman" w:eastAsia="Times New Roman" w:hAnsi="Times New Roman"/>
          <w:sz w:val="16"/>
          <w:szCs w:val="16"/>
          <w:b w:val="1"/>
          <w:bCs w:val="1"/>
          <w:color w:val="auto"/>
        </w:rPr>
        <w:t xml:space="preserve"> E</w:t>
      </w:r>
      <w:r>
        <w:rPr>
          <w:rFonts w:ascii="Times New Roman" w:cs="Times New Roman" w:eastAsia="Times New Roman" w:hAnsi="Times New Roman"/>
          <w:sz w:val="10"/>
          <w:szCs w:val="10"/>
          <w:b w:val="1"/>
          <w:bCs w:val="1"/>
          <w:color w:val="auto"/>
        </w:rPr>
        <w:t>mployment</w:t>
      </w:r>
      <w:r>
        <w:rPr>
          <w:rFonts w:ascii="Times New Roman" w:cs="Times New Roman" w:eastAsia="Times New Roman" w:hAnsi="Times New Roman"/>
          <w:sz w:val="16"/>
          <w:szCs w:val="16"/>
          <w:b w:val="1"/>
          <w:bCs w:val="1"/>
          <w:color w:val="auto"/>
        </w:rPr>
        <w:t xml:space="preserve"> A</w:t>
      </w:r>
      <w:r>
        <w:rPr>
          <w:rFonts w:ascii="Times New Roman" w:cs="Times New Roman" w:eastAsia="Times New Roman" w:hAnsi="Times New Roman"/>
          <w:sz w:val="10"/>
          <w:szCs w:val="10"/>
          <w:b w:val="1"/>
          <w:bCs w:val="1"/>
          <w:color w:val="auto"/>
        </w:rPr>
        <w:t>gmt</w:t>
      </w:r>
      <w:r>
        <w:rPr>
          <w:rFonts w:ascii="Times New Roman" w:cs="Times New Roman" w:eastAsia="Times New Roman" w:hAnsi="Times New Roman"/>
          <w:sz w:val="16"/>
          <w:szCs w:val="16"/>
          <w:b w:val="1"/>
          <w:bCs w:val="1"/>
          <w:color w:val="auto"/>
        </w:rPr>
        <w:t xml:space="preserve"> S</w:t>
      </w:r>
      <w:r>
        <w:rPr>
          <w:rFonts w:ascii="Times New Roman" w:cs="Times New Roman" w:eastAsia="Times New Roman" w:hAnsi="Times New Roman"/>
          <w:sz w:val="10"/>
          <w:szCs w:val="10"/>
          <w:b w:val="1"/>
          <w:bCs w:val="1"/>
          <w:color w:val="auto"/>
        </w:rPr>
        <w:t>td</w:t>
      </w:r>
      <w:r>
        <w:rPr>
          <w:rFonts w:ascii="Times New Roman" w:cs="Times New Roman" w:eastAsia="Times New Roman" w:hAnsi="Times New Roman"/>
          <w:sz w:val="16"/>
          <w:szCs w:val="16"/>
          <w:b w:val="1"/>
          <w:bCs w:val="1"/>
          <w:color w:val="auto"/>
        </w:rPr>
        <w:t xml:space="preserve"> 11.1.24</w:t>
      </w:r>
      <w:r>
        <w:rPr>
          <w:sz w:val="20"/>
          <w:szCs w:val="20"/>
          <w:color w:val="auto"/>
        </w:rPr>
        <w:tab/>
      </w:r>
      <w:r>
        <w:rPr>
          <w:rFonts w:ascii="Times New Roman" w:cs="Times New Roman" w:eastAsia="Times New Roman" w:hAnsi="Times New Roman"/>
          <w:sz w:val="16"/>
          <w:szCs w:val="16"/>
          <w:b w:val="1"/>
          <w:bCs w:val="1"/>
          <w:color w:val="auto"/>
        </w:rPr>
        <w:t>A</w:t>
      </w:r>
      <w:r>
        <w:rPr>
          <w:rFonts w:ascii="Times New Roman" w:cs="Times New Roman" w:eastAsia="Times New Roman" w:hAnsi="Times New Roman"/>
          <w:sz w:val="10"/>
          <w:szCs w:val="10"/>
          <w:b w:val="1"/>
          <w:bCs w:val="1"/>
          <w:color w:val="auto"/>
        </w:rPr>
        <w:t>ccuray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2" w:name="page123"/>
    <w:bookmarkEnd w:id="122"/>
    <w:p>
      <w:pPr>
        <w:ind w:left="6660"/>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NUMPAGES \* Arabic \* MERGEFORMAT 31</w:t>
      </w:r>
    </w:p>
    <w:p>
      <w:pPr>
        <w:spacing w:after="0" w:line="200" w:lineRule="exact"/>
        <w:rPr>
          <w:sz w:val="20"/>
          <w:szCs w:val="20"/>
          <w:color w:val="auto"/>
        </w:rPr>
      </w:pPr>
    </w:p>
    <w:p>
      <w:pPr>
        <w:spacing w:after="0" w:line="241" w:lineRule="exact"/>
        <w:rPr>
          <w:sz w:val="20"/>
          <w:szCs w:val="20"/>
          <w:color w:val="auto"/>
        </w:rPr>
      </w:pPr>
    </w:p>
    <w:p>
      <w:pPr>
        <w:jc w:val="both"/>
        <w:ind w:firstLine="2254"/>
        <w:spacing w:after="0" w:line="254" w:lineRule="auto"/>
        <w:tabs>
          <w:tab w:leader="none" w:pos="2546" w:val="left"/>
        </w:tabs>
        <w:numPr>
          <w:ilvl w:val="0"/>
          <w:numId w:val="117"/>
        </w:numPr>
        <w:rPr>
          <w:rFonts w:ascii="Times New Roman" w:cs="Times New Roman" w:eastAsia="Times New Roman" w:hAnsi="Times New Roman"/>
          <w:sz w:val="20"/>
          <w:szCs w:val="20"/>
          <w:color w:val="00171E"/>
        </w:rPr>
      </w:pPr>
      <w:r>
        <w:rPr>
          <w:rFonts w:ascii="Times New Roman" w:cs="Times New Roman" w:eastAsia="Times New Roman" w:hAnsi="Times New Roman"/>
          <w:sz w:val="20"/>
          <w:szCs w:val="20"/>
          <w:color w:val="00171E"/>
        </w:rPr>
        <w:t>continued coverage under the Company’s insurance-based benefit plans through the termination date and such other benefits to which he/she may be entitled pursuant to the terms and conditions of the Company’s benefit plans, provided, however, that Executive shall not participate in any severance plan of the Company;</w:t>
      </w:r>
    </w:p>
    <w:p>
      <w:pPr>
        <w:spacing w:after="0" w:line="174" w:lineRule="exact"/>
        <w:rPr>
          <w:rFonts w:ascii="Times New Roman" w:cs="Times New Roman" w:eastAsia="Times New Roman" w:hAnsi="Times New Roman"/>
          <w:sz w:val="20"/>
          <w:szCs w:val="20"/>
          <w:color w:val="00171E"/>
        </w:rPr>
      </w:pPr>
    </w:p>
    <w:p>
      <w:pPr>
        <w:ind w:right="20" w:firstLine="2254"/>
        <w:spacing w:after="0" w:line="269" w:lineRule="auto"/>
        <w:tabs>
          <w:tab w:leader="none" w:pos="2546" w:val="left"/>
        </w:tabs>
        <w:numPr>
          <w:ilvl w:val="0"/>
          <w:numId w:val="117"/>
        </w:numPr>
        <w:rPr>
          <w:rFonts w:ascii="Times New Roman" w:cs="Times New Roman" w:eastAsia="Times New Roman" w:hAnsi="Times New Roman"/>
          <w:sz w:val="20"/>
          <w:szCs w:val="20"/>
          <w:color w:val="00171E"/>
        </w:rPr>
      </w:pPr>
      <w:r>
        <w:rPr>
          <w:rFonts w:ascii="Times New Roman" w:cs="Times New Roman" w:eastAsia="Times New Roman" w:hAnsi="Times New Roman"/>
          <w:sz w:val="20"/>
          <w:szCs w:val="20"/>
          <w:color w:val="00171E"/>
        </w:rPr>
        <w:t>payment of all earned but unpaid compensation (including any accrued unpaid vacation, as applicable) through the effective date of termination, payable on or before the termination date; and</w:t>
      </w:r>
    </w:p>
    <w:p>
      <w:pPr>
        <w:spacing w:after="0" w:line="159" w:lineRule="exact"/>
        <w:rPr>
          <w:sz w:val="20"/>
          <w:szCs w:val="20"/>
          <w:color w:val="auto"/>
        </w:rPr>
      </w:pPr>
    </w:p>
    <w:p>
      <w:pPr>
        <w:jc w:val="both"/>
        <w:ind w:firstLine="2246"/>
        <w:spacing w:after="0" w:line="269" w:lineRule="auto"/>
        <w:rPr>
          <w:sz w:val="20"/>
          <w:szCs w:val="20"/>
          <w:color w:val="auto"/>
        </w:rPr>
      </w:pPr>
      <w:r>
        <w:rPr>
          <w:rFonts w:ascii="Times New Roman" w:cs="Times New Roman" w:eastAsia="Times New Roman" w:hAnsi="Times New Roman"/>
          <w:sz w:val="20"/>
          <w:szCs w:val="20"/>
          <w:color w:val="00171E"/>
        </w:rPr>
        <w:t xml:space="preserve">(iii)reimbursement of expenses incurred on or before the termination date in accordance with </w:t>
      </w:r>
      <w:r>
        <w:rPr>
          <w:rFonts w:ascii="Times New Roman" w:cs="Times New Roman" w:eastAsia="Times New Roman" w:hAnsi="Times New Roman"/>
          <w:sz w:val="20"/>
          <w:szCs w:val="20"/>
          <w:u w:val="single" w:color="auto"/>
          <w:color w:val="00171E"/>
        </w:rPr>
        <w:t>Section 4(e)</w:t>
      </w:r>
      <w:r>
        <w:rPr>
          <w:rFonts w:ascii="Times New Roman" w:cs="Times New Roman" w:eastAsia="Times New Roman" w:hAnsi="Times New Roman"/>
          <w:sz w:val="20"/>
          <w:szCs w:val="20"/>
          <w:color w:val="00171E"/>
        </w:rPr>
        <w:t>, above, if a request for reimbursement of the expenses was timely submitted to the Company; plus</w:t>
      </w:r>
    </w:p>
    <w:p>
      <w:pPr>
        <w:spacing w:after="0" w:line="159" w:lineRule="exact"/>
        <w:rPr>
          <w:sz w:val="20"/>
          <w:szCs w:val="20"/>
          <w:color w:val="auto"/>
        </w:rPr>
      </w:pPr>
    </w:p>
    <w:p>
      <w:pPr>
        <w:jc w:val="both"/>
        <w:ind w:firstLine="2246"/>
        <w:spacing w:after="0" w:line="245" w:lineRule="auto"/>
        <w:rPr>
          <w:sz w:val="20"/>
          <w:szCs w:val="20"/>
          <w:color w:val="auto"/>
        </w:rPr>
      </w:pPr>
      <w:r>
        <w:rPr>
          <w:rFonts w:ascii="Times New Roman" w:cs="Times New Roman" w:eastAsia="Times New Roman" w:hAnsi="Times New Roman"/>
          <w:sz w:val="20"/>
          <w:szCs w:val="20"/>
          <w:color w:val="00171E"/>
        </w:rPr>
        <w:t>(iv)payment of the equivalent of the Base Salary, as then in effect (provided that if there has been any reduction in the Base Salary that would otherwise constitute Good Reason, then the rate in effect prior to such reduction), that he/she would have earned over the next twelve (12) months following the termination date (less necessary withholdings and authorized deductions) (the “</w:t>
      </w:r>
      <w:r>
        <w:rPr>
          <w:rFonts w:ascii="Times New Roman" w:cs="Times New Roman" w:eastAsia="Times New Roman" w:hAnsi="Times New Roman"/>
          <w:sz w:val="20"/>
          <w:szCs w:val="20"/>
          <w:u w:val="single" w:color="auto"/>
          <w:color w:val="00171E"/>
        </w:rPr>
        <w:t>Severance Payment</w:t>
      </w:r>
      <w:r>
        <w:rPr>
          <w:rFonts w:ascii="Times New Roman" w:cs="Times New Roman" w:eastAsia="Times New Roman" w:hAnsi="Times New Roman"/>
          <w:sz w:val="20"/>
          <w:szCs w:val="20"/>
          <w:color w:val="00171E"/>
        </w:rPr>
        <w:t>”), payable in a lump sum on the first regularly scheduled payroll date following the date the Release becomes effective and irrevocable (the “</w:t>
      </w:r>
      <w:r>
        <w:rPr>
          <w:rFonts w:ascii="Times New Roman" w:cs="Times New Roman" w:eastAsia="Times New Roman" w:hAnsi="Times New Roman"/>
          <w:sz w:val="20"/>
          <w:szCs w:val="20"/>
          <w:u w:val="single" w:color="auto"/>
          <w:color w:val="00171E"/>
        </w:rPr>
        <w:t>Release Effective Date</w:t>
      </w:r>
      <w:r>
        <w:rPr>
          <w:rFonts w:ascii="Times New Roman" w:cs="Times New Roman" w:eastAsia="Times New Roman" w:hAnsi="Times New Roman"/>
          <w:sz w:val="20"/>
          <w:szCs w:val="20"/>
          <w:color w:val="00171E"/>
        </w:rPr>
        <w:t xml:space="preserve">”), but (1) in any event within 30 days after the Release Effective Date and (2) subject to </w:t>
      </w:r>
      <w:r>
        <w:rPr>
          <w:rFonts w:ascii="Times New Roman" w:cs="Times New Roman" w:eastAsia="Times New Roman" w:hAnsi="Times New Roman"/>
          <w:sz w:val="20"/>
          <w:szCs w:val="20"/>
          <w:u w:val="single" w:color="auto"/>
          <w:color w:val="00171E"/>
        </w:rPr>
        <w:t>Section</w:t>
      </w:r>
      <w:r>
        <w:rPr>
          <w:rFonts w:ascii="Times New Roman" w:cs="Times New Roman" w:eastAsia="Times New Roman" w:hAnsi="Times New Roman"/>
          <w:sz w:val="20"/>
          <w:szCs w:val="20"/>
          <w:color w:val="00171E"/>
        </w:rPr>
        <w:t xml:space="preserve"> </w:t>
      </w:r>
      <w:r>
        <w:rPr>
          <w:rFonts w:ascii="Times New Roman" w:cs="Times New Roman" w:eastAsia="Times New Roman" w:hAnsi="Times New Roman"/>
          <w:sz w:val="20"/>
          <w:szCs w:val="20"/>
          <w:u w:val="single" w:color="auto"/>
          <w:color w:val="00171E"/>
        </w:rPr>
        <w:t>16</w:t>
      </w:r>
      <w:r>
        <w:rPr>
          <w:rFonts w:ascii="Times New Roman" w:cs="Times New Roman" w:eastAsia="Times New Roman" w:hAnsi="Times New Roman"/>
          <w:sz w:val="20"/>
          <w:szCs w:val="20"/>
          <w:color w:val="00171E"/>
        </w:rPr>
        <w:t>, below;</w:t>
      </w:r>
    </w:p>
    <w:p>
      <w:pPr>
        <w:spacing w:after="0" w:line="184" w:lineRule="exact"/>
        <w:rPr>
          <w:sz w:val="20"/>
          <w:szCs w:val="20"/>
          <w:color w:val="auto"/>
        </w:rPr>
      </w:pPr>
    </w:p>
    <w:p>
      <w:pPr>
        <w:jc w:val="both"/>
        <w:ind w:firstLine="2254"/>
        <w:spacing w:after="0" w:line="241" w:lineRule="auto"/>
        <w:tabs>
          <w:tab w:leader="none" w:pos="2546" w:val="left"/>
        </w:tabs>
        <w:numPr>
          <w:ilvl w:val="0"/>
          <w:numId w:val="118"/>
        </w:numPr>
        <w:rPr>
          <w:rFonts w:ascii="Times New Roman" w:cs="Times New Roman" w:eastAsia="Times New Roman" w:hAnsi="Times New Roman"/>
          <w:sz w:val="20"/>
          <w:szCs w:val="20"/>
          <w:color w:val="00171E"/>
        </w:rPr>
      </w:pPr>
      <w:r>
        <w:rPr>
          <w:rFonts w:ascii="Times New Roman" w:cs="Times New Roman" w:eastAsia="Times New Roman" w:hAnsi="Times New Roman"/>
          <w:sz w:val="20"/>
          <w:szCs w:val="20"/>
          <w:color w:val="00171E"/>
        </w:rPr>
        <w:t>either (1) if Executive’s termination date occurs on or following the date on which bonus payments to similarly situated executives are made under the Bonus Plan for the fiscal year prior to the fiscal year in which Executive’s termination occurs (the “</w:t>
      </w:r>
      <w:r>
        <w:rPr>
          <w:rFonts w:ascii="Times New Roman" w:cs="Times New Roman" w:eastAsia="Times New Roman" w:hAnsi="Times New Roman"/>
          <w:sz w:val="20"/>
          <w:szCs w:val="20"/>
          <w:u w:val="single" w:color="auto"/>
          <w:color w:val="00171E"/>
        </w:rPr>
        <w:t>Prior Fiscal Year</w:t>
      </w:r>
      <w:r>
        <w:rPr>
          <w:rFonts w:ascii="Times New Roman" w:cs="Times New Roman" w:eastAsia="Times New Roman" w:hAnsi="Times New Roman"/>
          <w:sz w:val="20"/>
          <w:szCs w:val="20"/>
          <w:color w:val="00171E"/>
        </w:rPr>
        <w:t>”), then payment of a prorated portion of the actual bonus Executive would have otherwise received for the fiscal year during which the termination occurs, as if Executive had remained employed by the Company through the date that would have otherwise been required to earn the bonus, but without the Board or any committee of the Board exercising any negative discretion to reduce the amount of the award, calculated by dividing the number of days from the start of the fiscal year through the termination date by 365 and multiplying the amount of such actual bonus Executive would have otherwise received by this percentage (but not by more than 100%), and paid at the same time as bonuses are paid to other Company executives that are similarly situated to Executive but in any case in the same calendar year in which the performance period ends; provided, however, that if the termination date is after the seventh month of the fiscal year, the actual bonus will not be prorated and Executive will receive 100% of such actual bonus Executive would have otherwise received for that fiscal year (without the Board or any committee of the Board exercising any negative discretion) at the same time as bonuses are paid to other Company executives that are similarly situated to Executive but in any case in the same calendar year in which the performance period ends, or (2) if Executive’s termination date occurs prior to the date on which bonus payments to similarly situated Company executives are made under the Bonus Plan for the Prior Fiscal Year, then payment of the actual bonus Executive would have otherwise received under the Bonus Plan for the Prior Fiscal Year, as if Executive had remained employed by the Company through the date that would have otherwise been required to earn the bonus, but without the Board or any committee of the Board exercising any negative discretion to reduce the amount of the award, paid at the same time as bonuses are paid to other Company executives that are similarly situated to Executive but in any case in the same calendar year in which the applicable fiscal year ends;</w:t>
      </w:r>
    </w:p>
    <w:p>
      <w:pPr>
        <w:spacing w:after="0" w:line="190" w:lineRule="exact"/>
        <w:rPr>
          <w:sz w:val="20"/>
          <w:szCs w:val="20"/>
          <w:color w:val="auto"/>
        </w:rPr>
      </w:pPr>
    </w:p>
    <w:p>
      <w:pPr>
        <w:jc w:val="both"/>
        <w:ind w:firstLine="2246"/>
        <w:spacing w:after="0" w:line="249" w:lineRule="auto"/>
        <w:rPr>
          <w:sz w:val="20"/>
          <w:szCs w:val="20"/>
          <w:color w:val="auto"/>
        </w:rPr>
      </w:pPr>
      <w:r>
        <w:rPr>
          <w:rFonts w:ascii="Times New Roman" w:cs="Times New Roman" w:eastAsia="Times New Roman" w:hAnsi="Times New Roman"/>
          <w:sz w:val="20"/>
          <w:szCs w:val="20"/>
          <w:color w:val="00171E"/>
        </w:rPr>
        <w:t xml:space="preserve">(vi)subject to </w:t>
      </w:r>
      <w:r>
        <w:rPr>
          <w:rFonts w:ascii="Times New Roman" w:cs="Times New Roman" w:eastAsia="Times New Roman" w:hAnsi="Times New Roman"/>
          <w:sz w:val="20"/>
          <w:szCs w:val="20"/>
          <w:u w:val="single" w:color="auto"/>
          <w:color w:val="00171E"/>
        </w:rPr>
        <w:t>Section 5(g)</w:t>
      </w:r>
      <w:r>
        <w:rPr>
          <w:rFonts w:ascii="Times New Roman" w:cs="Times New Roman" w:eastAsia="Times New Roman" w:hAnsi="Times New Roman"/>
          <w:sz w:val="20"/>
          <w:szCs w:val="20"/>
          <w:color w:val="00171E"/>
        </w:rPr>
        <w:t>, reimbursement of insurance premiums payable to retain group health coverage as of the termination date for himself/herself and his/her eligible dependents pursuant to the Consolidated Omnibus Budget Reconciliation Act of 1986, as amended (“</w:t>
      </w:r>
      <w:r>
        <w:rPr>
          <w:rFonts w:ascii="Times New Roman" w:cs="Times New Roman" w:eastAsia="Times New Roman" w:hAnsi="Times New Roman"/>
          <w:sz w:val="20"/>
          <w:szCs w:val="20"/>
          <w:u w:val="single" w:color="auto"/>
          <w:color w:val="00171E"/>
        </w:rPr>
        <w:t>COBRA</w:t>
      </w:r>
      <w:r>
        <w:rPr>
          <w:rFonts w:ascii="Times New Roman" w:cs="Times New Roman" w:eastAsia="Times New Roman" w:hAnsi="Times New Roman"/>
          <w:sz w:val="20"/>
          <w:szCs w:val="20"/>
          <w:color w:val="00171E"/>
        </w:rPr>
        <w:t>”), for twelve (12) months from the date Executive becomes COBRA eligible or the maximum period of COBRA coverage, whichever is less; provided that Executive must submit a reimbursement request in accordance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8"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6"/>
          <w:szCs w:val="16"/>
          <w:b w:val="1"/>
          <w:bCs w:val="1"/>
          <w:color w:val="auto"/>
        </w:rPr>
        <w:t>E</w:t>
      </w:r>
      <w:r>
        <w:rPr>
          <w:rFonts w:ascii="Times New Roman" w:cs="Times New Roman" w:eastAsia="Times New Roman" w:hAnsi="Times New Roman"/>
          <w:sz w:val="10"/>
          <w:szCs w:val="10"/>
          <w:b w:val="1"/>
          <w:bCs w:val="1"/>
          <w:color w:val="auto"/>
        </w:rPr>
        <w:t>xecutive</w:t>
      </w:r>
      <w:r>
        <w:rPr>
          <w:rFonts w:ascii="Times New Roman" w:cs="Times New Roman" w:eastAsia="Times New Roman" w:hAnsi="Times New Roman"/>
          <w:sz w:val="16"/>
          <w:szCs w:val="16"/>
          <w:b w:val="1"/>
          <w:bCs w:val="1"/>
          <w:color w:val="auto"/>
        </w:rPr>
        <w:t xml:space="preserve"> E</w:t>
      </w:r>
      <w:r>
        <w:rPr>
          <w:rFonts w:ascii="Times New Roman" w:cs="Times New Roman" w:eastAsia="Times New Roman" w:hAnsi="Times New Roman"/>
          <w:sz w:val="10"/>
          <w:szCs w:val="10"/>
          <w:b w:val="1"/>
          <w:bCs w:val="1"/>
          <w:color w:val="auto"/>
        </w:rPr>
        <w:t>mployment</w:t>
      </w:r>
      <w:r>
        <w:rPr>
          <w:rFonts w:ascii="Times New Roman" w:cs="Times New Roman" w:eastAsia="Times New Roman" w:hAnsi="Times New Roman"/>
          <w:sz w:val="16"/>
          <w:szCs w:val="16"/>
          <w:b w:val="1"/>
          <w:bCs w:val="1"/>
          <w:color w:val="auto"/>
        </w:rPr>
        <w:t xml:space="preserve"> A</w:t>
      </w:r>
      <w:r>
        <w:rPr>
          <w:rFonts w:ascii="Times New Roman" w:cs="Times New Roman" w:eastAsia="Times New Roman" w:hAnsi="Times New Roman"/>
          <w:sz w:val="10"/>
          <w:szCs w:val="10"/>
          <w:b w:val="1"/>
          <w:bCs w:val="1"/>
          <w:color w:val="auto"/>
        </w:rPr>
        <w:t>gmt</w:t>
      </w:r>
      <w:r>
        <w:rPr>
          <w:rFonts w:ascii="Times New Roman" w:cs="Times New Roman" w:eastAsia="Times New Roman" w:hAnsi="Times New Roman"/>
          <w:sz w:val="16"/>
          <w:szCs w:val="16"/>
          <w:b w:val="1"/>
          <w:bCs w:val="1"/>
          <w:color w:val="auto"/>
        </w:rPr>
        <w:t xml:space="preserve"> S</w:t>
      </w:r>
      <w:r>
        <w:rPr>
          <w:rFonts w:ascii="Times New Roman" w:cs="Times New Roman" w:eastAsia="Times New Roman" w:hAnsi="Times New Roman"/>
          <w:sz w:val="10"/>
          <w:szCs w:val="10"/>
          <w:b w:val="1"/>
          <w:bCs w:val="1"/>
          <w:color w:val="auto"/>
        </w:rPr>
        <w:t>td</w:t>
      </w:r>
      <w:r>
        <w:rPr>
          <w:rFonts w:ascii="Times New Roman" w:cs="Times New Roman" w:eastAsia="Times New Roman" w:hAnsi="Times New Roman"/>
          <w:sz w:val="16"/>
          <w:szCs w:val="16"/>
          <w:b w:val="1"/>
          <w:bCs w:val="1"/>
          <w:color w:val="auto"/>
        </w:rPr>
        <w:t xml:space="preserve"> 11.1.24</w:t>
      </w:r>
      <w:r>
        <w:rPr>
          <w:sz w:val="20"/>
          <w:szCs w:val="20"/>
          <w:color w:val="auto"/>
        </w:rPr>
        <w:tab/>
      </w:r>
      <w:r>
        <w:rPr>
          <w:rFonts w:ascii="Times New Roman" w:cs="Times New Roman" w:eastAsia="Times New Roman" w:hAnsi="Times New Roman"/>
          <w:sz w:val="16"/>
          <w:szCs w:val="16"/>
          <w:b w:val="1"/>
          <w:bCs w:val="1"/>
          <w:color w:val="auto"/>
        </w:rPr>
        <w:t>A</w:t>
      </w:r>
      <w:r>
        <w:rPr>
          <w:rFonts w:ascii="Times New Roman" w:cs="Times New Roman" w:eastAsia="Times New Roman" w:hAnsi="Times New Roman"/>
          <w:sz w:val="10"/>
          <w:szCs w:val="10"/>
          <w:b w:val="1"/>
          <w:bCs w:val="1"/>
          <w:color w:val="auto"/>
        </w:rPr>
        <w:t>ccuray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3" w:name="page124"/>
    <w:bookmarkEnd w:id="123"/>
    <w:p>
      <w:pPr>
        <w:ind w:left="6660"/>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5</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NUMPAGES \* Arabic \* MERGEFORMAT 31</w:t>
      </w:r>
    </w:p>
    <w:p>
      <w:pPr>
        <w:spacing w:after="0" w:line="200" w:lineRule="exact"/>
        <w:rPr>
          <w:sz w:val="20"/>
          <w:szCs w:val="20"/>
          <w:color w:val="auto"/>
        </w:rPr>
      </w:pPr>
    </w:p>
    <w:p>
      <w:pPr>
        <w:spacing w:after="0" w:line="24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00171E"/>
        </w:rPr>
        <w:t xml:space="preserve">with Company policy within thirty (30) days of paying such insurance premiums. The Company will reimburse Executive within thirty (30) days of receiving a properly submitted request. In addition, if Executive accepts other employment within such twelve (12) months, the Company’s obligation under this </w:t>
      </w:r>
      <w:r>
        <w:rPr>
          <w:rFonts w:ascii="Times New Roman" w:cs="Times New Roman" w:eastAsia="Times New Roman" w:hAnsi="Times New Roman"/>
          <w:sz w:val="20"/>
          <w:szCs w:val="20"/>
          <w:u w:val="single" w:color="auto"/>
          <w:color w:val="00171E"/>
        </w:rPr>
        <w:t>Section 5(a)(vi)</w:t>
      </w:r>
      <w:r>
        <w:rPr>
          <w:rFonts w:ascii="Times New Roman" w:cs="Times New Roman" w:eastAsia="Times New Roman" w:hAnsi="Times New Roman"/>
          <w:sz w:val="20"/>
          <w:szCs w:val="20"/>
          <w:color w:val="00171E"/>
        </w:rPr>
        <w:t xml:space="preserve"> will be extinguished as of the date Executive becomes eligible to be covered under the group health plan of Executive’s new employer; and</w:t>
      </w:r>
    </w:p>
    <w:p>
      <w:pPr>
        <w:spacing w:after="0" w:line="180" w:lineRule="exact"/>
        <w:rPr>
          <w:sz w:val="20"/>
          <w:szCs w:val="20"/>
          <w:color w:val="auto"/>
        </w:rPr>
      </w:pPr>
    </w:p>
    <w:p>
      <w:pPr>
        <w:jc w:val="both"/>
        <w:ind w:firstLine="2246"/>
        <w:spacing w:after="0" w:line="254" w:lineRule="auto"/>
        <w:rPr>
          <w:sz w:val="20"/>
          <w:szCs w:val="20"/>
          <w:color w:val="auto"/>
        </w:rPr>
      </w:pPr>
      <w:r>
        <w:rPr>
          <w:rFonts w:ascii="Times New Roman" w:cs="Times New Roman" w:eastAsia="Times New Roman" w:hAnsi="Times New Roman"/>
          <w:sz w:val="20"/>
          <w:szCs w:val="20"/>
          <w:color w:val="00171E"/>
        </w:rPr>
        <w:t>(vii)payment for executive outplacement assistance services with the Company’s then current outplacement services vendor and in accordance with the Company’s then current policies and practices with respect to outplacement assistance for other executives of the Company for up to twelve (12) months after the termination date.</w:t>
      </w:r>
    </w:p>
    <w:p>
      <w:pPr>
        <w:spacing w:after="0" w:line="174"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00171E"/>
        </w:rPr>
        <w:t xml:space="preserve">The payments and benefits set forth in </w:t>
      </w:r>
      <w:r>
        <w:rPr>
          <w:rFonts w:ascii="Times New Roman" w:cs="Times New Roman" w:eastAsia="Times New Roman" w:hAnsi="Times New Roman"/>
          <w:sz w:val="20"/>
          <w:szCs w:val="20"/>
          <w:u w:val="single" w:color="auto"/>
          <w:color w:val="00171E"/>
        </w:rPr>
        <w:t>Sections 5(a)(i)-(iii)</w:t>
      </w:r>
      <w:r>
        <w:rPr>
          <w:rFonts w:ascii="Times New Roman" w:cs="Times New Roman" w:eastAsia="Times New Roman" w:hAnsi="Times New Roman"/>
          <w:sz w:val="20"/>
          <w:szCs w:val="20"/>
          <w:color w:val="00171E"/>
        </w:rPr>
        <w:t xml:space="preserve"> shall be referred to as the “</w:t>
      </w:r>
      <w:r>
        <w:rPr>
          <w:rFonts w:ascii="Times New Roman" w:cs="Times New Roman" w:eastAsia="Times New Roman" w:hAnsi="Times New Roman"/>
          <w:sz w:val="20"/>
          <w:szCs w:val="20"/>
          <w:u w:val="single" w:color="auto"/>
          <w:color w:val="00171E"/>
        </w:rPr>
        <w:t>Accrued Benefits</w:t>
      </w:r>
      <w:r>
        <w:rPr>
          <w:rFonts w:ascii="Times New Roman" w:cs="Times New Roman" w:eastAsia="Times New Roman" w:hAnsi="Times New Roman"/>
          <w:sz w:val="20"/>
          <w:szCs w:val="20"/>
          <w:color w:val="00171E"/>
        </w:rPr>
        <w:t xml:space="preserve">”, and the payments and benefits set forth in </w:t>
      </w:r>
      <w:r>
        <w:rPr>
          <w:rFonts w:ascii="Times New Roman" w:cs="Times New Roman" w:eastAsia="Times New Roman" w:hAnsi="Times New Roman"/>
          <w:sz w:val="20"/>
          <w:szCs w:val="20"/>
          <w:u w:val="single" w:color="auto"/>
          <w:color w:val="00171E"/>
        </w:rPr>
        <w:t>Sections 5(a)(iv)-(vii)</w:t>
      </w:r>
      <w:r>
        <w:rPr>
          <w:rFonts w:ascii="Times New Roman" w:cs="Times New Roman" w:eastAsia="Times New Roman" w:hAnsi="Times New Roman"/>
          <w:sz w:val="20"/>
          <w:szCs w:val="20"/>
          <w:color w:val="00171E"/>
        </w:rPr>
        <w:t xml:space="preserve"> shall be referred to as the “</w:t>
      </w:r>
      <w:r>
        <w:rPr>
          <w:rFonts w:ascii="Times New Roman" w:cs="Times New Roman" w:eastAsia="Times New Roman" w:hAnsi="Times New Roman"/>
          <w:sz w:val="20"/>
          <w:szCs w:val="20"/>
          <w:u w:val="single" w:color="auto"/>
          <w:color w:val="00171E"/>
        </w:rPr>
        <w:t>Severance Benefits</w:t>
      </w:r>
      <w:r>
        <w:rPr>
          <w:rFonts w:ascii="Times New Roman" w:cs="Times New Roman" w:eastAsia="Times New Roman" w:hAnsi="Times New Roman"/>
          <w:sz w:val="20"/>
          <w:szCs w:val="20"/>
          <w:color w:val="00171E"/>
        </w:rPr>
        <w:t xml:space="preserve">”. Executive shall not receive the Severance Benefits, the “Enhanced Severance Benefits” as provided in </w:t>
      </w:r>
      <w:r>
        <w:rPr>
          <w:rFonts w:ascii="Times New Roman" w:cs="Times New Roman" w:eastAsia="Times New Roman" w:hAnsi="Times New Roman"/>
          <w:sz w:val="20"/>
          <w:szCs w:val="20"/>
          <w:u w:val="single" w:color="auto"/>
          <w:color w:val="00171E"/>
        </w:rPr>
        <w:t>Section 5(e)</w:t>
      </w:r>
      <w:r>
        <w:rPr>
          <w:rFonts w:ascii="Times New Roman" w:cs="Times New Roman" w:eastAsia="Times New Roman" w:hAnsi="Times New Roman"/>
          <w:sz w:val="20"/>
          <w:szCs w:val="20"/>
          <w:color w:val="00171E"/>
        </w:rPr>
        <w:t>, or the Termination Notice Replacement Payment (as defined below) unless Executive executes a separation agreement and general release in a form reasonably acceptable to the Company (the “</w:t>
      </w:r>
      <w:r>
        <w:rPr>
          <w:rFonts w:ascii="Times New Roman" w:cs="Times New Roman" w:eastAsia="Times New Roman" w:hAnsi="Times New Roman"/>
          <w:sz w:val="20"/>
          <w:szCs w:val="20"/>
          <w:u w:val="single" w:color="auto"/>
          <w:color w:val="00171E"/>
        </w:rPr>
        <w:t>Release</w:t>
      </w:r>
      <w:r>
        <w:rPr>
          <w:rFonts w:ascii="Times New Roman" w:cs="Times New Roman" w:eastAsia="Times New Roman" w:hAnsi="Times New Roman"/>
          <w:sz w:val="20"/>
          <w:szCs w:val="20"/>
          <w:color w:val="00171E"/>
        </w:rPr>
        <w:t xml:space="preserve">”), and the same becomes effective and irrevocable pursuant to its terms within the 60-day period following the termination of his/her employment. Notwithstanding the foregoing paragraphs of this </w:t>
      </w:r>
      <w:r>
        <w:rPr>
          <w:rFonts w:ascii="Times New Roman" w:cs="Times New Roman" w:eastAsia="Times New Roman" w:hAnsi="Times New Roman"/>
          <w:sz w:val="20"/>
          <w:szCs w:val="20"/>
          <w:u w:val="single" w:color="auto"/>
          <w:color w:val="00171E"/>
        </w:rPr>
        <w:t>Section 5(a)</w:t>
      </w:r>
      <w:r>
        <w:rPr>
          <w:rFonts w:ascii="Times New Roman" w:cs="Times New Roman" w:eastAsia="Times New Roman" w:hAnsi="Times New Roman"/>
          <w:sz w:val="20"/>
          <w:szCs w:val="20"/>
          <w:color w:val="00171E"/>
        </w:rPr>
        <w:t>, the Company may terminate Executive’s employment prior to the expiration of the Notice Period, and in the case of such termination, the Company shall pay Executive the equivalent of the Base Salary he/she would have earned over the remainder of the Notice Period (less necessary withholdings and authorized deductions) at his/her then current Base Salary rate (the “</w:t>
      </w:r>
      <w:r>
        <w:rPr>
          <w:rFonts w:ascii="Times New Roman" w:cs="Times New Roman" w:eastAsia="Times New Roman" w:hAnsi="Times New Roman"/>
          <w:sz w:val="20"/>
          <w:szCs w:val="20"/>
          <w:u w:val="single" w:color="auto"/>
          <w:color w:val="00171E"/>
        </w:rPr>
        <w:t>Termination Notice Replacement Payment</w:t>
      </w:r>
      <w:r>
        <w:rPr>
          <w:rFonts w:ascii="Times New Roman" w:cs="Times New Roman" w:eastAsia="Times New Roman" w:hAnsi="Times New Roman"/>
          <w:sz w:val="20"/>
          <w:szCs w:val="20"/>
          <w:color w:val="00171E"/>
        </w:rPr>
        <w:t>”), subject to Executive satisfying the requirements of the previous sentence. Any such Termination Notice Replacement will be paid in a lump sum at the same time as the Severance Payment.</w:t>
      </w:r>
    </w:p>
    <w:p>
      <w:pPr>
        <w:spacing w:after="0" w:line="192" w:lineRule="exact"/>
        <w:rPr>
          <w:sz w:val="20"/>
          <w:szCs w:val="20"/>
          <w:color w:val="auto"/>
        </w:rPr>
      </w:pPr>
    </w:p>
    <w:p>
      <w:pPr>
        <w:jc w:val="both"/>
        <w:ind w:firstLine="1505"/>
        <w:spacing w:after="0" w:line="241" w:lineRule="auto"/>
        <w:tabs>
          <w:tab w:leader="none" w:pos="2036" w:val="left"/>
        </w:tabs>
        <w:numPr>
          <w:ilvl w:val="0"/>
          <w:numId w:val="119"/>
        </w:numPr>
        <w:rPr>
          <w:rFonts w:ascii="Times New Roman" w:cs="Times New Roman" w:eastAsia="Times New Roman" w:hAnsi="Times New Roman"/>
          <w:sz w:val="20"/>
          <w:szCs w:val="20"/>
          <w:u w:val="single" w:color="auto"/>
          <w:color w:val="00171E"/>
        </w:rPr>
      </w:pPr>
      <w:r>
        <w:rPr>
          <w:rFonts w:ascii="Times New Roman" w:cs="Times New Roman" w:eastAsia="Times New Roman" w:hAnsi="Times New Roman"/>
          <w:sz w:val="20"/>
          <w:szCs w:val="20"/>
          <w:u w:val="single" w:color="auto"/>
          <w:color w:val="00171E"/>
        </w:rPr>
        <w:t>By Company With Cause</w:t>
      </w:r>
      <w:r>
        <w:rPr>
          <w:rFonts w:ascii="Times New Roman" w:cs="Times New Roman" w:eastAsia="Times New Roman" w:hAnsi="Times New Roman"/>
          <w:sz w:val="20"/>
          <w:szCs w:val="20"/>
          <w:color w:val="00171E"/>
        </w:rPr>
        <w:t>. The Company may terminate Executive’s employment at any time and without prior notice, written or otherwise, for Cause. As used in this Agreement, “</w:t>
      </w:r>
      <w:r>
        <w:rPr>
          <w:rFonts w:ascii="Times New Roman" w:cs="Times New Roman" w:eastAsia="Times New Roman" w:hAnsi="Times New Roman"/>
          <w:sz w:val="20"/>
          <w:szCs w:val="20"/>
          <w:u w:val="single" w:color="auto"/>
          <w:color w:val="00171E"/>
        </w:rPr>
        <w:t>Cause</w:t>
      </w:r>
      <w:r>
        <w:rPr>
          <w:rFonts w:ascii="Times New Roman" w:cs="Times New Roman" w:eastAsia="Times New Roman" w:hAnsi="Times New Roman"/>
          <w:sz w:val="20"/>
          <w:szCs w:val="20"/>
          <w:color w:val="00171E"/>
        </w:rPr>
        <w:t xml:space="preserve">” shall mean any of the following conduct by Executive: (i) material breach of this Agreement, or a material violation of a Company policy or of a law, rule or regulation applicable to the Company or its operations; (ii) demonstrated and material neglect of duties, or failure or refusal to perform the material duties of his/her position, or the failure to follow the reasonable and lawful instructions of the Company; (iii) gross misconduct or dishonesty, self-dealing, fraud or similar conduct that the Company reasonably determines has caused, is causing or reasonably is likely to cause harm to the Company; or (iv) conviction of or plea of guilty or </w:t>
      </w:r>
      <w:r>
        <w:rPr>
          <w:rFonts w:ascii="Times New Roman" w:cs="Times New Roman" w:eastAsia="Times New Roman" w:hAnsi="Times New Roman"/>
          <w:sz w:val="20"/>
          <w:szCs w:val="20"/>
          <w:i w:val="1"/>
          <w:iCs w:val="1"/>
          <w:color w:val="00171E"/>
        </w:rPr>
        <w:t>nolo contendere</w:t>
      </w:r>
      <w:r>
        <w:rPr>
          <w:rFonts w:ascii="Times New Roman" w:cs="Times New Roman" w:eastAsia="Times New Roman" w:hAnsi="Times New Roman"/>
          <w:sz w:val="20"/>
          <w:szCs w:val="20"/>
          <w:color w:val="00171E"/>
        </w:rPr>
        <w:t xml:space="preserve"> to a felony (other than a traffic offense that is not punishable by a sentence of incarceration) or any crime involving fraud, embezzlement, or any other act of moral turpitude. A termination for Cause pursuant to </w:t>
      </w:r>
      <w:r>
        <w:rPr>
          <w:rFonts w:ascii="Times New Roman" w:cs="Times New Roman" w:eastAsia="Times New Roman" w:hAnsi="Times New Roman"/>
          <w:sz w:val="20"/>
          <w:szCs w:val="20"/>
          <w:u w:val="single" w:color="auto"/>
          <w:color w:val="00171E"/>
        </w:rPr>
        <w:t>Section</w:t>
      </w:r>
      <w:r>
        <w:rPr>
          <w:rFonts w:ascii="Times New Roman" w:cs="Times New Roman" w:eastAsia="Times New Roman" w:hAnsi="Times New Roman"/>
          <w:sz w:val="20"/>
          <w:szCs w:val="20"/>
          <w:color w:val="00171E"/>
        </w:rPr>
        <w:t xml:space="preserve"> </w:t>
      </w:r>
      <w:r>
        <w:rPr>
          <w:rFonts w:ascii="Times New Roman" w:cs="Times New Roman" w:eastAsia="Times New Roman" w:hAnsi="Times New Roman"/>
          <w:sz w:val="20"/>
          <w:szCs w:val="20"/>
          <w:u w:val="single" w:color="auto"/>
          <w:color w:val="00171E"/>
        </w:rPr>
        <w:t>5(b)(ii)</w:t>
      </w:r>
      <w:r>
        <w:rPr>
          <w:rFonts w:ascii="Times New Roman" w:cs="Times New Roman" w:eastAsia="Times New Roman" w:hAnsi="Times New Roman"/>
          <w:sz w:val="20"/>
          <w:szCs w:val="20"/>
          <w:color w:val="00171E"/>
        </w:rPr>
        <w:t xml:space="preserve"> shall be effective only if such failure continues after Executive has been given written notice thereof and fifteen (15) business days thereafter in which to present his/her position to the Company or to cure the same, unless the Company reasonably determines that the reason(s) for termination are not capable of being cured. In the event of termination for Cause, Executive will be entitled only to the Accrued Benefits through the termination date, which will be the date on which the notice is given, and the Company will have no further obligation to pay any compensation of any kind (including without limitation any bonus or portion of a bonus that otherwise may have become due and payable to Executive with respect to the year in which such termination date occurs but for Executive’s termination prior to the payment date), or severance payment of any kind nor to make any payment in lieu of notice.</w:t>
      </w:r>
    </w:p>
    <w:p>
      <w:pPr>
        <w:spacing w:after="0" w:line="194" w:lineRule="exact"/>
        <w:rPr>
          <w:rFonts w:ascii="Times New Roman" w:cs="Times New Roman" w:eastAsia="Times New Roman" w:hAnsi="Times New Roman"/>
          <w:sz w:val="20"/>
          <w:szCs w:val="20"/>
          <w:u w:val="single" w:color="auto"/>
          <w:color w:val="00171E"/>
        </w:rPr>
      </w:pPr>
    </w:p>
    <w:p>
      <w:pPr>
        <w:ind w:left="2040" w:hanging="535"/>
        <w:spacing w:after="0"/>
        <w:tabs>
          <w:tab w:leader="none" w:pos="2040" w:val="left"/>
        </w:tabs>
        <w:numPr>
          <w:ilvl w:val="0"/>
          <w:numId w:val="119"/>
        </w:numPr>
        <w:rPr>
          <w:rFonts w:ascii="Times New Roman" w:cs="Times New Roman" w:eastAsia="Times New Roman" w:hAnsi="Times New Roman"/>
          <w:sz w:val="20"/>
          <w:szCs w:val="20"/>
          <w:u w:val="single" w:color="auto"/>
          <w:color w:val="00171E"/>
        </w:rPr>
      </w:pPr>
      <w:r>
        <w:rPr>
          <w:rFonts w:ascii="Times New Roman" w:cs="Times New Roman" w:eastAsia="Times New Roman" w:hAnsi="Times New Roman"/>
          <w:sz w:val="20"/>
          <w:szCs w:val="20"/>
          <w:u w:val="single" w:color="auto"/>
          <w:color w:val="00171E"/>
        </w:rPr>
        <w:t>Incapacity or Death</w:t>
      </w:r>
      <w:r>
        <w:rPr>
          <w:rFonts w:ascii="Times New Roman" w:cs="Times New Roman" w:eastAsia="Times New Roman" w:hAnsi="Times New Roman"/>
          <w:sz w:val="20"/>
          <w:szCs w:val="20"/>
          <w:color w:val="00171E"/>
        </w:rPr>
        <w:t>.</w:t>
      </w:r>
    </w:p>
    <w:p>
      <w:pPr>
        <w:spacing w:after="0" w:line="215" w:lineRule="exact"/>
        <w:rPr>
          <w:rFonts w:ascii="Times New Roman" w:cs="Times New Roman" w:eastAsia="Times New Roman" w:hAnsi="Times New Roman"/>
          <w:sz w:val="20"/>
          <w:szCs w:val="20"/>
          <w:u w:val="single" w:color="auto"/>
          <w:color w:val="00171E"/>
        </w:rPr>
      </w:pPr>
    </w:p>
    <w:p>
      <w:pPr>
        <w:ind w:firstLine="2254"/>
        <w:spacing w:after="0" w:line="269" w:lineRule="auto"/>
        <w:tabs>
          <w:tab w:leader="none" w:pos="2546" w:val="left"/>
        </w:tabs>
        <w:numPr>
          <w:ilvl w:val="1"/>
          <w:numId w:val="119"/>
        </w:numPr>
        <w:rPr>
          <w:rFonts w:ascii="Times New Roman" w:cs="Times New Roman" w:eastAsia="Times New Roman" w:hAnsi="Times New Roman"/>
          <w:sz w:val="20"/>
          <w:szCs w:val="20"/>
          <w:color w:val="00171E"/>
        </w:rPr>
      </w:pPr>
      <w:r>
        <w:rPr>
          <w:rFonts w:ascii="Times New Roman" w:cs="Times New Roman" w:eastAsia="Times New Roman" w:hAnsi="Times New Roman"/>
          <w:sz w:val="20"/>
          <w:szCs w:val="20"/>
          <w:color w:val="00171E"/>
        </w:rPr>
        <w:t>If Executive becomes unable, due to physical or mental illness or injury, to perform the essential duties of his/her position for more than twelve (12) consecutive weeks in any twelve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171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8"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6"/>
          <w:szCs w:val="16"/>
          <w:b w:val="1"/>
          <w:bCs w:val="1"/>
          <w:color w:val="auto"/>
        </w:rPr>
        <w:t>E</w:t>
      </w:r>
      <w:r>
        <w:rPr>
          <w:rFonts w:ascii="Times New Roman" w:cs="Times New Roman" w:eastAsia="Times New Roman" w:hAnsi="Times New Roman"/>
          <w:sz w:val="10"/>
          <w:szCs w:val="10"/>
          <w:b w:val="1"/>
          <w:bCs w:val="1"/>
          <w:color w:val="auto"/>
        </w:rPr>
        <w:t>xecutive</w:t>
      </w:r>
      <w:r>
        <w:rPr>
          <w:rFonts w:ascii="Times New Roman" w:cs="Times New Roman" w:eastAsia="Times New Roman" w:hAnsi="Times New Roman"/>
          <w:sz w:val="16"/>
          <w:szCs w:val="16"/>
          <w:b w:val="1"/>
          <w:bCs w:val="1"/>
          <w:color w:val="auto"/>
        </w:rPr>
        <w:t xml:space="preserve"> E</w:t>
      </w:r>
      <w:r>
        <w:rPr>
          <w:rFonts w:ascii="Times New Roman" w:cs="Times New Roman" w:eastAsia="Times New Roman" w:hAnsi="Times New Roman"/>
          <w:sz w:val="10"/>
          <w:szCs w:val="10"/>
          <w:b w:val="1"/>
          <w:bCs w:val="1"/>
          <w:color w:val="auto"/>
        </w:rPr>
        <w:t>mployment</w:t>
      </w:r>
      <w:r>
        <w:rPr>
          <w:rFonts w:ascii="Times New Roman" w:cs="Times New Roman" w:eastAsia="Times New Roman" w:hAnsi="Times New Roman"/>
          <w:sz w:val="16"/>
          <w:szCs w:val="16"/>
          <w:b w:val="1"/>
          <w:bCs w:val="1"/>
          <w:color w:val="auto"/>
        </w:rPr>
        <w:t xml:space="preserve"> A</w:t>
      </w:r>
      <w:r>
        <w:rPr>
          <w:rFonts w:ascii="Times New Roman" w:cs="Times New Roman" w:eastAsia="Times New Roman" w:hAnsi="Times New Roman"/>
          <w:sz w:val="10"/>
          <w:szCs w:val="10"/>
          <w:b w:val="1"/>
          <w:bCs w:val="1"/>
          <w:color w:val="auto"/>
        </w:rPr>
        <w:t>gmt</w:t>
      </w:r>
      <w:r>
        <w:rPr>
          <w:rFonts w:ascii="Times New Roman" w:cs="Times New Roman" w:eastAsia="Times New Roman" w:hAnsi="Times New Roman"/>
          <w:sz w:val="16"/>
          <w:szCs w:val="16"/>
          <w:b w:val="1"/>
          <w:bCs w:val="1"/>
          <w:color w:val="auto"/>
        </w:rPr>
        <w:t xml:space="preserve"> S</w:t>
      </w:r>
      <w:r>
        <w:rPr>
          <w:rFonts w:ascii="Times New Roman" w:cs="Times New Roman" w:eastAsia="Times New Roman" w:hAnsi="Times New Roman"/>
          <w:sz w:val="10"/>
          <w:szCs w:val="10"/>
          <w:b w:val="1"/>
          <w:bCs w:val="1"/>
          <w:color w:val="auto"/>
        </w:rPr>
        <w:t>td</w:t>
      </w:r>
      <w:r>
        <w:rPr>
          <w:rFonts w:ascii="Times New Roman" w:cs="Times New Roman" w:eastAsia="Times New Roman" w:hAnsi="Times New Roman"/>
          <w:sz w:val="16"/>
          <w:szCs w:val="16"/>
          <w:b w:val="1"/>
          <w:bCs w:val="1"/>
          <w:color w:val="auto"/>
        </w:rPr>
        <w:t xml:space="preserve"> 11.1.24</w:t>
      </w:r>
      <w:r>
        <w:rPr>
          <w:sz w:val="20"/>
          <w:szCs w:val="20"/>
          <w:color w:val="auto"/>
        </w:rPr>
        <w:tab/>
      </w:r>
      <w:r>
        <w:rPr>
          <w:rFonts w:ascii="Times New Roman" w:cs="Times New Roman" w:eastAsia="Times New Roman" w:hAnsi="Times New Roman"/>
          <w:sz w:val="16"/>
          <w:szCs w:val="16"/>
          <w:b w:val="1"/>
          <w:bCs w:val="1"/>
          <w:color w:val="auto"/>
        </w:rPr>
        <w:t>A</w:t>
      </w:r>
      <w:r>
        <w:rPr>
          <w:rFonts w:ascii="Times New Roman" w:cs="Times New Roman" w:eastAsia="Times New Roman" w:hAnsi="Times New Roman"/>
          <w:sz w:val="10"/>
          <w:szCs w:val="10"/>
          <w:b w:val="1"/>
          <w:bCs w:val="1"/>
          <w:color w:val="auto"/>
        </w:rPr>
        <w:t>ccuray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6</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NUMPAGES \* Arabic \* MERGEFORMAT 31</w:t>
      </w:r>
    </w:p>
    <w:p>
      <w:pPr>
        <w:spacing w:after="0" w:line="200" w:lineRule="exact"/>
        <w:rPr>
          <w:sz w:val="20"/>
          <w:szCs w:val="20"/>
          <w:color w:val="auto"/>
        </w:rPr>
      </w:pPr>
    </w:p>
    <w:p>
      <w:pPr>
        <w:spacing w:after="0" w:line="241" w:lineRule="exact"/>
        <w:rPr>
          <w:sz w:val="20"/>
          <w:szCs w:val="20"/>
          <w:color w:val="auto"/>
        </w:rPr>
      </w:pPr>
    </w:p>
    <w:p>
      <w:pPr>
        <w:jc w:val="both"/>
        <w:ind w:firstLine="8"/>
        <w:spacing w:after="0" w:line="254" w:lineRule="auto"/>
        <w:tabs>
          <w:tab w:leader="none" w:pos="385" w:val="left"/>
        </w:tabs>
        <w:numPr>
          <w:ilvl w:val="0"/>
          <w:numId w:val="120"/>
        </w:numPr>
        <w:rPr>
          <w:rFonts w:ascii="Times New Roman" w:cs="Times New Roman" w:eastAsia="Times New Roman" w:hAnsi="Times New Roman"/>
          <w:sz w:val="20"/>
          <w:szCs w:val="20"/>
          <w:color w:val="00171E"/>
        </w:rPr>
      </w:pPr>
      <w:r>
        <w:rPr>
          <w:rFonts w:ascii="Times New Roman" w:cs="Times New Roman" w:eastAsia="Times New Roman" w:hAnsi="Times New Roman"/>
          <w:sz w:val="20"/>
          <w:szCs w:val="20"/>
          <w:color w:val="00171E"/>
        </w:rPr>
        <w:t>month period during this Agreement with or without reasonable accommodation (“</w:t>
      </w:r>
      <w:r>
        <w:rPr>
          <w:rFonts w:ascii="Times New Roman" w:cs="Times New Roman" w:eastAsia="Times New Roman" w:hAnsi="Times New Roman"/>
          <w:sz w:val="20"/>
          <w:szCs w:val="20"/>
          <w:u w:val="single" w:color="auto"/>
          <w:color w:val="00171E"/>
        </w:rPr>
        <w:t>Incapacity</w:t>
      </w:r>
      <w:r>
        <w:rPr>
          <w:rFonts w:ascii="Times New Roman" w:cs="Times New Roman" w:eastAsia="Times New Roman" w:hAnsi="Times New Roman"/>
          <w:sz w:val="20"/>
          <w:szCs w:val="20"/>
          <w:color w:val="00171E"/>
        </w:rPr>
        <w:t>”), the Company has the right to terminate Executive’s employment on fifteen (15) days’ written notice. Further, Executive’s employment pursuant to this Agreement shall be immediately terminated without notice by the Company upon the death of Executive.</w:t>
      </w:r>
    </w:p>
    <w:p>
      <w:pPr>
        <w:spacing w:after="0" w:line="174" w:lineRule="exact"/>
        <w:rPr>
          <w:rFonts w:ascii="Times New Roman" w:cs="Times New Roman" w:eastAsia="Times New Roman" w:hAnsi="Times New Roman"/>
          <w:sz w:val="20"/>
          <w:szCs w:val="20"/>
          <w:color w:val="00171E"/>
        </w:rPr>
      </w:pPr>
    </w:p>
    <w:p>
      <w:pPr>
        <w:jc w:val="both"/>
        <w:ind w:firstLine="2254"/>
        <w:spacing w:after="0" w:line="255" w:lineRule="auto"/>
        <w:tabs>
          <w:tab w:leader="none" w:pos="2546" w:val="left"/>
        </w:tabs>
        <w:numPr>
          <w:ilvl w:val="2"/>
          <w:numId w:val="120"/>
        </w:numPr>
        <w:rPr>
          <w:rFonts w:ascii="Times New Roman" w:cs="Times New Roman" w:eastAsia="Times New Roman" w:hAnsi="Times New Roman"/>
          <w:sz w:val="19"/>
          <w:szCs w:val="19"/>
          <w:color w:val="00171E"/>
        </w:rPr>
      </w:pPr>
      <w:r>
        <w:rPr>
          <w:rFonts w:ascii="Times New Roman" w:cs="Times New Roman" w:eastAsia="Times New Roman" w:hAnsi="Times New Roman"/>
          <w:sz w:val="19"/>
          <w:szCs w:val="19"/>
          <w:color w:val="00171E"/>
        </w:rPr>
        <w:t>In the event of termination for Incapacity or if Executive dies while actively employed pursuant to this Agreement, (i) Executive will be entitled to receive the Accrued Benefits, (ii) any unvested equity awards previously granted to Executive that are scheduled to vest based solely on the achievement of service-based conditions (“</w:t>
      </w:r>
      <w:r>
        <w:rPr>
          <w:rFonts w:ascii="Times New Roman" w:cs="Times New Roman" w:eastAsia="Times New Roman" w:hAnsi="Times New Roman"/>
          <w:sz w:val="19"/>
          <w:szCs w:val="19"/>
          <w:u w:val="single" w:color="auto"/>
          <w:color w:val="00171E"/>
        </w:rPr>
        <w:t>Time-based Equity Awards</w:t>
      </w:r>
      <w:r>
        <w:rPr>
          <w:rFonts w:ascii="Times New Roman" w:cs="Times New Roman" w:eastAsia="Times New Roman" w:hAnsi="Times New Roman"/>
          <w:sz w:val="19"/>
          <w:szCs w:val="19"/>
          <w:color w:val="00171E"/>
        </w:rPr>
        <w:t xml:space="preserve">”) shall become immediately vested to the extent that such Time-based Equity Awards would have vested within six (6) months after the date of termination had such Time-based Equity Awards had vesting schedules that provided for pro-rata vesting on a monthly basis over the entirety of the vesting schedule (and, for clarity, any reference to the vesting date for purposes of settlement timing applicable to any restricted stock units or similar full-value awards that accelerate vesting under this </w:t>
      </w:r>
      <w:r>
        <w:rPr>
          <w:rFonts w:ascii="Times New Roman" w:cs="Times New Roman" w:eastAsia="Times New Roman" w:hAnsi="Times New Roman"/>
          <w:sz w:val="19"/>
          <w:szCs w:val="19"/>
          <w:u w:val="single" w:color="auto"/>
          <w:color w:val="00171E"/>
        </w:rPr>
        <w:t>Section 5(c)(ii)</w:t>
      </w:r>
      <w:r>
        <w:rPr>
          <w:rFonts w:ascii="Times New Roman" w:cs="Times New Roman" w:eastAsia="Times New Roman" w:hAnsi="Times New Roman"/>
          <w:sz w:val="19"/>
          <w:szCs w:val="19"/>
          <w:color w:val="00171E"/>
        </w:rPr>
        <w:t xml:space="preserve"> refers to the date that such award no longer is subject to a substantial risk of forfeiture), and (iii) with respect to any equity awards that are scheduled to vest based on the achievement of performance-based conditions (which may include additional service-based conditions) (“</w:t>
      </w:r>
      <w:r>
        <w:rPr>
          <w:rFonts w:ascii="Times New Roman" w:cs="Times New Roman" w:eastAsia="Times New Roman" w:hAnsi="Times New Roman"/>
          <w:sz w:val="19"/>
          <w:szCs w:val="19"/>
          <w:u w:val="single" w:color="auto"/>
          <w:color w:val="00171E"/>
        </w:rPr>
        <w:t>Performance-based Equity Awards</w:t>
      </w:r>
      <w:r>
        <w:rPr>
          <w:rFonts w:ascii="Times New Roman" w:cs="Times New Roman" w:eastAsia="Times New Roman" w:hAnsi="Times New Roman"/>
          <w:sz w:val="19"/>
          <w:szCs w:val="19"/>
          <w:color w:val="00171E"/>
        </w:rPr>
        <w:t>”) for which the performance period is scheduled to end within six (6) months after the date of termination, each such Performance-based Equity Award will remain outstanding until the date the Board or Compensation Committee of the Board (the “</w:t>
      </w:r>
      <w:r>
        <w:rPr>
          <w:rFonts w:ascii="Times New Roman" w:cs="Times New Roman" w:eastAsia="Times New Roman" w:hAnsi="Times New Roman"/>
          <w:sz w:val="19"/>
          <w:szCs w:val="19"/>
          <w:u w:val="single" w:color="auto"/>
          <w:color w:val="00171E"/>
        </w:rPr>
        <w:t>Compensation Committee</w:t>
      </w:r>
      <w:r>
        <w:rPr>
          <w:rFonts w:ascii="Times New Roman" w:cs="Times New Roman" w:eastAsia="Times New Roman" w:hAnsi="Times New Roman"/>
          <w:sz w:val="19"/>
          <w:szCs w:val="19"/>
          <w:color w:val="00171E"/>
        </w:rPr>
        <w:t>”) determines whether the applicable performance condition is achieved (provided that in no event will such Performance-based Equity Award remain outstanding beyond the Performance-based Equity Award’s maximum term to expiration), will vest in accordance with its terms to the extent such performance condition is achieved, and will be settled in the same calendar year as the calendar year in which the performance period ends.</w:t>
      </w:r>
    </w:p>
    <w:p>
      <w:pPr>
        <w:spacing w:after="0" w:line="179" w:lineRule="exact"/>
        <w:rPr>
          <w:rFonts w:ascii="Times New Roman" w:cs="Times New Roman" w:eastAsia="Times New Roman" w:hAnsi="Times New Roman"/>
          <w:sz w:val="19"/>
          <w:szCs w:val="19"/>
          <w:color w:val="00171E"/>
        </w:rPr>
      </w:pPr>
    </w:p>
    <w:p>
      <w:pPr>
        <w:jc w:val="both"/>
        <w:ind w:firstLine="1505"/>
        <w:spacing w:after="0" w:line="241" w:lineRule="auto"/>
        <w:tabs>
          <w:tab w:leader="none" w:pos="2036" w:val="left"/>
        </w:tabs>
        <w:numPr>
          <w:ilvl w:val="1"/>
          <w:numId w:val="120"/>
        </w:numPr>
        <w:rPr>
          <w:rFonts w:ascii="Times New Roman" w:cs="Times New Roman" w:eastAsia="Times New Roman" w:hAnsi="Times New Roman"/>
          <w:sz w:val="20"/>
          <w:szCs w:val="20"/>
          <w:u w:val="single" w:color="auto"/>
          <w:color w:val="00171E"/>
        </w:rPr>
      </w:pPr>
      <w:r>
        <w:rPr>
          <w:rFonts w:ascii="Times New Roman" w:cs="Times New Roman" w:eastAsia="Times New Roman" w:hAnsi="Times New Roman"/>
          <w:sz w:val="20"/>
          <w:szCs w:val="20"/>
          <w:u w:val="single" w:color="auto"/>
          <w:color w:val="00171E"/>
        </w:rPr>
        <w:t>Resignation for Good Reason</w:t>
      </w:r>
      <w:r>
        <w:rPr>
          <w:rFonts w:ascii="Times New Roman" w:cs="Times New Roman" w:eastAsia="Times New Roman" w:hAnsi="Times New Roman"/>
          <w:sz w:val="20"/>
          <w:szCs w:val="20"/>
          <w:color w:val="00171E"/>
        </w:rPr>
        <w:t>. Executive may terminate this Agreement for Good Reason (as defined below) by giving written notice to the Company of such termination, subject to Executive complying with the notice, cure period and other requirements set forth within the definition of Good Reason below. As used in this Agreement, “</w:t>
      </w:r>
      <w:r>
        <w:rPr>
          <w:rFonts w:ascii="Times New Roman" w:cs="Times New Roman" w:eastAsia="Times New Roman" w:hAnsi="Times New Roman"/>
          <w:sz w:val="20"/>
          <w:szCs w:val="20"/>
          <w:u w:val="single" w:color="auto"/>
          <w:color w:val="00171E"/>
        </w:rPr>
        <w:t>Good Reason</w:t>
      </w:r>
      <w:r>
        <w:rPr>
          <w:rFonts w:ascii="Times New Roman" w:cs="Times New Roman" w:eastAsia="Times New Roman" w:hAnsi="Times New Roman"/>
          <w:sz w:val="20"/>
          <w:szCs w:val="20"/>
          <w:color w:val="00171E"/>
        </w:rPr>
        <w:t xml:space="preserve">” shall mean the occurrence of any one of the following without Executive’s written consent: (i) a material reduction in Executive’s base compensation (which includes Base Salary, the Executive’s target annual bonus and any other base compensation), (ii) any action or inaction that constitutes a material breach by the Company of this Agreement; (iii) during the Change in Control Period, a material diminution in Executive’s authority, duties or responsibilities such that they are materially inconsistent with Executive’s then position or, outside of the Change in Control Period, a material diminution in Executive’s duties or responsibilities such that they are materially inconsistent with the position for which Executive originally was appointed (as Senior Vice President, Chief Commercial Officer of the Company); and (iv) a relocation of the Executive’s primary work location to a location that increases Executive’s commute by thirty (30) miles or more, provided that no termination for Good Reason shall be effective until Executive has given the Company written notice (pursuant to </w:t>
      </w:r>
      <w:r>
        <w:rPr>
          <w:rFonts w:ascii="Times New Roman" w:cs="Times New Roman" w:eastAsia="Times New Roman" w:hAnsi="Times New Roman"/>
          <w:sz w:val="20"/>
          <w:szCs w:val="20"/>
          <w:u w:val="single" w:color="auto"/>
          <w:color w:val="00171E"/>
        </w:rPr>
        <w:t>Section 11</w:t>
      </w:r>
      <w:r>
        <w:rPr>
          <w:rFonts w:ascii="Times New Roman" w:cs="Times New Roman" w:eastAsia="Times New Roman" w:hAnsi="Times New Roman"/>
          <w:sz w:val="20"/>
          <w:szCs w:val="20"/>
          <w:color w:val="00171E"/>
        </w:rPr>
        <w:t xml:space="preserve"> below) within sixty (60) days after Executive becomes aware of the initial occurrence of any of the foregoing specifying the event or condition constituting the Good Reason and the specific reasonable cure requested by Executive, and the Company has failed to cure the occurrence within thirty (30) days of receiving written notice from Executive, and Executive resigns within six (6) months after Executive becomes aware of the initial occurrence. To the extent Executive’s principal work location is not the Company’s offices or facilities due to a shelter-in-place order, quarantine order, or similar work-from-home requirement that applies to Executive, Executive’s principal work location, from which a change in location under the foregoing clause (iv) will be measured, will be considered the Company’s office or facility location where Executive’s employment with the Company primarily was or would have been based immediately prior to the commencement of such shelter-in-place order, quarantine order, or similar work-from-home requirement. In the event of a termination for Good Reason, Executive will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132320" cy="171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96"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6"/>
          <w:szCs w:val="16"/>
          <w:b w:val="1"/>
          <w:bCs w:val="1"/>
          <w:color w:val="auto"/>
        </w:rPr>
        <w:t>E</w:t>
      </w:r>
      <w:r>
        <w:rPr>
          <w:rFonts w:ascii="Times New Roman" w:cs="Times New Roman" w:eastAsia="Times New Roman" w:hAnsi="Times New Roman"/>
          <w:sz w:val="10"/>
          <w:szCs w:val="10"/>
          <w:b w:val="1"/>
          <w:bCs w:val="1"/>
          <w:color w:val="auto"/>
        </w:rPr>
        <w:t>xecutive</w:t>
      </w:r>
      <w:r>
        <w:rPr>
          <w:rFonts w:ascii="Times New Roman" w:cs="Times New Roman" w:eastAsia="Times New Roman" w:hAnsi="Times New Roman"/>
          <w:sz w:val="16"/>
          <w:szCs w:val="16"/>
          <w:b w:val="1"/>
          <w:bCs w:val="1"/>
          <w:color w:val="auto"/>
        </w:rPr>
        <w:t xml:space="preserve"> E</w:t>
      </w:r>
      <w:r>
        <w:rPr>
          <w:rFonts w:ascii="Times New Roman" w:cs="Times New Roman" w:eastAsia="Times New Roman" w:hAnsi="Times New Roman"/>
          <w:sz w:val="10"/>
          <w:szCs w:val="10"/>
          <w:b w:val="1"/>
          <w:bCs w:val="1"/>
          <w:color w:val="auto"/>
        </w:rPr>
        <w:t>mployment</w:t>
      </w:r>
      <w:r>
        <w:rPr>
          <w:rFonts w:ascii="Times New Roman" w:cs="Times New Roman" w:eastAsia="Times New Roman" w:hAnsi="Times New Roman"/>
          <w:sz w:val="16"/>
          <w:szCs w:val="16"/>
          <w:b w:val="1"/>
          <w:bCs w:val="1"/>
          <w:color w:val="auto"/>
        </w:rPr>
        <w:t xml:space="preserve"> A</w:t>
      </w:r>
      <w:r>
        <w:rPr>
          <w:rFonts w:ascii="Times New Roman" w:cs="Times New Roman" w:eastAsia="Times New Roman" w:hAnsi="Times New Roman"/>
          <w:sz w:val="10"/>
          <w:szCs w:val="10"/>
          <w:b w:val="1"/>
          <w:bCs w:val="1"/>
          <w:color w:val="auto"/>
        </w:rPr>
        <w:t>gmt</w:t>
      </w:r>
      <w:r>
        <w:rPr>
          <w:rFonts w:ascii="Times New Roman" w:cs="Times New Roman" w:eastAsia="Times New Roman" w:hAnsi="Times New Roman"/>
          <w:sz w:val="16"/>
          <w:szCs w:val="16"/>
          <w:b w:val="1"/>
          <w:bCs w:val="1"/>
          <w:color w:val="auto"/>
        </w:rPr>
        <w:t xml:space="preserve"> S</w:t>
      </w:r>
      <w:r>
        <w:rPr>
          <w:rFonts w:ascii="Times New Roman" w:cs="Times New Roman" w:eastAsia="Times New Roman" w:hAnsi="Times New Roman"/>
          <w:sz w:val="10"/>
          <w:szCs w:val="10"/>
          <w:b w:val="1"/>
          <w:bCs w:val="1"/>
          <w:color w:val="auto"/>
        </w:rPr>
        <w:t>td</w:t>
      </w:r>
      <w:r>
        <w:rPr>
          <w:rFonts w:ascii="Times New Roman" w:cs="Times New Roman" w:eastAsia="Times New Roman" w:hAnsi="Times New Roman"/>
          <w:sz w:val="16"/>
          <w:szCs w:val="16"/>
          <w:b w:val="1"/>
          <w:bCs w:val="1"/>
          <w:color w:val="auto"/>
        </w:rPr>
        <w:t xml:space="preserve"> 11.1.24</w:t>
      </w:r>
      <w:r>
        <w:rPr>
          <w:sz w:val="20"/>
          <w:szCs w:val="20"/>
          <w:color w:val="auto"/>
        </w:rPr>
        <w:tab/>
      </w:r>
      <w:r>
        <w:rPr>
          <w:rFonts w:ascii="Times New Roman" w:cs="Times New Roman" w:eastAsia="Times New Roman" w:hAnsi="Times New Roman"/>
          <w:sz w:val="16"/>
          <w:szCs w:val="16"/>
          <w:b w:val="1"/>
          <w:bCs w:val="1"/>
          <w:color w:val="auto"/>
        </w:rPr>
        <w:t>A</w:t>
      </w:r>
      <w:r>
        <w:rPr>
          <w:rFonts w:ascii="Times New Roman" w:cs="Times New Roman" w:eastAsia="Times New Roman" w:hAnsi="Times New Roman"/>
          <w:sz w:val="10"/>
          <w:szCs w:val="10"/>
          <w:b w:val="1"/>
          <w:bCs w:val="1"/>
          <w:color w:val="auto"/>
        </w:rPr>
        <w:t>ccuray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7</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NUMPAGES \* Arabic \* MERGEFORMAT 31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00171E"/>
        </w:rPr>
        <w:t xml:space="preserve">entitled to the Accrued Benefits and the Severance Benefits, on the same conditions, form of payment and timing as set forth in </w:t>
      </w:r>
      <w:r>
        <w:rPr>
          <w:rFonts w:ascii="Times New Roman" w:cs="Times New Roman" w:eastAsia="Times New Roman" w:hAnsi="Times New Roman"/>
          <w:sz w:val="19"/>
          <w:szCs w:val="19"/>
          <w:u w:val="single" w:color="auto"/>
          <w:color w:val="00171E"/>
        </w:rPr>
        <w:t>Section 5(a)</w:t>
      </w:r>
      <w:r>
        <w:rPr>
          <w:rFonts w:ascii="Times New Roman" w:cs="Times New Roman" w:eastAsia="Times New Roman" w:hAnsi="Times New Roman"/>
          <w:sz w:val="19"/>
          <w:szCs w:val="19"/>
          <w:color w:val="00171E"/>
        </w:rPr>
        <w:t>.</w:t>
      </w:r>
    </w:p>
    <w:p>
      <w:pPr>
        <w:spacing w:after="0" w:line="227" w:lineRule="exact"/>
        <w:rPr>
          <w:sz w:val="20"/>
          <w:szCs w:val="20"/>
          <w:color w:val="auto"/>
        </w:rPr>
      </w:pPr>
    </w:p>
    <w:p>
      <w:pPr>
        <w:jc w:val="both"/>
        <w:ind w:firstLine="1505"/>
        <w:spacing w:after="0" w:line="254" w:lineRule="auto"/>
        <w:tabs>
          <w:tab w:leader="none" w:pos="2036" w:val="left"/>
        </w:tabs>
        <w:numPr>
          <w:ilvl w:val="0"/>
          <w:numId w:val="121"/>
        </w:numPr>
        <w:rPr>
          <w:rFonts w:ascii="Times New Roman" w:cs="Times New Roman" w:eastAsia="Times New Roman" w:hAnsi="Times New Roman"/>
          <w:sz w:val="19"/>
          <w:szCs w:val="19"/>
          <w:u w:val="single" w:color="auto"/>
          <w:color w:val="00171E"/>
        </w:rPr>
      </w:pPr>
      <w:r>
        <w:rPr>
          <w:rFonts w:ascii="Times New Roman" w:cs="Times New Roman" w:eastAsia="Times New Roman" w:hAnsi="Times New Roman"/>
          <w:sz w:val="19"/>
          <w:szCs w:val="19"/>
          <w:u w:val="single" w:color="auto"/>
          <w:color w:val="00171E"/>
        </w:rPr>
        <w:t>Effect of Change in Control.</w:t>
      </w:r>
      <w:r>
        <w:rPr>
          <w:rFonts w:ascii="Times New Roman" w:cs="Times New Roman" w:eastAsia="Times New Roman" w:hAnsi="Times New Roman"/>
          <w:sz w:val="19"/>
          <w:szCs w:val="19"/>
          <w:color w:val="00171E"/>
        </w:rPr>
        <w:t xml:space="preserve"> If the Company terminates Executive’s employment with the Company without Cause (excluding due to Executive’s death or Incapacity) or if Executive resigns from such employment for Good Reason, and, in each case, such termination occurs during the Change in Control Period (as defined below), Executive will be entitled to the Accrued Benefits, and subject to the same conditions set forth in the final paragraph of </w:t>
      </w:r>
      <w:r>
        <w:rPr>
          <w:rFonts w:ascii="Times New Roman" w:cs="Times New Roman" w:eastAsia="Times New Roman" w:hAnsi="Times New Roman"/>
          <w:sz w:val="19"/>
          <w:szCs w:val="19"/>
          <w:u w:val="single" w:color="auto"/>
          <w:color w:val="00171E"/>
        </w:rPr>
        <w:t>Section 5(a)</w:t>
      </w:r>
      <w:r>
        <w:rPr>
          <w:rFonts w:ascii="Times New Roman" w:cs="Times New Roman" w:eastAsia="Times New Roman" w:hAnsi="Times New Roman"/>
          <w:sz w:val="19"/>
          <w:szCs w:val="19"/>
          <w:color w:val="00171E"/>
        </w:rPr>
        <w:t xml:space="preserve">: (i) two (2) times the Severance Payment set forth in </w:t>
      </w:r>
      <w:r>
        <w:rPr>
          <w:rFonts w:ascii="Times New Roman" w:cs="Times New Roman" w:eastAsia="Times New Roman" w:hAnsi="Times New Roman"/>
          <w:sz w:val="19"/>
          <w:szCs w:val="19"/>
          <w:u w:val="single" w:color="auto"/>
          <w:color w:val="00171E"/>
        </w:rPr>
        <w:t>Section 5(a)(iv)</w:t>
      </w:r>
      <w:r>
        <w:rPr>
          <w:rFonts w:ascii="Times New Roman" w:cs="Times New Roman" w:eastAsia="Times New Roman" w:hAnsi="Times New Roman"/>
          <w:sz w:val="19"/>
          <w:szCs w:val="19"/>
          <w:color w:val="00171E"/>
        </w:rPr>
        <w:t xml:space="preserve">, paid in the same form (i.e., a lump sum) and at the same time as the Severance Payments set forth in </w:t>
      </w:r>
      <w:r>
        <w:rPr>
          <w:rFonts w:ascii="Times New Roman" w:cs="Times New Roman" w:eastAsia="Times New Roman" w:hAnsi="Times New Roman"/>
          <w:sz w:val="19"/>
          <w:szCs w:val="19"/>
          <w:u w:val="single" w:color="auto"/>
          <w:color w:val="00171E"/>
        </w:rPr>
        <w:t>Section 5(a)(iv)</w:t>
      </w:r>
      <w:r>
        <w:rPr>
          <w:rFonts w:ascii="Times New Roman" w:cs="Times New Roman" w:eastAsia="Times New Roman" w:hAnsi="Times New Roman"/>
          <w:sz w:val="19"/>
          <w:szCs w:val="19"/>
          <w:color w:val="00171E"/>
        </w:rPr>
        <w:t xml:space="preserve">, (ii) subject to </w:t>
      </w:r>
      <w:r>
        <w:rPr>
          <w:rFonts w:ascii="Times New Roman" w:cs="Times New Roman" w:eastAsia="Times New Roman" w:hAnsi="Times New Roman"/>
          <w:sz w:val="19"/>
          <w:szCs w:val="19"/>
          <w:u w:val="single" w:color="auto"/>
          <w:color w:val="00171E"/>
        </w:rPr>
        <w:t>Section 5(g)</w:t>
      </w:r>
      <w:r>
        <w:rPr>
          <w:rFonts w:ascii="Times New Roman" w:cs="Times New Roman" w:eastAsia="Times New Roman" w:hAnsi="Times New Roman"/>
          <w:sz w:val="19"/>
          <w:szCs w:val="19"/>
          <w:color w:val="00171E"/>
        </w:rPr>
        <w:t xml:space="preserve">, the reimbursement of health insurance premiums payable to retain group health coverage as of the termination date for Executive and Executive’s eligible dependents for up to twelve (12) months in the same form and at the same time and under the same conditions as provided in </w:t>
      </w:r>
      <w:r>
        <w:rPr>
          <w:rFonts w:ascii="Times New Roman" w:cs="Times New Roman" w:eastAsia="Times New Roman" w:hAnsi="Times New Roman"/>
          <w:sz w:val="19"/>
          <w:szCs w:val="19"/>
          <w:u w:val="single" w:color="auto"/>
          <w:color w:val="00171E"/>
        </w:rPr>
        <w:t>Section 5(a)(vi)</w:t>
      </w:r>
      <w:r>
        <w:rPr>
          <w:rFonts w:ascii="Times New Roman" w:cs="Times New Roman" w:eastAsia="Times New Roman" w:hAnsi="Times New Roman"/>
          <w:sz w:val="19"/>
          <w:szCs w:val="19"/>
          <w:color w:val="00171E"/>
        </w:rPr>
        <w:t xml:space="preserve">, (iii) a taxable monthly payment (which may be used for any purpose) equal to the actual COBRA reimbursement payment that Executive receives under </w:t>
      </w:r>
      <w:r>
        <w:rPr>
          <w:rFonts w:ascii="Times New Roman" w:cs="Times New Roman" w:eastAsia="Times New Roman" w:hAnsi="Times New Roman"/>
          <w:sz w:val="19"/>
          <w:szCs w:val="19"/>
          <w:u w:val="single" w:color="auto"/>
          <w:color w:val="00171E"/>
        </w:rPr>
        <w:t>Section 5(e)(ii)</w:t>
      </w:r>
      <w:r>
        <w:rPr>
          <w:rFonts w:ascii="Times New Roman" w:cs="Times New Roman" w:eastAsia="Times New Roman" w:hAnsi="Times New Roman"/>
          <w:sz w:val="19"/>
          <w:szCs w:val="19"/>
          <w:color w:val="00171E"/>
        </w:rPr>
        <w:t xml:space="preserve"> for any particular month, (iv) two hundred percent (200%) of Executive’s target bonus for the fiscal year during which termination occurs, but no less than two hundred percent (200%) of the target bonus in effect for the fiscal year immediately prior to the Change in Control if the Change in Control occurs within the first three (3) months of the fiscal year, payable at the same time as the payment under clause (i) of this </w:t>
      </w:r>
      <w:r>
        <w:rPr>
          <w:rFonts w:ascii="Times New Roman" w:cs="Times New Roman" w:eastAsia="Times New Roman" w:hAnsi="Times New Roman"/>
          <w:sz w:val="19"/>
          <w:szCs w:val="19"/>
          <w:u w:val="single" w:color="auto"/>
          <w:color w:val="00171E"/>
        </w:rPr>
        <w:t>Section 5(e)</w:t>
      </w:r>
      <w:r>
        <w:rPr>
          <w:rFonts w:ascii="Times New Roman" w:cs="Times New Roman" w:eastAsia="Times New Roman" w:hAnsi="Times New Roman"/>
          <w:sz w:val="19"/>
          <w:szCs w:val="19"/>
          <w:color w:val="00171E"/>
        </w:rPr>
        <w:t xml:space="preserve">, (v) all outstanding unvested equity awards previously granted to Executive shall become immediately vested, with Performance-based Equity Awards vesting at target unless otherwise specified in the applicable Performance-based Equity Award’s award agreement (and, for clarity, any reference to the vesting date for purposes of settlement timing applicable to any restricted stock units or similar full-value awards that accelerate vesting under this </w:t>
      </w:r>
      <w:r>
        <w:rPr>
          <w:rFonts w:ascii="Times New Roman" w:cs="Times New Roman" w:eastAsia="Times New Roman" w:hAnsi="Times New Roman"/>
          <w:sz w:val="19"/>
          <w:szCs w:val="19"/>
          <w:u w:val="single" w:color="auto"/>
          <w:color w:val="00171E"/>
        </w:rPr>
        <w:t>Section</w:t>
      </w:r>
      <w:r>
        <w:rPr>
          <w:rFonts w:ascii="Times New Roman" w:cs="Times New Roman" w:eastAsia="Times New Roman" w:hAnsi="Times New Roman"/>
          <w:sz w:val="19"/>
          <w:szCs w:val="19"/>
          <w:color w:val="00171E"/>
        </w:rPr>
        <w:t xml:space="preserve"> </w:t>
      </w:r>
      <w:r>
        <w:rPr>
          <w:rFonts w:ascii="Times New Roman" w:cs="Times New Roman" w:eastAsia="Times New Roman" w:hAnsi="Times New Roman"/>
          <w:sz w:val="19"/>
          <w:szCs w:val="19"/>
          <w:u w:val="single" w:color="auto"/>
          <w:color w:val="00171E"/>
        </w:rPr>
        <w:t>5(e)(v)</w:t>
      </w:r>
      <w:r>
        <w:rPr>
          <w:rFonts w:ascii="Times New Roman" w:cs="Times New Roman" w:eastAsia="Times New Roman" w:hAnsi="Times New Roman"/>
          <w:sz w:val="19"/>
          <w:szCs w:val="19"/>
          <w:color w:val="00171E"/>
        </w:rPr>
        <w:t xml:space="preserve"> refers to the date that such award no longer is subject to a substantial risk of forfeiture) and (vi) payment for executive outplacement assistance services with the Company’s then current outplacement services vendor and in accordance with the Company’s then current policies and practices with respect to outplacement assistance for other executives of the Company for up to twelve (12) months after the termination date (the payments and benefits set forth in </w:t>
      </w:r>
      <w:r>
        <w:rPr>
          <w:rFonts w:ascii="Times New Roman" w:cs="Times New Roman" w:eastAsia="Times New Roman" w:hAnsi="Times New Roman"/>
          <w:sz w:val="19"/>
          <w:szCs w:val="19"/>
          <w:u w:val="single" w:color="auto"/>
          <w:color w:val="00171E"/>
        </w:rPr>
        <w:t>Sections 5(e)(i)-(vi)</w:t>
      </w:r>
      <w:r>
        <w:rPr>
          <w:rFonts w:ascii="Times New Roman" w:cs="Times New Roman" w:eastAsia="Times New Roman" w:hAnsi="Times New Roman"/>
          <w:sz w:val="19"/>
          <w:szCs w:val="19"/>
          <w:color w:val="00171E"/>
        </w:rPr>
        <w:t xml:space="preserve"> shall be referred to as the “</w:t>
      </w:r>
      <w:r>
        <w:rPr>
          <w:rFonts w:ascii="Times New Roman" w:cs="Times New Roman" w:eastAsia="Times New Roman" w:hAnsi="Times New Roman"/>
          <w:sz w:val="19"/>
          <w:szCs w:val="19"/>
          <w:u w:val="single" w:color="auto"/>
          <w:color w:val="00171E"/>
        </w:rPr>
        <w:t>Enhanced Severance Benefits</w:t>
      </w:r>
      <w:r>
        <w:rPr>
          <w:rFonts w:ascii="Times New Roman" w:cs="Times New Roman" w:eastAsia="Times New Roman" w:hAnsi="Times New Roman"/>
          <w:sz w:val="19"/>
          <w:szCs w:val="19"/>
          <w:color w:val="00171E"/>
        </w:rPr>
        <w:t>”).</w:t>
      </w:r>
    </w:p>
    <w:p>
      <w:pPr>
        <w:spacing w:after="0" w:line="183" w:lineRule="exact"/>
        <w:rPr>
          <w:sz w:val="20"/>
          <w:szCs w:val="20"/>
          <w:color w:val="auto"/>
        </w:rPr>
      </w:pPr>
    </w:p>
    <w:p>
      <w:pPr>
        <w:jc w:val="both"/>
        <w:ind w:firstLine="1497"/>
        <w:spacing w:after="0" w:line="255" w:lineRule="auto"/>
        <w:rPr>
          <w:sz w:val="20"/>
          <w:szCs w:val="20"/>
          <w:color w:val="auto"/>
        </w:rPr>
      </w:pPr>
      <w:r>
        <w:rPr>
          <w:rFonts w:ascii="Times New Roman" w:cs="Times New Roman" w:eastAsia="Times New Roman" w:hAnsi="Times New Roman"/>
          <w:sz w:val="19"/>
          <w:szCs w:val="19"/>
          <w:color w:val="00171E"/>
        </w:rPr>
        <w:t xml:space="preserve">For the avoidance of doubt, if Executive’s termination without Cause (excluding due to Executive’s death or Incapacity) or resignation for Good Reason occurs prior to a Change in Control, then any unvested portion of Executive’s outstanding equity awards will remain outstanding until the earlier of (i) the date that is three (3) months following the termination of Executive’s employment or (ii) the date that a Change in Control occurs (provided that in no event will any of Executive’s equity awards remain outstanding beyond the equity award’s maximum term to expiration). In the event that a Change in Control does not occur by the date that is three (3) months following the termination of Executive’s employment, any unvested portion of Executive’s equity awards automatically will be forfeited permanently without having vested. Further, for any Performance-based Equity Awards, the performance-based vesting component of the equity awards shall not be deemed to be automatically achieved as a result of the application of </w:t>
      </w:r>
      <w:r>
        <w:rPr>
          <w:rFonts w:ascii="Times New Roman" w:cs="Times New Roman" w:eastAsia="Times New Roman" w:hAnsi="Times New Roman"/>
          <w:sz w:val="19"/>
          <w:szCs w:val="19"/>
          <w:u w:val="single" w:color="auto"/>
          <w:color w:val="00171E"/>
        </w:rPr>
        <w:t>Section 5(e)(v)</w:t>
      </w:r>
      <w:r>
        <w:rPr>
          <w:rFonts w:ascii="Times New Roman" w:cs="Times New Roman" w:eastAsia="Times New Roman" w:hAnsi="Times New Roman"/>
          <w:sz w:val="19"/>
          <w:szCs w:val="19"/>
          <w:color w:val="00171E"/>
        </w:rPr>
        <w:t xml:space="preserve"> but will remain outstanding during the three</w:t>
      </w:r>
    </w:p>
    <w:p>
      <w:pPr>
        <w:spacing w:after="0" w:line="1" w:lineRule="exact"/>
        <w:rPr>
          <w:sz w:val="20"/>
          <w:szCs w:val="20"/>
          <w:color w:val="auto"/>
        </w:rPr>
      </w:pPr>
    </w:p>
    <w:p>
      <w:pPr>
        <w:jc w:val="both"/>
        <w:ind w:firstLine="8"/>
        <w:spacing w:after="0"/>
        <w:tabs>
          <w:tab w:leader="none" w:pos="306" w:val="left"/>
        </w:tabs>
        <w:numPr>
          <w:ilvl w:val="0"/>
          <w:numId w:val="122"/>
        </w:numPr>
        <w:rPr>
          <w:rFonts w:ascii="Times New Roman" w:cs="Times New Roman" w:eastAsia="Times New Roman" w:hAnsi="Times New Roman"/>
          <w:sz w:val="20"/>
          <w:szCs w:val="20"/>
          <w:color w:val="00171E"/>
        </w:rPr>
      </w:pPr>
      <w:r>
        <w:rPr>
          <w:rFonts w:ascii="Times New Roman" w:cs="Times New Roman" w:eastAsia="Times New Roman" w:hAnsi="Times New Roman"/>
          <w:sz w:val="20"/>
          <w:szCs w:val="20"/>
          <w:color w:val="00171E"/>
        </w:rPr>
        <w:t xml:space="preserve">month period following Executive’s termination or through the date of the Change in Control, as applicable, to determine whether a Change in Control would have occurred within three (3) months of the termination of Executive’s employment and, if so, the extent to which the performance condition is achieved, such determination to be made in accordance with the procedures set forth in the applicable award agreement. If the performance condition is satisfied and that would cause the award to become eligible to vest based on continued service, then clause (v) of this </w:t>
      </w:r>
      <w:r>
        <w:rPr>
          <w:rFonts w:ascii="Times New Roman" w:cs="Times New Roman" w:eastAsia="Times New Roman" w:hAnsi="Times New Roman"/>
          <w:sz w:val="20"/>
          <w:szCs w:val="20"/>
          <w:u w:val="single" w:color="auto"/>
          <w:color w:val="00171E"/>
        </w:rPr>
        <w:t>Section 5(e)</w:t>
      </w:r>
      <w:r>
        <w:rPr>
          <w:rFonts w:ascii="Times New Roman" w:cs="Times New Roman" w:eastAsia="Times New Roman" w:hAnsi="Times New Roman"/>
          <w:sz w:val="20"/>
          <w:szCs w:val="20"/>
          <w:color w:val="00171E"/>
        </w:rPr>
        <w:t xml:space="preserve"> will cause the service-based vesting component to be deemed satisfied and the vesting of the equity award will be accelerated as to the portion of the award that became eligible to vest. For clarity, if there is no service-based condition that applies with respect to any portion of such equity award upon such satisfaction of the performance condition, such portion of the equity award will immediately vest upon such satisfaction of the performance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132320" cy="171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83"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6"/>
          <w:szCs w:val="16"/>
          <w:b w:val="1"/>
          <w:bCs w:val="1"/>
          <w:color w:val="auto"/>
        </w:rPr>
        <w:t>E</w:t>
      </w:r>
      <w:r>
        <w:rPr>
          <w:rFonts w:ascii="Times New Roman" w:cs="Times New Roman" w:eastAsia="Times New Roman" w:hAnsi="Times New Roman"/>
          <w:sz w:val="10"/>
          <w:szCs w:val="10"/>
          <w:b w:val="1"/>
          <w:bCs w:val="1"/>
          <w:color w:val="auto"/>
        </w:rPr>
        <w:t>xecutive</w:t>
      </w:r>
      <w:r>
        <w:rPr>
          <w:rFonts w:ascii="Times New Roman" w:cs="Times New Roman" w:eastAsia="Times New Roman" w:hAnsi="Times New Roman"/>
          <w:sz w:val="16"/>
          <w:szCs w:val="16"/>
          <w:b w:val="1"/>
          <w:bCs w:val="1"/>
          <w:color w:val="auto"/>
        </w:rPr>
        <w:t xml:space="preserve"> E</w:t>
      </w:r>
      <w:r>
        <w:rPr>
          <w:rFonts w:ascii="Times New Roman" w:cs="Times New Roman" w:eastAsia="Times New Roman" w:hAnsi="Times New Roman"/>
          <w:sz w:val="10"/>
          <w:szCs w:val="10"/>
          <w:b w:val="1"/>
          <w:bCs w:val="1"/>
          <w:color w:val="auto"/>
        </w:rPr>
        <w:t>mployment</w:t>
      </w:r>
      <w:r>
        <w:rPr>
          <w:rFonts w:ascii="Times New Roman" w:cs="Times New Roman" w:eastAsia="Times New Roman" w:hAnsi="Times New Roman"/>
          <w:sz w:val="16"/>
          <w:szCs w:val="16"/>
          <w:b w:val="1"/>
          <w:bCs w:val="1"/>
          <w:color w:val="auto"/>
        </w:rPr>
        <w:t xml:space="preserve"> A</w:t>
      </w:r>
      <w:r>
        <w:rPr>
          <w:rFonts w:ascii="Times New Roman" w:cs="Times New Roman" w:eastAsia="Times New Roman" w:hAnsi="Times New Roman"/>
          <w:sz w:val="10"/>
          <w:szCs w:val="10"/>
          <w:b w:val="1"/>
          <w:bCs w:val="1"/>
          <w:color w:val="auto"/>
        </w:rPr>
        <w:t>gmt</w:t>
      </w:r>
      <w:r>
        <w:rPr>
          <w:rFonts w:ascii="Times New Roman" w:cs="Times New Roman" w:eastAsia="Times New Roman" w:hAnsi="Times New Roman"/>
          <w:sz w:val="16"/>
          <w:szCs w:val="16"/>
          <w:b w:val="1"/>
          <w:bCs w:val="1"/>
          <w:color w:val="auto"/>
        </w:rPr>
        <w:t xml:space="preserve"> S</w:t>
      </w:r>
      <w:r>
        <w:rPr>
          <w:rFonts w:ascii="Times New Roman" w:cs="Times New Roman" w:eastAsia="Times New Roman" w:hAnsi="Times New Roman"/>
          <w:sz w:val="10"/>
          <w:szCs w:val="10"/>
          <w:b w:val="1"/>
          <w:bCs w:val="1"/>
          <w:color w:val="auto"/>
        </w:rPr>
        <w:t>td</w:t>
      </w:r>
      <w:r>
        <w:rPr>
          <w:rFonts w:ascii="Times New Roman" w:cs="Times New Roman" w:eastAsia="Times New Roman" w:hAnsi="Times New Roman"/>
          <w:sz w:val="16"/>
          <w:szCs w:val="16"/>
          <w:b w:val="1"/>
          <w:bCs w:val="1"/>
          <w:color w:val="auto"/>
        </w:rPr>
        <w:t xml:space="preserve"> 11.1.24</w:t>
      </w:r>
      <w:r>
        <w:rPr>
          <w:sz w:val="20"/>
          <w:szCs w:val="20"/>
          <w:color w:val="auto"/>
        </w:rPr>
        <w:tab/>
      </w:r>
      <w:r>
        <w:rPr>
          <w:rFonts w:ascii="Times New Roman" w:cs="Times New Roman" w:eastAsia="Times New Roman" w:hAnsi="Times New Roman"/>
          <w:sz w:val="16"/>
          <w:szCs w:val="16"/>
          <w:b w:val="1"/>
          <w:bCs w:val="1"/>
          <w:color w:val="auto"/>
        </w:rPr>
        <w:t>A</w:t>
      </w:r>
      <w:r>
        <w:rPr>
          <w:rFonts w:ascii="Times New Roman" w:cs="Times New Roman" w:eastAsia="Times New Roman" w:hAnsi="Times New Roman"/>
          <w:sz w:val="10"/>
          <w:szCs w:val="10"/>
          <w:b w:val="1"/>
          <w:bCs w:val="1"/>
          <w:color w:val="auto"/>
        </w:rPr>
        <w:t>ccuray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8</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NUMPAGES \* Arabic \* MERGEFORMAT 31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1497"/>
        <w:spacing w:after="0" w:line="249" w:lineRule="auto"/>
        <w:rPr>
          <w:sz w:val="20"/>
          <w:szCs w:val="20"/>
          <w:color w:val="auto"/>
        </w:rPr>
      </w:pPr>
      <w:r>
        <w:rPr>
          <w:rFonts w:ascii="Times New Roman" w:cs="Times New Roman" w:eastAsia="Times New Roman" w:hAnsi="Times New Roman"/>
          <w:sz w:val="20"/>
          <w:szCs w:val="20"/>
          <w:color w:val="00171E"/>
        </w:rPr>
        <w:t xml:space="preserve">For the sake of clarity, if any payments or benefits are payable under this </w:t>
      </w:r>
      <w:r>
        <w:rPr>
          <w:rFonts w:ascii="Times New Roman" w:cs="Times New Roman" w:eastAsia="Times New Roman" w:hAnsi="Times New Roman"/>
          <w:sz w:val="20"/>
          <w:szCs w:val="20"/>
          <w:u w:val="single" w:color="auto"/>
          <w:color w:val="00171E"/>
        </w:rPr>
        <w:t>Section 5(e)</w:t>
      </w:r>
      <w:r>
        <w:rPr>
          <w:rFonts w:ascii="Times New Roman" w:cs="Times New Roman" w:eastAsia="Times New Roman" w:hAnsi="Times New Roman"/>
          <w:sz w:val="20"/>
          <w:szCs w:val="20"/>
          <w:color w:val="00171E"/>
        </w:rPr>
        <w:t xml:space="preserve">, no payments or benefits shall be made under any other subsection of this </w:t>
      </w:r>
      <w:r>
        <w:rPr>
          <w:rFonts w:ascii="Times New Roman" w:cs="Times New Roman" w:eastAsia="Times New Roman" w:hAnsi="Times New Roman"/>
          <w:sz w:val="20"/>
          <w:szCs w:val="20"/>
          <w:u w:val="single" w:color="auto"/>
          <w:color w:val="00171E"/>
        </w:rPr>
        <w:t>Section 5</w:t>
      </w:r>
      <w:r>
        <w:rPr>
          <w:rFonts w:ascii="Times New Roman" w:cs="Times New Roman" w:eastAsia="Times New Roman" w:hAnsi="Times New Roman"/>
          <w:sz w:val="20"/>
          <w:szCs w:val="20"/>
          <w:color w:val="00171E"/>
        </w:rPr>
        <w:t xml:space="preserve">, including </w:t>
      </w:r>
      <w:r>
        <w:rPr>
          <w:rFonts w:ascii="Times New Roman" w:cs="Times New Roman" w:eastAsia="Times New Roman" w:hAnsi="Times New Roman"/>
          <w:sz w:val="20"/>
          <w:szCs w:val="20"/>
          <w:u w:val="single" w:color="auto"/>
          <w:color w:val="00171E"/>
        </w:rPr>
        <w:t>Section 5(a)</w:t>
      </w:r>
      <w:r>
        <w:rPr>
          <w:rFonts w:ascii="Times New Roman" w:cs="Times New Roman" w:eastAsia="Times New Roman" w:hAnsi="Times New Roman"/>
          <w:sz w:val="20"/>
          <w:szCs w:val="20"/>
          <w:color w:val="00171E"/>
        </w:rPr>
        <w:t xml:space="preserve"> and </w:t>
      </w:r>
      <w:r>
        <w:rPr>
          <w:rFonts w:ascii="Times New Roman" w:cs="Times New Roman" w:eastAsia="Times New Roman" w:hAnsi="Times New Roman"/>
          <w:sz w:val="20"/>
          <w:szCs w:val="20"/>
          <w:u w:val="single" w:color="auto"/>
          <w:color w:val="00171E"/>
        </w:rPr>
        <w:t>Section 5(d)</w:t>
      </w:r>
      <w:r>
        <w:rPr>
          <w:rFonts w:ascii="Times New Roman" w:cs="Times New Roman" w:eastAsia="Times New Roman" w:hAnsi="Times New Roman"/>
          <w:sz w:val="20"/>
          <w:szCs w:val="20"/>
          <w:color w:val="00171E"/>
        </w:rPr>
        <w:t>, and any Enhanced Severance Benefits will be reduced by any Severance Benefits that may have been paid or provided with respect to any termination triggering Severance Benefits that occurs during the three-month period prior to a Change in Control (this provision, the “</w:t>
      </w:r>
      <w:r>
        <w:rPr>
          <w:rFonts w:ascii="Times New Roman" w:cs="Times New Roman" w:eastAsia="Times New Roman" w:hAnsi="Times New Roman"/>
          <w:sz w:val="20"/>
          <w:szCs w:val="20"/>
          <w:u w:val="single" w:color="auto"/>
          <w:color w:val="00171E"/>
        </w:rPr>
        <w:t>Non-duplication Provision</w:t>
      </w:r>
      <w:r>
        <w:rPr>
          <w:rFonts w:ascii="Times New Roman" w:cs="Times New Roman" w:eastAsia="Times New Roman" w:hAnsi="Times New Roman"/>
          <w:sz w:val="20"/>
          <w:szCs w:val="20"/>
          <w:color w:val="00171E"/>
        </w:rPr>
        <w:t>”).</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00171E"/>
        </w:rPr>
        <w:t>As used in this Agreement, a “</w:t>
      </w:r>
      <w:r>
        <w:rPr>
          <w:rFonts w:ascii="Times New Roman" w:cs="Times New Roman" w:eastAsia="Times New Roman" w:hAnsi="Times New Roman"/>
          <w:sz w:val="20"/>
          <w:szCs w:val="20"/>
          <w:u w:val="single" w:color="auto"/>
          <w:color w:val="00171E"/>
        </w:rPr>
        <w:t>Change in Control</w:t>
      </w:r>
      <w:r>
        <w:rPr>
          <w:rFonts w:ascii="Times New Roman" w:cs="Times New Roman" w:eastAsia="Times New Roman" w:hAnsi="Times New Roman"/>
          <w:sz w:val="20"/>
          <w:szCs w:val="20"/>
          <w:color w:val="00171E"/>
        </w:rPr>
        <w:t>” shall mean any of the following events:</w:t>
      </w:r>
    </w:p>
    <w:p>
      <w:pPr>
        <w:spacing w:after="0" w:line="216" w:lineRule="exact"/>
        <w:rPr>
          <w:sz w:val="20"/>
          <w:szCs w:val="20"/>
          <w:color w:val="auto"/>
        </w:rPr>
      </w:pPr>
    </w:p>
    <w:p>
      <w:pPr>
        <w:jc w:val="both"/>
        <w:ind w:firstLine="2254"/>
        <w:spacing w:after="0" w:line="256" w:lineRule="auto"/>
        <w:tabs>
          <w:tab w:leader="none" w:pos="2546" w:val="left"/>
        </w:tabs>
        <w:numPr>
          <w:ilvl w:val="0"/>
          <w:numId w:val="123"/>
        </w:numPr>
        <w:rPr>
          <w:rFonts w:ascii="Times New Roman" w:cs="Times New Roman" w:eastAsia="Times New Roman" w:hAnsi="Times New Roman"/>
          <w:sz w:val="19"/>
          <w:szCs w:val="19"/>
          <w:color w:val="00171E"/>
        </w:rPr>
      </w:pPr>
      <w:r>
        <w:rPr>
          <w:rFonts w:ascii="Times New Roman" w:cs="Times New Roman" w:eastAsia="Times New Roman" w:hAnsi="Times New Roman"/>
          <w:sz w:val="19"/>
          <w:szCs w:val="19"/>
          <w:color w:val="00171E"/>
        </w:rPr>
        <w:t>A change in the ownership of the Company which occurs on the date that any one person, or more than one person acting as a group (“</w:t>
      </w:r>
      <w:r>
        <w:rPr>
          <w:rFonts w:ascii="Times New Roman" w:cs="Times New Roman" w:eastAsia="Times New Roman" w:hAnsi="Times New Roman"/>
          <w:sz w:val="19"/>
          <w:szCs w:val="19"/>
          <w:u w:val="single" w:color="auto"/>
          <w:color w:val="00171E"/>
        </w:rPr>
        <w:t>Person</w:t>
      </w:r>
      <w:r>
        <w:rPr>
          <w:rFonts w:ascii="Times New Roman" w:cs="Times New Roman" w:eastAsia="Times New Roman" w:hAnsi="Times New Roman"/>
          <w:sz w:val="19"/>
          <w:szCs w:val="19"/>
          <w:color w:val="00171E"/>
        </w:rPr>
        <w:t>”), acquires ownership of the stock of the Company that, together with the stock held by such Person, constitutes more than fifty percent (50%) of the total voting power of the stock of the Company; provided, however, that for purposes of this clause (i), the acquisition of additional stock by any one Person, who is considered to own more than fifty percent (50%) of the total voting power of the stock of the Company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 Company, such event shall not be considered a Change in Control under this clause (i). For this purpose, indirect beneficial ownership shall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spacing w:after="0" w:line="177" w:lineRule="exact"/>
        <w:rPr>
          <w:rFonts w:ascii="Times New Roman" w:cs="Times New Roman" w:eastAsia="Times New Roman" w:hAnsi="Times New Roman"/>
          <w:sz w:val="19"/>
          <w:szCs w:val="19"/>
          <w:color w:val="00171E"/>
        </w:rPr>
      </w:pPr>
    </w:p>
    <w:p>
      <w:pPr>
        <w:jc w:val="both"/>
        <w:ind w:firstLine="2254"/>
        <w:spacing w:after="0" w:line="246" w:lineRule="auto"/>
        <w:tabs>
          <w:tab w:leader="none" w:pos="2546" w:val="left"/>
        </w:tabs>
        <w:numPr>
          <w:ilvl w:val="0"/>
          <w:numId w:val="123"/>
        </w:numPr>
        <w:rPr>
          <w:rFonts w:ascii="Times New Roman" w:cs="Times New Roman" w:eastAsia="Times New Roman" w:hAnsi="Times New Roman"/>
          <w:sz w:val="20"/>
          <w:szCs w:val="20"/>
          <w:color w:val="00171E"/>
        </w:rPr>
      </w:pPr>
      <w:r>
        <w:rPr>
          <w:rFonts w:ascii="Times New Roman" w:cs="Times New Roman" w:eastAsia="Times New Roman" w:hAnsi="Times New Roman"/>
          <w:sz w:val="20"/>
          <w:szCs w:val="20"/>
          <w:color w:val="00171E"/>
        </w:rPr>
        <w:t>A change in the effective control of the Company which occurs on the date that a majority of members of the Board is replaced during any twelve (12)-month period by members of the Board whose appointment or election is not endorsed by a majority of the members of the Board prior to the date of the appointment or election. For purposes of this clause (ii), if any Person is considered to be in effective control of the Company, the acquisition of additional control of the Company by the same Person will not be considered a Change in Control; or</w:t>
      </w:r>
    </w:p>
    <w:p>
      <w:pPr>
        <w:spacing w:after="0" w:line="185" w:lineRule="exact"/>
        <w:rPr>
          <w:sz w:val="20"/>
          <w:szCs w:val="20"/>
          <w:color w:val="auto"/>
        </w:rPr>
      </w:pPr>
    </w:p>
    <w:p>
      <w:pPr>
        <w:jc w:val="both"/>
        <w:ind w:firstLine="2246"/>
        <w:spacing w:after="0" w:line="256" w:lineRule="auto"/>
        <w:rPr>
          <w:sz w:val="20"/>
          <w:szCs w:val="20"/>
          <w:color w:val="auto"/>
        </w:rPr>
      </w:pPr>
      <w:r>
        <w:rPr>
          <w:rFonts w:ascii="Times New Roman" w:cs="Times New Roman" w:eastAsia="Times New Roman" w:hAnsi="Times New Roman"/>
          <w:sz w:val="19"/>
          <w:szCs w:val="19"/>
          <w:color w:val="00171E"/>
        </w:rPr>
        <w:t>(iii)A change in the ownership of a substantial portion of the Company’s assets which occurs on the date that any Person acquires (or has acquired during the twelve (12)-month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clause (iii),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fifty percent (50%) or more of the total value or voting power of which is owned, directly or indirectly, by the Company, (3) a Person, that owns, directly or indirectly, fifty percent (50%) or more of the total value or voting power of all the outstanding stock of the Company, or (4) an entity, at least fifty percent (50%) of the total value or voting power of which is owned, directly or indirectly, by a Person described in this clause (iii)(B)(3). For purposes of this clause (iii), gross fair market value means the value of the assets of the Company, or the value of the assets being disposed of, determined without regard to any liabilities associated with such assets.</w:t>
      </w:r>
    </w:p>
    <w:p>
      <w:pPr>
        <w:spacing w:after="0" w:line="17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00171E"/>
        </w:rPr>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171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8"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6"/>
          <w:szCs w:val="16"/>
          <w:b w:val="1"/>
          <w:bCs w:val="1"/>
          <w:color w:val="auto"/>
        </w:rPr>
        <w:t>E</w:t>
      </w:r>
      <w:r>
        <w:rPr>
          <w:rFonts w:ascii="Times New Roman" w:cs="Times New Roman" w:eastAsia="Times New Roman" w:hAnsi="Times New Roman"/>
          <w:sz w:val="10"/>
          <w:szCs w:val="10"/>
          <w:b w:val="1"/>
          <w:bCs w:val="1"/>
          <w:color w:val="auto"/>
        </w:rPr>
        <w:t>xecutive</w:t>
      </w:r>
      <w:r>
        <w:rPr>
          <w:rFonts w:ascii="Times New Roman" w:cs="Times New Roman" w:eastAsia="Times New Roman" w:hAnsi="Times New Roman"/>
          <w:sz w:val="16"/>
          <w:szCs w:val="16"/>
          <w:b w:val="1"/>
          <w:bCs w:val="1"/>
          <w:color w:val="auto"/>
        </w:rPr>
        <w:t xml:space="preserve"> E</w:t>
      </w:r>
      <w:r>
        <w:rPr>
          <w:rFonts w:ascii="Times New Roman" w:cs="Times New Roman" w:eastAsia="Times New Roman" w:hAnsi="Times New Roman"/>
          <w:sz w:val="10"/>
          <w:szCs w:val="10"/>
          <w:b w:val="1"/>
          <w:bCs w:val="1"/>
          <w:color w:val="auto"/>
        </w:rPr>
        <w:t>mployment</w:t>
      </w:r>
      <w:r>
        <w:rPr>
          <w:rFonts w:ascii="Times New Roman" w:cs="Times New Roman" w:eastAsia="Times New Roman" w:hAnsi="Times New Roman"/>
          <w:sz w:val="16"/>
          <w:szCs w:val="16"/>
          <w:b w:val="1"/>
          <w:bCs w:val="1"/>
          <w:color w:val="auto"/>
        </w:rPr>
        <w:t xml:space="preserve"> A</w:t>
      </w:r>
      <w:r>
        <w:rPr>
          <w:rFonts w:ascii="Times New Roman" w:cs="Times New Roman" w:eastAsia="Times New Roman" w:hAnsi="Times New Roman"/>
          <w:sz w:val="10"/>
          <w:szCs w:val="10"/>
          <w:b w:val="1"/>
          <w:bCs w:val="1"/>
          <w:color w:val="auto"/>
        </w:rPr>
        <w:t>gmt</w:t>
      </w:r>
      <w:r>
        <w:rPr>
          <w:rFonts w:ascii="Times New Roman" w:cs="Times New Roman" w:eastAsia="Times New Roman" w:hAnsi="Times New Roman"/>
          <w:sz w:val="16"/>
          <w:szCs w:val="16"/>
          <w:b w:val="1"/>
          <w:bCs w:val="1"/>
          <w:color w:val="auto"/>
        </w:rPr>
        <w:t xml:space="preserve"> S</w:t>
      </w:r>
      <w:r>
        <w:rPr>
          <w:rFonts w:ascii="Times New Roman" w:cs="Times New Roman" w:eastAsia="Times New Roman" w:hAnsi="Times New Roman"/>
          <w:sz w:val="10"/>
          <w:szCs w:val="10"/>
          <w:b w:val="1"/>
          <w:bCs w:val="1"/>
          <w:color w:val="auto"/>
        </w:rPr>
        <w:t>td</w:t>
      </w:r>
      <w:r>
        <w:rPr>
          <w:rFonts w:ascii="Times New Roman" w:cs="Times New Roman" w:eastAsia="Times New Roman" w:hAnsi="Times New Roman"/>
          <w:sz w:val="16"/>
          <w:szCs w:val="16"/>
          <w:b w:val="1"/>
          <w:bCs w:val="1"/>
          <w:color w:val="auto"/>
        </w:rPr>
        <w:t xml:space="preserve"> 11.1.24</w:t>
      </w:r>
      <w:r>
        <w:rPr>
          <w:sz w:val="20"/>
          <w:szCs w:val="20"/>
          <w:color w:val="auto"/>
        </w:rPr>
        <w:tab/>
      </w:r>
      <w:r>
        <w:rPr>
          <w:rFonts w:ascii="Times New Roman" w:cs="Times New Roman" w:eastAsia="Times New Roman" w:hAnsi="Times New Roman"/>
          <w:sz w:val="16"/>
          <w:szCs w:val="16"/>
          <w:b w:val="1"/>
          <w:bCs w:val="1"/>
          <w:color w:val="auto"/>
        </w:rPr>
        <w:t>A</w:t>
      </w:r>
      <w:r>
        <w:rPr>
          <w:rFonts w:ascii="Times New Roman" w:cs="Times New Roman" w:eastAsia="Times New Roman" w:hAnsi="Times New Roman"/>
          <w:sz w:val="10"/>
          <w:szCs w:val="10"/>
          <w:b w:val="1"/>
          <w:bCs w:val="1"/>
          <w:color w:val="auto"/>
        </w:rPr>
        <w:t>ccuray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9</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NUMPAGES \* Arabic \* MERGEFORMAT 31</w:t>
      </w:r>
    </w:p>
    <w:p>
      <w:pPr>
        <w:spacing w:after="0" w:line="200" w:lineRule="exact"/>
        <w:rPr>
          <w:sz w:val="20"/>
          <w:szCs w:val="20"/>
          <w:color w:val="auto"/>
        </w:rPr>
      </w:pPr>
    </w:p>
    <w:p>
      <w:pPr>
        <w:spacing w:after="0" w:line="24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00171E"/>
        </w:rPr>
        <w:t>Notwithstanding the foregoing, a transaction will not be deemed a Change in Control unless the transaction qualifies as a change in control event within the meaning of Code Section 409A, as it has been and may be amended from time to time, and any proposed or final Treasury Regulations and Internal Revenue Service guidance that has been promulgated or may be promulgated thereunder from time to time.</w:t>
      </w:r>
    </w:p>
    <w:p>
      <w:pPr>
        <w:spacing w:after="0" w:line="1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00171E"/>
        </w:rPr>
        <w:t>Further and for the avoidance of doubt, a transaction will not constitute a Change in Control if: (i) its sole purpose is to change the state of the Company’s incorporation, or (ii) its sole purpose is to create a holding company that will be owned in substantially the same proportions by the persons who held the Company’s securities immediately before such transaction.</w:t>
      </w:r>
    </w:p>
    <w:p>
      <w:pPr>
        <w:spacing w:after="0" w:line="174"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00171E"/>
        </w:rPr>
        <w:t>As used in this Agreement, a “</w:t>
      </w:r>
      <w:r>
        <w:rPr>
          <w:rFonts w:ascii="Times New Roman" w:cs="Times New Roman" w:eastAsia="Times New Roman" w:hAnsi="Times New Roman"/>
          <w:sz w:val="20"/>
          <w:szCs w:val="20"/>
          <w:u w:val="single" w:color="auto"/>
          <w:color w:val="00171E"/>
        </w:rPr>
        <w:t>Change in Control Period</w:t>
      </w:r>
      <w:r>
        <w:rPr>
          <w:rFonts w:ascii="Times New Roman" w:cs="Times New Roman" w:eastAsia="Times New Roman" w:hAnsi="Times New Roman"/>
          <w:sz w:val="20"/>
          <w:szCs w:val="20"/>
          <w:color w:val="00171E"/>
        </w:rPr>
        <w:t>” shall mean the period beginning three (3) months prior to, and ending twenty-four (24) months following, a Change in Control.</w:t>
      </w:r>
    </w:p>
    <w:p>
      <w:pPr>
        <w:spacing w:after="0" w:line="159" w:lineRule="exact"/>
        <w:rPr>
          <w:sz w:val="20"/>
          <w:szCs w:val="20"/>
          <w:color w:val="auto"/>
        </w:rPr>
      </w:pPr>
    </w:p>
    <w:p>
      <w:pPr>
        <w:jc w:val="both"/>
        <w:ind w:firstLine="1505"/>
        <w:spacing w:after="0" w:line="244" w:lineRule="auto"/>
        <w:tabs>
          <w:tab w:leader="none" w:pos="2036" w:val="left"/>
        </w:tabs>
        <w:numPr>
          <w:ilvl w:val="1"/>
          <w:numId w:val="124"/>
        </w:numPr>
        <w:rPr>
          <w:rFonts w:ascii="Times New Roman" w:cs="Times New Roman" w:eastAsia="Times New Roman" w:hAnsi="Times New Roman"/>
          <w:sz w:val="20"/>
          <w:szCs w:val="20"/>
          <w:u w:val="single" w:color="auto"/>
          <w:color w:val="00171E"/>
        </w:rPr>
      </w:pPr>
      <w:r>
        <w:rPr>
          <w:rFonts w:ascii="Times New Roman" w:cs="Times New Roman" w:eastAsia="Times New Roman" w:hAnsi="Times New Roman"/>
          <w:sz w:val="20"/>
          <w:szCs w:val="20"/>
          <w:u w:val="single" w:color="auto"/>
          <w:color w:val="00171E"/>
        </w:rPr>
        <w:t>Voluntary Resignation without Good Reason</w:t>
      </w:r>
      <w:r>
        <w:rPr>
          <w:rFonts w:ascii="Times New Roman" w:cs="Times New Roman" w:eastAsia="Times New Roman" w:hAnsi="Times New Roman"/>
          <w:sz w:val="20"/>
          <w:szCs w:val="20"/>
          <w:color w:val="00171E"/>
        </w:rPr>
        <w:t xml:space="preserve">. Executive may terminate this Agreement without Good Reason effective on sixty (60) day’s written notice, unless the Company in its sole discretion accepts the resignation earlier. In the event that Executive resigns without Good Reason as defined above in </w:t>
      </w:r>
      <w:r>
        <w:rPr>
          <w:rFonts w:ascii="Times New Roman" w:cs="Times New Roman" w:eastAsia="Times New Roman" w:hAnsi="Times New Roman"/>
          <w:sz w:val="20"/>
          <w:szCs w:val="20"/>
          <w:u w:val="single" w:color="auto"/>
          <w:color w:val="00171E"/>
        </w:rPr>
        <w:t>Section 5(d)</w:t>
      </w:r>
      <w:r>
        <w:rPr>
          <w:rFonts w:ascii="Times New Roman" w:cs="Times New Roman" w:eastAsia="Times New Roman" w:hAnsi="Times New Roman"/>
          <w:sz w:val="20"/>
          <w:szCs w:val="20"/>
          <w:color w:val="00171E"/>
        </w:rPr>
        <w:t>, Executive will be entitled only to the Accrued Benefits through the termination date. The Company will have no further obligation to pay any compensation of any kind (including without limitation any bonus or portion of a bonus that otherwise may have become due and payable to Executive with respect to the year in which such termination date occurs unless he/she remains employed with the Company as of the date bonuses are paid to other senior executives of the Company), or severance payments of any kind.</w:t>
      </w:r>
    </w:p>
    <w:p>
      <w:pPr>
        <w:spacing w:after="0" w:line="185" w:lineRule="exact"/>
        <w:rPr>
          <w:rFonts w:ascii="Times New Roman" w:cs="Times New Roman" w:eastAsia="Times New Roman" w:hAnsi="Times New Roman"/>
          <w:sz w:val="20"/>
          <w:szCs w:val="20"/>
          <w:u w:val="single" w:color="auto"/>
          <w:color w:val="00171E"/>
        </w:rPr>
      </w:pPr>
    </w:p>
    <w:p>
      <w:pPr>
        <w:jc w:val="both"/>
        <w:ind w:firstLine="1505"/>
        <w:spacing w:after="0" w:line="241" w:lineRule="auto"/>
        <w:tabs>
          <w:tab w:leader="none" w:pos="2036" w:val="left"/>
        </w:tabs>
        <w:numPr>
          <w:ilvl w:val="1"/>
          <w:numId w:val="124"/>
        </w:numPr>
        <w:rPr>
          <w:rFonts w:ascii="Times New Roman" w:cs="Times New Roman" w:eastAsia="Times New Roman" w:hAnsi="Times New Roman"/>
          <w:sz w:val="20"/>
          <w:szCs w:val="20"/>
          <w:u w:val="single" w:color="auto"/>
          <w:color w:val="00171E"/>
        </w:rPr>
      </w:pPr>
      <w:r>
        <w:rPr>
          <w:rFonts w:ascii="Times New Roman" w:cs="Times New Roman" w:eastAsia="Times New Roman" w:hAnsi="Times New Roman"/>
          <w:sz w:val="20"/>
          <w:szCs w:val="20"/>
          <w:color w:val="00171E"/>
        </w:rPr>
        <w:t xml:space="preserve">If the Company determines in its sole discretion that it cannot make the COBRA reimbursements under </w:t>
      </w:r>
      <w:r>
        <w:rPr>
          <w:rFonts w:ascii="Times New Roman" w:cs="Times New Roman" w:eastAsia="Times New Roman" w:hAnsi="Times New Roman"/>
          <w:sz w:val="20"/>
          <w:szCs w:val="20"/>
          <w:u w:val="single" w:color="auto"/>
          <w:color w:val="00171E"/>
        </w:rPr>
        <w:t>Section</w:t>
      </w:r>
      <w:r>
        <w:rPr>
          <w:rFonts w:ascii="Times New Roman" w:cs="Times New Roman" w:eastAsia="Times New Roman" w:hAnsi="Times New Roman"/>
          <w:sz w:val="20"/>
          <w:szCs w:val="20"/>
          <w:color w:val="00171E"/>
        </w:rPr>
        <w:t xml:space="preserve"> </w:t>
      </w:r>
      <w:r>
        <w:rPr>
          <w:rFonts w:ascii="Times New Roman" w:cs="Times New Roman" w:eastAsia="Times New Roman" w:hAnsi="Times New Roman"/>
          <w:sz w:val="20"/>
          <w:szCs w:val="20"/>
          <w:u w:val="single" w:color="auto"/>
          <w:color w:val="00171E"/>
        </w:rPr>
        <w:t>5(a)(vi)</w:t>
      </w:r>
      <w:r>
        <w:rPr>
          <w:rFonts w:ascii="Times New Roman" w:cs="Times New Roman" w:eastAsia="Times New Roman" w:hAnsi="Times New Roman"/>
          <w:sz w:val="20"/>
          <w:szCs w:val="20"/>
          <w:color w:val="00171E"/>
        </w:rPr>
        <w:t xml:space="preserve"> or </w:t>
      </w:r>
      <w:r>
        <w:rPr>
          <w:rFonts w:ascii="Times New Roman" w:cs="Times New Roman" w:eastAsia="Times New Roman" w:hAnsi="Times New Roman"/>
          <w:sz w:val="20"/>
          <w:szCs w:val="20"/>
          <w:u w:val="single" w:color="auto"/>
          <w:color w:val="00171E"/>
        </w:rPr>
        <w:t>Section 5(e)(ii)</w:t>
      </w:r>
      <w:r>
        <w:rPr>
          <w:rFonts w:ascii="Times New Roman" w:cs="Times New Roman" w:eastAsia="Times New Roman" w:hAnsi="Times New Roman"/>
          <w:sz w:val="20"/>
          <w:szCs w:val="20"/>
          <w:color w:val="00171E"/>
        </w:rPr>
        <w:t xml:space="preserve"> (the “</w:t>
      </w:r>
      <w:r>
        <w:rPr>
          <w:rFonts w:ascii="Times New Roman" w:cs="Times New Roman" w:eastAsia="Times New Roman" w:hAnsi="Times New Roman"/>
          <w:sz w:val="20"/>
          <w:szCs w:val="20"/>
          <w:u w:val="single" w:color="auto"/>
          <w:color w:val="00171E"/>
        </w:rPr>
        <w:t>COBRA Reimbursements</w:t>
      </w:r>
      <w:r>
        <w:rPr>
          <w:rFonts w:ascii="Times New Roman" w:cs="Times New Roman" w:eastAsia="Times New Roman" w:hAnsi="Times New Roman"/>
          <w:sz w:val="20"/>
          <w:szCs w:val="20"/>
          <w:color w:val="00171E"/>
        </w:rPr>
        <w:t>”) without potentially violating applicable law (including, without limitation, Section 2716 of the Public Health Service Act), the Company will in lieu thereof provide to Executive a taxable monthly payment, payable on the last day of a given month, in an amount equal to the monthly COBRA premium that the Executive would be required to pay to continue the Executive’s group health coverage in effect on the termination of employment date (which amount will be based on the premium for the first month of COBRA continuation coverage), which payments will be made regardless of whether the Executive elects COBRA continuation coverage and will commence on the month following the Executive’s termination of employment and will end on the earlier of (x) the date upon which the Executive obtains other employment or (y) the date the Company has paid an amount equal to 12 payments. For the avoidance of doubt, such taxable payments in lieu of COBRA Reimbursements (the “</w:t>
      </w:r>
      <w:r>
        <w:rPr>
          <w:rFonts w:ascii="Times New Roman" w:cs="Times New Roman" w:eastAsia="Times New Roman" w:hAnsi="Times New Roman"/>
          <w:sz w:val="20"/>
          <w:szCs w:val="20"/>
          <w:u w:val="single" w:color="auto"/>
          <w:color w:val="00171E"/>
        </w:rPr>
        <w:t>COBRA Substitute Payments</w:t>
      </w:r>
      <w:r>
        <w:rPr>
          <w:rFonts w:ascii="Times New Roman" w:cs="Times New Roman" w:eastAsia="Times New Roman" w:hAnsi="Times New Roman"/>
          <w:sz w:val="20"/>
          <w:szCs w:val="20"/>
          <w:color w:val="00171E"/>
        </w:rPr>
        <w:t>”) may be used for any purpose, including, but not limited to continuation coverage under COBRA, and will be subject to all applicable tax withholding. Notwithstanding anything to the contrary under this Agreement, if at any time the Company determines in its sole discretion that it cannot provide the COBRA Substitute Payments without violating applicable law (including, without limitation, Section 2716 of the Public Health Service Act), Executive will not receive the COBRA Substitute Payments or any further COBRA Reimbursements.</w:t>
      </w:r>
    </w:p>
    <w:p>
      <w:pPr>
        <w:spacing w:after="0" w:line="193" w:lineRule="exact"/>
        <w:rPr>
          <w:rFonts w:ascii="Times New Roman" w:cs="Times New Roman" w:eastAsia="Times New Roman" w:hAnsi="Times New Roman"/>
          <w:sz w:val="20"/>
          <w:szCs w:val="20"/>
          <w:u w:val="single" w:color="auto"/>
          <w:color w:val="00171E"/>
        </w:rPr>
      </w:pPr>
    </w:p>
    <w:p>
      <w:pPr>
        <w:ind w:left="1020" w:hanging="263"/>
        <w:spacing w:after="0"/>
        <w:tabs>
          <w:tab w:leader="none" w:pos="1020" w:val="left"/>
        </w:tabs>
        <w:numPr>
          <w:ilvl w:val="0"/>
          <w:numId w:val="125"/>
        </w:numPr>
        <w:rPr>
          <w:rFonts w:ascii="Times New Roman" w:cs="Times New Roman" w:eastAsia="Times New Roman" w:hAnsi="Times New Roman"/>
          <w:sz w:val="20"/>
          <w:szCs w:val="20"/>
          <w:b w:val="1"/>
          <w:bCs w:val="1"/>
          <w:color w:val="00171E"/>
        </w:rPr>
      </w:pPr>
      <w:r>
        <w:rPr>
          <w:rFonts w:ascii="Times New Roman" w:cs="Times New Roman" w:eastAsia="Times New Roman" w:hAnsi="Times New Roman"/>
          <w:sz w:val="20"/>
          <w:szCs w:val="20"/>
          <w:b w:val="1"/>
          <w:bCs w:val="1"/>
          <w:color w:val="00171E"/>
        </w:rPr>
        <w:t>Proprietary Information Obligations.</w:t>
      </w:r>
    </w:p>
    <w:p>
      <w:pPr>
        <w:spacing w:after="0" w:line="219" w:lineRule="exact"/>
        <w:rPr>
          <w:rFonts w:ascii="Times New Roman" w:cs="Times New Roman" w:eastAsia="Times New Roman" w:hAnsi="Times New Roman"/>
          <w:sz w:val="20"/>
          <w:szCs w:val="20"/>
          <w:b w:val="1"/>
          <w:bCs w:val="1"/>
          <w:color w:val="00171E"/>
        </w:rPr>
      </w:pPr>
    </w:p>
    <w:p>
      <w:pPr>
        <w:jc w:val="both"/>
        <w:ind w:firstLine="1505"/>
        <w:spacing w:after="0" w:line="244" w:lineRule="auto"/>
        <w:tabs>
          <w:tab w:leader="none" w:pos="2036" w:val="left"/>
        </w:tabs>
        <w:numPr>
          <w:ilvl w:val="1"/>
          <w:numId w:val="125"/>
        </w:numPr>
        <w:rPr>
          <w:rFonts w:ascii="Times New Roman" w:cs="Times New Roman" w:eastAsia="Times New Roman" w:hAnsi="Times New Roman"/>
          <w:sz w:val="20"/>
          <w:szCs w:val="20"/>
          <w:u w:val="single" w:color="auto"/>
          <w:color w:val="00171E"/>
        </w:rPr>
      </w:pPr>
      <w:r>
        <w:rPr>
          <w:rFonts w:ascii="Times New Roman" w:cs="Times New Roman" w:eastAsia="Times New Roman" w:hAnsi="Times New Roman"/>
          <w:sz w:val="20"/>
          <w:szCs w:val="20"/>
          <w:u w:val="single" w:color="auto"/>
          <w:color w:val="00171E"/>
        </w:rPr>
        <w:t>Proprietary Information and Confidentiality</w:t>
      </w:r>
      <w:r>
        <w:rPr>
          <w:rFonts w:ascii="Times New Roman" w:cs="Times New Roman" w:eastAsia="Times New Roman" w:hAnsi="Times New Roman"/>
          <w:sz w:val="20"/>
          <w:szCs w:val="20"/>
          <w:color w:val="00171E"/>
        </w:rPr>
        <w:t>. Both before and during the term of Executive’s employment, Executive will have access to and become acquainted with Company confidential and proprietary information (together “</w:t>
      </w:r>
      <w:r>
        <w:rPr>
          <w:rFonts w:ascii="Times New Roman" w:cs="Times New Roman" w:eastAsia="Times New Roman" w:hAnsi="Times New Roman"/>
          <w:sz w:val="20"/>
          <w:szCs w:val="20"/>
          <w:u w:val="single" w:color="auto"/>
          <w:color w:val="00171E"/>
        </w:rPr>
        <w:t>Proprietary</w:t>
      </w:r>
      <w:r>
        <w:rPr>
          <w:rFonts w:ascii="Times New Roman" w:cs="Times New Roman" w:eastAsia="Times New Roman" w:hAnsi="Times New Roman"/>
          <w:sz w:val="20"/>
          <w:szCs w:val="20"/>
          <w:color w:val="00171E"/>
        </w:rPr>
        <w:t xml:space="preserve"> </w:t>
      </w:r>
      <w:r>
        <w:rPr>
          <w:rFonts w:ascii="Times New Roman" w:cs="Times New Roman" w:eastAsia="Times New Roman" w:hAnsi="Times New Roman"/>
          <w:sz w:val="20"/>
          <w:szCs w:val="20"/>
          <w:u w:val="single" w:color="auto"/>
          <w:color w:val="00171E"/>
        </w:rPr>
        <w:t>Information</w:t>
      </w:r>
      <w:r>
        <w:rPr>
          <w:rFonts w:ascii="Times New Roman" w:cs="Times New Roman" w:eastAsia="Times New Roman" w:hAnsi="Times New Roman"/>
          <w:sz w:val="20"/>
          <w:szCs w:val="20"/>
          <w:color w:val="00171E"/>
        </w:rPr>
        <w:t>”), including but not limited to information or plans concerning the Company’s products and technologies; customer relationships; sales, marketing and financial operations and methods; trade secrets; formulae and secret developments and inventions; processes; and other compilations of information, records, and specifications. Executive will not disclose any of the Proprietary Information directly or indirectly, or use it in any way, either during his/her employment pursuant to this Agreement or at any time thereafter, except as reasonably required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192405</wp:posOffset>
            </wp:positionV>
            <wp:extent cx="7132320" cy="171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94"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6"/>
          <w:szCs w:val="16"/>
          <w:b w:val="1"/>
          <w:bCs w:val="1"/>
          <w:color w:val="auto"/>
        </w:rPr>
        <w:t>E</w:t>
      </w:r>
      <w:r>
        <w:rPr>
          <w:rFonts w:ascii="Times New Roman" w:cs="Times New Roman" w:eastAsia="Times New Roman" w:hAnsi="Times New Roman"/>
          <w:sz w:val="10"/>
          <w:szCs w:val="10"/>
          <w:b w:val="1"/>
          <w:bCs w:val="1"/>
          <w:color w:val="auto"/>
        </w:rPr>
        <w:t>xecutive</w:t>
      </w:r>
      <w:r>
        <w:rPr>
          <w:rFonts w:ascii="Times New Roman" w:cs="Times New Roman" w:eastAsia="Times New Roman" w:hAnsi="Times New Roman"/>
          <w:sz w:val="16"/>
          <w:szCs w:val="16"/>
          <w:b w:val="1"/>
          <w:bCs w:val="1"/>
          <w:color w:val="auto"/>
        </w:rPr>
        <w:t xml:space="preserve"> E</w:t>
      </w:r>
      <w:r>
        <w:rPr>
          <w:rFonts w:ascii="Times New Roman" w:cs="Times New Roman" w:eastAsia="Times New Roman" w:hAnsi="Times New Roman"/>
          <w:sz w:val="10"/>
          <w:szCs w:val="10"/>
          <w:b w:val="1"/>
          <w:bCs w:val="1"/>
          <w:color w:val="auto"/>
        </w:rPr>
        <w:t>mployment</w:t>
      </w:r>
      <w:r>
        <w:rPr>
          <w:rFonts w:ascii="Times New Roman" w:cs="Times New Roman" w:eastAsia="Times New Roman" w:hAnsi="Times New Roman"/>
          <w:sz w:val="16"/>
          <w:szCs w:val="16"/>
          <w:b w:val="1"/>
          <w:bCs w:val="1"/>
          <w:color w:val="auto"/>
        </w:rPr>
        <w:t xml:space="preserve"> A</w:t>
      </w:r>
      <w:r>
        <w:rPr>
          <w:rFonts w:ascii="Times New Roman" w:cs="Times New Roman" w:eastAsia="Times New Roman" w:hAnsi="Times New Roman"/>
          <w:sz w:val="10"/>
          <w:szCs w:val="10"/>
          <w:b w:val="1"/>
          <w:bCs w:val="1"/>
          <w:color w:val="auto"/>
        </w:rPr>
        <w:t>gmt</w:t>
      </w:r>
      <w:r>
        <w:rPr>
          <w:rFonts w:ascii="Times New Roman" w:cs="Times New Roman" w:eastAsia="Times New Roman" w:hAnsi="Times New Roman"/>
          <w:sz w:val="16"/>
          <w:szCs w:val="16"/>
          <w:b w:val="1"/>
          <w:bCs w:val="1"/>
          <w:color w:val="auto"/>
        </w:rPr>
        <w:t xml:space="preserve"> S</w:t>
      </w:r>
      <w:r>
        <w:rPr>
          <w:rFonts w:ascii="Times New Roman" w:cs="Times New Roman" w:eastAsia="Times New Roman" w:hAnsi="Times New Roman"/>
          <w:sz w:val="10"/>
          <w:szCs w:val="10"/>
          <w:b w:val="1"/>
          <w:bCs w:val="1"/>
          <w:color w:val="auto"/>
        </w:rPr>
        <w:t>td</w:t>
      </w:r>
      <w:r>
        <w:rPr>
          <w:rFonts w:ascii="Times New Roman" w:cs="Times New Roman" w:eastAsia="Times New Roman" w:hAnsi="Times New Roman"/>
          <w:sz w:val="16"/>
          <w:szCs w:val="16"/>
          <w:b w:val="1"/>
          <w:bCs w:val="1"/>
          <w:color w:val="auto"/>
        </w:rPr>
        <w:t xml:space="preserve"> 11.1.24</w:t>
      </w:r>
      <w:r>
        <w:rPr>
          <w:sz w:val="20"/>
          <w:szCs w:val="20"/>
          <w:color w:val="auto"/>
        </w:rPr>
        <w:tab/>
      </w:r>
      <w:r>
        <w:rPr>
          <w:rFonts w:ascii="Times New Roman" w:cs="Times New Roman" w:eastAsia="Times New Roman" w:hAnsi="Times New Roman"/>
          <w:sz w:val="16"/>
          <w:szCs w:val="16"/>
          <w:b w:val="1"/>
          <w:bCs w:val="1"/>
          <w:color w:val="auto"/>
        </w:rPr>
        <w:t>A</w:t>
      </w:r>
      <w:r>
        <w:rPr>
          <w:rFonts w:ascii="Times New Roman" w:cs="Times New Roman" w:eastAsia="Times New Roman" w:hAnsi="Times New Roman"/>
          <w:sz w:val="10"/>
          <w:szCs w:val="10"/>
          <w:b w:val="1"/>
          <w:bCs w:val="1"/>
          <w:color w:val="auto"/>
        </w:rPr>
        <w:t>ccuray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8" w:name="page129"/>
    <w:bookmarkEnd w:id="128"/>
    <w:p>
      <w:pPr>
        <w:ind w:left="6560"/>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10</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NUMPAGES \* Arabic \* MERGEFORMAT 31</w:t>
      </w:r>
    </w:p>
    <w:p>
      <w:pPr>
        <w:spacing w:after="0" w:line="200" w:lineRule="exact"/>
        <w:rPr>
          <w:sz w:val="20"/>
          <w:szCs w:val="20"/>
          <w:color w:val="auto"/>
        </w:rPr>
      </w:pPr>
    </w:p>
    <w:p>
      <w:pPr>
        <w:spacing w:after="0" w:line="24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00171E"/>
        </w:rPr>
        <w:t>course of his/her employment with the Company or as authorized in writing by the Company. Notwithstanding the foregoing, Proprietary Information does not include information that is otherwise publicly known or available, provided it has not become public as a result of a breach of this Agreement or any other agreement Executive has to keep information confidential. Proprietary Information does not include general knowledge, skill, and experience Executive acquires during the course of or in connection with Executive’s employment with the Company or a former employer. It is not a breach of this Agreement for Executive to disclose Proprietary Information (i) pursuant to an order of a court or other governmental or legal body or (ii) in connection with Protected Activity (as defined below). Executive understands that nothing in this Agreement shall in any way limit or prohibit Executive from engaging in any Protected Activity. For purposes of this Agreement, “</w:t>
      </w:r>
      <w:r>
        <w:rPr>
          <w:rFonts w:ascii="Times New Roman" w:cs="Times New Roman" w:eastAsia="Times New Roman" w:hAnsi="Times New Roman"/>
          <w:sz w:val="20"/>
          <w:szCs w:val="20"/>
          <w:u w:val="single" w:color="auto"/>
          <w:color w:val="00171E"/>
        </w:rPr>
        <w:t>Protected Activity</w:t>
      </w:r>
      <w:r>
        <w:rPr>
          <w:rFonts w:ascii="Times New Roman" w:cs="Times New Roman" w:eastAsia="Times New Roman" w:hAnsi="Times New Roman"/>
          <w:sz w:val="20"/>
          <w:szCs w:val="20"/>
          <w:color w:val="00171E"/>
        </w:rPr>
        <w:t>” includes filing and/or pursuing a charge or complaint with, or otherwise communicating or cooperating with or participating in any investigation or proceeding that may be conducted by, any federal, state or local government agency or commission, including the Securities and Exchange Commission, the Equal Employment Opportunity Commission, the Occupational Safety and Health Administration, and the National Labor Relations Board (“</w:t>
      </w:r>
      <w:r>
        <w:rPr>
          <w:rFonts w:ascii="Times New Roman" w:cs="Times New Roman" w:eastAsia="Times New Roman" w:hAnsi="Times New Roman"/>
          <w:sz w:val="20"/>
          <w:szCs w:val="20"/>
          <w:u w:val="single" w:color="auto"/>
          <w:color w:val="00171E"/>
        </w:rPr>
        <w:t>Government Agencies</w:t>
      </w:r>
      <w:r>
        <w:rPr>
          <w:rFonts w:ascii="Times New Roman" w:cs="Times New Roman" w:eastAsia="Times New Roman" w:hAnsi="Times New Roman"/>
          <w:sz w:val="20"/>
          <w:szCs w:val="20"/>
          <w:color w:val="00171E"/>
        </w:rPr>
        <w:t>”), including disclosing documents or other information as permitted by law. In addition, nothing in this Agreement, including its definition of Proprietary Information, prevents Executive from discussing or disclosing information about unlawful acts in the workplace, such as harassment or discrimination or any other conduct that Executive has reason to believe is unlawful. Notwithstanding the preceding, Executive agrees to take all reasonable precautions to prevent any unauthorized use or disclosure of any Company trade secrets, proprietary information, or confidential information that does not involve unlawful acts in the workplace or the activity otherwise protected herein. Executive understands that Executive is not permitted to disclose the Company’s attorney-client privileged communications or attorney work product. In addition, I hereby acknowledge that the Company has provided me with notice in compliance with the Defend Trade Secrets Act of 2016 regarding immunity from liability for limited disclosures of trade secrets. The full text of the notice is attached in Exhibit A. Finally, Executive understands that nothing in this Agreement, including its definition of Proprietary Information, (i) limits employees’ rights to discuss or disclose wages, benefits, or terms and conditions of employment as protected by applicable law, including any rights under Section 7 of the National Labor Relations Act, or (ii) otherwise impairs employees from assisting other Company employees and/or former employees in the exercise of their rights under Section 7 of the National Labor Relations Act.</w:t>
      </w:r>
    </w:p>
    <w:p>
      <w:pPr>
        <w:spacing w:after="0" w:line="205" w:lineRule="exact"/>
        <w:rPr>
          <w:sz w:val="20"/>
          <w:szCs w:val="20"/>
          <w:color w:val="auto"/>
        </w:rPr>
      </w:pPr>
    </w:p>
    <w:p>
      <w:pPr>
        <w:ind w:left="2040" w:hanging="535"/>
        <w:spacing w:after="0"/>
        <w:tabs>
          <w:tab w:leader="none" w:pos="2040" w:val="left"/>
        </w:tabs>
        <w:numPr>
          <w:ilvl w:val="0"/>
          <w:numId w:val="126"/>
        </w:numPr>
        <w:rPr>
          <w:rFonts w:ascii="Times New Roman" w:cs="Times New Roman" w:eastAsia="Times New Roman" w:hAnsi="Times New Roman"/>
          <w:sz w:val="20"/>
          <w:szCs w:val="20"/>
          <w:u w:val="single" w:color="auto"/>
          <w:color w:val="00171E"/>
        </w:rPr>
      </w:pPr>
      <w:r>
        <w:rPr>
          <w:rFonts w:ascii="Times New Roman" w:cs="Times New Roman" w:eastAsia="Times New Roman" w:hAnsi="Times New Roman"/>
          <w:sz w:val="20"/>
          <w:szCs w:val="20"/>
          <w:u w:val="single" w:color="auto"/>
          <w:color w:val="00171E"/>
        </w:rPr>
        <w:t>Inventions Agreement and Assignment</w:t>
      </w:r>
      <w:r>
        <w:rPr>
          <w:rFonts w:ascii="Times New Roman" w:cs="Times New Roman" w:eastAsia="Times New Roman" w:hAnsi="Times New Roman"/>
          <w:sz w:val="20"/>
          <w:szCs w:val="20"/>
          <w:color w:val="00171E"/>
        </w:rPr>
        <w:t>.</w:t>
      </w:r>
    </w:p>
    <w:p>
      <w:pPr>
        <w:spacing w:after="0" w:line="215" w:lineRule="exact"/>
        <w:rPr>
          <w:rFonts w:ascii="Times New Roman" w:cs="Times New Roman" w:eastAsia="Times New Roman" w:hAnsi="Times New Roman"/>
          <w:sz w:val="20"/>
          <w:szCs w:val="20"/>
          <w:u w:val="single" w:color="auto"/>
          <w:color w:val="00171E"/>
        </w:rPr>
      </w:pPr>
    </w:p>
    <w:p>
      <w:pPr>
        <w:jc w:val="both"/>
        <w:ind w:firstLine="2254"/>
        <w:spacing w:after="0" w:line="245" w:lineRule="auto"/>
        <w:tabs>
          <w:tab w:leader="none" w:pos="2546" w:val="left"/>
        </w:tabs>
        <w:numPr>
          <w:ilvl w:val="1"/>
          <w:numId w:val="126"/>
        </w:numPr>
        <w:rPr>
          <w:rFonts w:ascii="Times New Roman" w:cs="Times New Roman" w:eastAsia="Times New Roman" w:hAnsi="Times New Roman"/>
          <w:sz w:val="20"/>
          <w:szCs w:val="20"/>
          <w:color w:val="00171E"/>
        </w:rPr>
      </w:pPr>
      <w:r>
        <w:rPr>
          <w:rFonts w:ascii="Times New Roman" w:cs="Times New Roman" w:eastAsia="Times New Roman" w:hAnsi="Times New Roman"/>
          <w:sz w:val="20"/>
          <w:szCs w:val="20"/>
          <w:color w:val="00171E"/>
        </w:rPr>
        <w:t>Executive hereby agrees to disclose promptly to the Company (or any persons designated by it) all developments, designs, creations, improvements, original works of authorship, formulas, processes, know-how, techniques and/or inventions (collectively, the “</w:t>
      </w:r>
      <w:r>
        <w:rPr>
          <w:rFonts w:ascii="Times New Roman" w:cs="Times New Roman" w:eastAsia="Times New Roman" w:hAnsi="Times New Roman"/>
          <w:sz w:val="20"/>
          <w:szCs w:val="20"/>
          <w:u w:val="single" w:color="auto"/>
          <w:color w:val="00171E"/>
        </w:rPr>
        <w:t>Inventions</w:t>
      </w:r>
      <w:r>
        <w:rPr>
          <w:rFonts w:ascii="Times New Roman" w:cs="Times New Roman" w:eastAsia="Times New Roman" w:hAnsi="Times New Roman"/>
          <w:sz w:val="20"/>
          <w:szCs w:val="20"/>
          <w:color w:val="00171E"/>
        </w:rPr>
        <w:t>”) (A) which are made or conceived or reduced to practice by Executive, either alone or jointly with others, in performing his/her duties during the period of Executive’s employment by the Company, that relate to or are useful in the business of the Company; or (B) which result from tasks assigned to Executive by the Company, or from Executive’s use of the premises or other resources owned, leased or contracted by the Company.</w:t>
      </w:r>
    </w:p>
    <w:p>
      <w:pPr>
        <w:spacing w:after="0" w:line="184" w:lineRule="exact"/>
        <w:rPr>
          <w:rFonts w:ascii="Times New Roman" w:cs="Times New Roman" w:eastAsia="Times New Roman" w:hAnsi="Times New Roman"/>
          <w:sz w:val="20"/>
          <w:szCs w:val="20"/>
          <w:color w:val="00171E"/>
        </w:rPr>
      </w:pPr>
    </w:p>
    <w:p>
      <w:pPr>
        <w:jc w:val="both"/>
        <w:ind w:firstLine="2254"/>
        <w:spacing w:after="0" w:line="243" w:lineRule="auto"/>
        <w:tabs>
          <w:tab w:leader="none" w:pos="2546" w:val="left"/>
        </w:tabs>
        <w:numPr>
          <w:ilvl w:val="1"/>
          <w:numId w:val="126"/>
        </w:numPr>
        <w:rPr>
          <w:rFonts w:ascii="Times New Roman" w:cs="Times New Roman" w:eastAsia="Times New Roman" w:hAnsi="Times New Roman"/>
          <w:sz w:val="20"/>
          <w:szCs w:val="20"/>
          <w:color w:val="00171E"/>
        </w:rPr>
      </w:pPr>
      <w:r>
        <w:rPr>
          <w:rFonts w:ascii="Times New Roman" w:cs="Times New Roman" w:eastAsia="Times New Roman" w:hAnsi="Times New Roman"/>
          <w:sz w:val="20"/>
          <w:szCs w:val="20"/>
          <w:color w:val="00171E"/>
        </w:rPr>
        <w:t>Executive agrees that all such Inventions which the Company in its discretion determines to be related to or useful in its business or its research or development, or which result from work performed by Executive for the Company, will be the sole and exclusive property of the Company and its assigns, and the Company and its assigns will have the right to use and/or to apply for patents, copyrights or other statutory or common law protections for such Inventions in any and all countries. Executive further agrees to assist the Company in every reasonable way (but at the Company’s expense) to obtain and from time to time enforce patents, copyrights and other statutory or common law protections for such Inventions in any and all countries. To that end, Executive will execute all documents for use in applying for and obtaining such patents, copyrights and other statutory or common law protections therefor and enforcing the same, as the Company may desire, together with any assignments thereof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171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98"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6"/>
          <w:szCs w:val="16"/>
          <w:b w:val="1"/>
          <w:bCs w:val="1"/>
          <w:color w:val="auto"/>
        </w:rPr>
        <w:t>E</w:t>
      </w:r>
      <w:r>
        <w:rPr>
          <w:rFonts w:ascii="Times New Roman" w:cs="Times New Roman" w:eastAsia="Times New Roman" w:hAnsi="Times New Roman"/>
          <w:sz w:val="10"/>
          <w:szCs w:val="10"/>
          <w:b w:val="1"/>
          <w:bCs w:val="1"/>
          <w:color w:val="auto"/>
        </w:rPr>
        <w:t>xecutive</w:t>
      </w:r>
      <w:r>
        <w:rPr>
          <w:rFonts w:ascii="Times New Roman" w:cs="Times New Roman" w:eastAsia="Times New Roman" w:hAnsi="Times New Roman"/>
          <w:sz w:val="16"/>
          <w:szCs w:val="16"/>
          <w:b w:val="1"/>
          <w:bCs w:val="1"/>
          <w:color w:val="auto"/>
        </w:rPr>
        <w:t xml:space="preserve"> E</w:t>
      </w:r>
      <w:r>
        <w:rPr>
          <w:rFonts w:ascii="Times New Roman" w:cs="Times New Roman" w:eastAsia="Times New Roman" w:hAnsi="Times New Roman"/>
          <w:sz w:val="10"/>
          <w:szCs w:val="10"/>
          <w:b w:val="1"/>
          <w:bCs w:val="1"/>
          <w:color w:val="auto"/>
        </w:rPr>
        <w:t>mployment</w:t>
      </w:r>
      <w:r>
        <w:rPr>
          <w:rFonts w:ascii="Times New Roman" w:cs="Times New Roman" w:eastAsia="Times New Roman" w:hAnsi="Times New Roman"/>
          <w:sz w:val="16"/>
          <w:szCs w:val="16"/>
          <w:b w:val="1"/>
          <w:bCs w:val="1"/>
          <w:color w:val="auto"/>
        </w:rPr>
        <w:t xml:space="preserve"> A</w:t>
      </w:r>
      <w:r>
        <w:rPr>
          <w:rFonts w:ascii="Times New Roman" w:cs="Times New Roman" w:eastAsia="Times New Roman" w:hAnsi="Times New Roman"/>
          <w:sz w:val="10"/>
          <w:szCs w:val="10"/>
          <w:b w:val="1"/>
          <w:bCs w:val="1"/>
          <w:color w:val="auto"/>
        </w:rPr>
        <w:t>gmt</w:t>
      </w:r>
      <w:r>
        <w:rPr>
          <w:rFonts w:ascii="Times New Roman" w:cs="Times New Roman" w:eastAsia="Times New Roman" w:hAnsi="Times New Roman"/>
          <w:sz w:val="16"/>
          <w:szCs w:val="16"/>
          <w:b w:val="1"/>
          <w:bCs w:val="1"/>
          <w:color w:val="auto"/>
        </w:rPr>
        <w:t xml:space="preserve"> S</w:t>
      </w:r>
      <w:r>
        <w:rPr>
          <w:rFonts w:ascii="Times New Roman" w:cs="Times New Roman" w:eastAsia="Times New Roman" w:hAnsi="Times New Roman"/>
          <w:sz w:val="10"/>
          <w:szCs w:val="10"/>
          <w:b w:val="1"/>
          <w:bCs w:val="1"/>
          <w:color w:val="auto"/>
        </w:rPr>
        <w:t>td</w:t>
      </w:r>
      <w:r>
        <w:rPr>
          <w:rFonts w:ascii="Times New Roman" w:cs="Times New Roman" w:eastAsia="Times New Roman" w:hAnsi="Times New Roman"/>
          <w:sz w:val="16"/>
          <w:szCs w:val="16"/>
          <w:b w:val="1"/>
          <w:bCs w:val="1"/>
          <w:color w:val="auto"/>
        </w:rPr>
        <w:t xml:space="preserve"> 11.1.24</w:t>
      </w:r>
      <w:r>
        <w:rPr>
          <w:sz w:val="20"/>
          <w:szCs w:val="20"/>
          <w:color w:val="auto"/>
        </w:rPr>
        <w:tab/>
      </w:r>
      <w:r>
        <w:rPr>
          <w:rFonts w:ascii="Times New Roman" w:cs="Times New Roman" w:eastAsia="Times New Roman" w:hAnsi="Times New Roman"/>
          <w:sz w:val="16"/>
          <w:szCs w:val="16"/>
          <w:b w:val="1"/>
          <w:bCs w:val="1"/>
          <w:color w:val="auto"/>
        </w:rPr>
        <w:t>A</w:t>
      </w:r>
      <w:r>
        <w:rPr>
          <w:rFonts w:ascii="Times New Roman" w:cs="Times New Roman" w:eastAsia="Times New Roman" w:hAnsi="Times New Roman"/>
          <w:sz w:val="10"/>
          <w:szCs w:val="10"/>
          <w:b w:val="1"/>
          <w:bCs w:val="1"/>
          <w:color w:val="auto"/>
        </w:rPr>
        <w:t>ccuray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11</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NUMPAGES \* Arabic \* MERGEFORMAT 31</w:t>
      </w:r>
    </w:p>
    <w:p>
      <w:pPr>
        <w:spacing w:after="0" w:line="200" w:lineRule="exact"/>
        <w:rPr>
          <w:sz w:val="20"/>
          <w:szCs w:val="20"/>
          <w:color w:val="auto"/>
        </w:rPr>
      </w:pPr>
    </w:p>
    <w:p>
      <w:pPr>
        <w:spacing w:after="0" w:line="24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00171E"/>
        </w:rPr>
        <w:t xml:space="preserve">Company or to persons or entities designated by the Company. Should the Company be unable to secure Executive’s signature on any document necessary to apply for, prosecute, obtain, or enforce any patent, copyright or other right or protection relating to any Invention, whether due to his/her mental or physical incapacity or any other cause, Executive hereby irrevocably designates and appoints the Company and each of its duly authorized officers and agents as Executive’s agent and attorney-in-fact, to act for and in his/her behalf and stead, to execute and file any such document, and to do all other lawfully permitted acts to further the prosecution, issuance, and enforcement of patents, copyrights or other rights or protections with the same force and effect as if executed and delivered by Executive. Executive’s obligations under this </w:t>
      </w:r>
      <w:r>
        <w:rPr>
          <w:rFonts w:ascii="Times New Roman" w:cs="Times New Roman" w:eastAsia="Times New Roman" w:hAnsi="Times New Roman"/>
          <w:sz w:val="20"/>
          <w:szCs w:val="20"/>
          <w:u w:val="single" w:color="auto"/>
          <w:color w:val="00171E"/>
        </w:rPr>
        <w:t>Section 6(b)(ii)</w:t>
      </w:r>
      <w:r>
        <w:rPr>
          <w:rFonts w:ascii="Times New Roman" w:cs="Times New Roman" w:eastAsia="Times New Roman" w:hAnsi="Times New Roman"/>
          <w:sz w:val="20"/>
          <w:szCs w:val="20"/>
          <w:color w:val="00171E"/>
        </w:rPr>
        <w:t xml:space="preserve"> will continue beyond the termination of Executive’s employment with the Company, but the Company will compensate Executive at a reasonable rate after such termination for time actually spent by Executive at the Company’s request in providing such assistance.</w:t>
      </w:r>
    </w:p>
    <w:p>
      <w:pPr>
        <w:spacing w:after="0" w:line="186" w:lineRule="exact"/>
        <w:rPr>
          <w:sz w:val="20"/>
          <w:szCs w:val="20"/>
          <w:color w:val="auto"/>
        </w:rPr>
      </w:pPr>
    </w:p>
    <w:p>
      <w:pPr>
        <w:jc w:val="both"/>
        <w:ind w:firstLine="2246"/>
        <w:spacing w:after="0" w:line="254" w:lineRule="auto"/>
        <w:rPr>
          <w:sz w:val="20"/>
          <w:szCs w:val="20"/>
          <w:color w:val="auto"/>
        </w:rPr>
      </w:pPr>
      <w:r>
        <w:rPr>
          <w:rFonts w:ascii="Times New Roman" w:cs="Times New Roman" w:eastAsia="Times New Roman" w:hAnsi="Times New Roman"/>
          <w:sz w:val="20"/>
          <w:szCs w:val="20"/>
          <w:color w:val="00171E"/>
        </w:rPr>
        <w:t>(iii)Executive hereby acknowledges that all original works of authorship which are made by Executive (solely or jointly with others) within the scope of Executive’s employment which are protectable by copyright are “works for hire,” as that term is defined in the United States Copyright Act (17 USCA, Section 101).</w:t>
      </w:r>
    </w:p>
    <w:p>
      <w:pPr>
        <w:spacing w:after="0" w:line="17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00171E"/>
        </w:rPr>
        <w:t>(iv)Any provision in this Agreement requiring Executive to assign Executive’s rights in any Invention to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171E"/>
        </w:rPr>
        <w:t>Company will not apply to any invention that is exempt under the provisions of California Labor Code section 2870, which provides:</w:t>
      </w:r>
    </w:p>
    <w:p>
      <w:pPr>
        <w:spacing w:after="0" w:line="86" w:lineRule="exact"/>
        <w:rPr>
          <w:sz w:val="20"/>
          <w:szCs w:val="20"/>
          <w:color w:val="auto"/>
        </w:rPr>
      </w:pPr>
    </w:p>
    <w:p>
      <w:pPr>
        <w:jc w:val="both"/>
        <w:ind w:left="1500" w:right="1500"/>
        <w:spacing w:after="0" w:line="242" w:lineRule="auto"/>
        <w:rPr>
          <w:sz w:val="20"/>
          <w:szCs w:val="20"/>
          <w:color w:val="auto"/>
        </w:rPr>
      </w:pPr>
      <w:r>
        <w:rPr>
          <w:rFonts w:ascii="Times New Roman" w:cs="Times New Roman" w:eastAsia="Times New Roman" w:hAnsi="Times New Roman"/>
          <w:sz w:val="20"/>
          <w:szCs w:val="20"/>
          <w:color w:val="00171E"/>
        </w:rPr>
        <w:t>“(a) Any provision in an employment agreement which provides that an employee shall assign, or offer to assign, any of his or her rights in an invention to his or her employer shall not apply to an invention that the employee developed entirely on his or her own time without using the employer’s equipment, supplies, facilities, or trade secret information except for those inventions that either: (1) relate at the time of conception or reduction to practice of the invention to the employer’s business, or actual or demonstrably anticipated research or development of the employer; or (2) result from any work performed by the employee for the employer. (b) To the extent a provision in an employment agreement purports to require an employee to assign an invention otherwise excluded from being required to be assigned under subdivision (a), the provision is against the public policy of this state and is unenforceable.”</w:t>
      </w:r>
    </w:p>
    <w:p>
      <w:pPr>
        <w:spacing w:after="0" w:line="84" w:lineRule="exact"/>
        <w:rPr>
          <w:sz w:val="20"/>
          <w:szCs w:val="20"/>
          <w:color w:val="auto"/>
        </w:rPr>
      </w:pPr>
    </w:p>
    <w:p>
      <w:pPr>
        <w:jc w:val="both"/>
        <w:ind w:firstLine="1505"/>
        <w:spacing w:after="0" w:line="242" w:lineRule="auto"/>
        <w:tabs>
          <w:tab w:leader="none" w:pos="2036" w:val="left"/>
        </w:tabs>
        <w:numPr>
          <w:ilvl w:val="0"/>
          <w:numId w:val="127"/>
        </w:numPr>
        <w:rPr>
          <w:rFonts w:ascii="Times New Roman" w:cs="Times New Roman" w:eastAsia="Times New Roman" w:hAnsi="Times New Roman"/>
          <w:sz w:val="20"/>
          <w:szCs w:val="20"/>
          <w:u w:val="single" w:color="auto"/>
          <w:color w:val="00171E"/>
        </w:rPr>
      </w:pPr>
      <w:r>
        <w:rPr>
          <w:rFonts w:ascii="Times New Roman" w:cs="Times New Roman" w:eastAsia="Times New Roman" w:hAnsi="Times New Roman"/>
          <w:sz w:val="20"/>
          <w:szCs w:val="20"/>
          <w:u w:val="single" w:color="auto"/>
          <w:color w:val="00171E"/>
        </w:rPr>
        <w:t>Non-Solicitation of Customers and Other Business Partners</w:t>
      </w:r>
      <w:r>
        <w:rPr>
          <w:rFonts w:ascii="Times New Roman" w:cs="Times New Roman" w:eastAsia="Times New Roman" w:hAnsi="Times New Roman"/>
          <w:sz w:val="20"/>
          <w:szCs w:val="20"/>
          <w:color w:val="00171E"/>
        </w:rPr>
        <w:t xml:space="preserve">. Executive recognizes that by virtue of his/her employment with the Company, he/she will be introduced to and involved in the solicitation and servicing of existing customers and other business partners of the Company and new customers and business partners obtained by the Company during his/her employment. Executive understands and agrees that all efforts expended in soliciting and servicing such customers and business partners shall be for the benefit of the Company. Executive further agrees that during his/her employment with the Company he/she will not engage in any conduct which could in any way jeopardize or disturb any of the customer and business partner relationships of the Company. In addition, to the extent permitted under applicable law, Executive agrees that, for a period beginning on the Effective Date and ending twelve (12) months after termination of Executive’s employment with the Company, regardless of the reason for such termination, Executive </w:t>
      </w:r>
      <w:r>
        <w:rPr>
          <w:rFonts w:ascii="Times New Roman" w:cs="Times New Roman" w:eastAsia="Times New Roman" w:hAnsi="Times New Roman"/>
          <w:sz w:val="20"/>
          <w:szCs w:val="20"/>
          <w:b w:val="1"/>
          <w:bCs w:val="1"/>
          <w:color w:val="00171E"/>
        </w:rPr>
        <w:t>shall not use any</w:t>
      </w:r>
      <w:r>
        <w:rPr>
          <w:rFonts w:ascii="Times New Roman" w:cs="Times New Roman" w:eastAsia="Times New Roman" w:hAnsi="Times New Roman"/>
          <w:sz w:val="20"/>
          <w:szCs w:val="20"/>
          <w:color w:val="00171E"/>
        </w:rPr>
        <w:t xml:space="preserve"> </w:t>
      </w:r>
      <w:r>
        <w:rPr>
          <w:rFonts w:ascii="Times New Roman" w:cs="Times New Roman" w:eastAsia="Times New Roman" w:hAnsi="Times New Roman"/>
          <w:sz w:val="20"/>
          <w:szCs w:val="20"/>
          <w:b w:val="1"/>
          <w:bCs w:val="1"/>
          <w:color w:val="00171E"/>
        </w:rPr>
        <w:t>Proprietary Information to</w:t>
      </w:r>
      <w:r>
        <w:rPr>
          <w:rFonts w:ascii="Times New Roman" w:cs="Times New Roman" w:eastAsia="Times New Roman" w:hAnsi="Times New Roman"/>
          <w:sz w:val="20"/>
          <w:szCs w:val="20"/>
          <w:color w:val="00171E"/>
        </w:rPr>
        <w:t>, directly or indirectly, solicit, direct, interfere with, or entice away from the Company any existing customer,</w:t>
      </w:r>
      <w:r>
        <w:rPr>
          <w:rFonts w:ascii="Times New Roman" w:cs="Times New Roman" w:eastAsia="Times New Roman" w:hAnsi="Times New Roman"/>
          <w:sz w:val="20"/>
          <w:szCs w:val="20"/>
          <w:b w:val="1"/>
          <w:bCs w:val="1"/>
          <w:color w:val="00171E"/>
        </w:rPr>
        <w:t xml:space="preserve"> </w:t>
      </w:r>
      <w:r>
        <w:rPr>
          <w:rFonts w:ascii="Times New Roman" w:cs="Times New Roman" w:eastAsia="Times New Roman" w:hAnsi="Times New Roman"/>
          <w:sz w:val="20"/>
          <w:szCs w:val="20"/>
          <w:color w:val="00171E"/>
        </w:rPr>
        <w:t>licensee, licensor, vendor, contractor or distributor of the Company or for the customer or other business partner to expand its business with a competitor, without the prior written consent of the Company.</w:t>
      </w:r>
    </w:p>
    <w:p>
      <w:pPr>
        <w:spacing w:after="0" w:line="189" w:lineRule="exact"/>
        <w:rPr>
          <w:rFonts w:ascii="Times New Roman" w:cs="Times New Roman" w:eastAsia="Times New Roman" w:hAnsi="Times New Roman"/>
          <w:sz w:val="20"/>
          <w:szCs w:val="20"/>
          <w:u w:val="single" w:color="auto"/>
          <w:color w:val="00171E"/>
        </w:rPr>
      </w:pPr>
    </w:p>
    <w:p>
      <w:pPr>
        <w:ind w:firstLine="1505"/>
        <w:spacing w:after="0" w:line="269" w:lineRule="auto"/>
        <w:tabs>
          <w:tab w:leader="none" w:pos="2036" w:val="left"/>
        </w:tabs>
        <w:numPr>
          <w:ilvl w:val="0"/>
          <w:numId w:val="127"/>
        </w:numPr>
        <w:rPr>
          <w:rFonts w:ascii="Times New Roman" w:cs="Times New Roman" w:eastAsia="Times New Roman" w:hAnsi="Times New Roman"/>
          <w:sz w:val="20"/>
          <w:szCs w:val="20"/>
          <w:u w:val="single" w:color="auto"/>
          <w:color w:val="00171E"/>
        </w:rPr>
      </w:pPr>
      <w:r>
        <w:rPr>
          <w:rFonts w:ascii="Times New Roman" w:cs="Times New Roman" w:eastAsia="Times New Roman" w:hAnsi="Times New Roman"/>
          <w:sz w:val="20"/>
          <w:szCs w:val="20"/>
          <w:u w:val="single" w:color="auto"/>
          <w:color w:val="00171E"/>
        </w:rPr>
        <w:t>Non-Solicitation of Employees</w:t>
      </w:r>
      <w:r>
        <w:rPr>
          <w:rFonts w:ascii="Times New Roman" w:cs="Times New Roman" w:eastAsia="Times New Roman" w:hAnsi="Times New Roman"/>
          <w:sz w:val="20"/>
          <w:szCs w:val="20"/>
          <w:color w:val="00171E"/>
        </w:rPr>
        <w:t>. Executive recognizes the substantial expenditure of time and effort which the Company devotes to the recruitment, hiring, orientation, training and retention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171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8"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6"/>
          <w:szCs w:val="16"/>
          <w:b w:val="1"/>
          <w:bCs w:val="1"/>
          <w:color w:val="auto"/>
        </w:rPr>
        <w:t>E</w:t>
      </w:r>
      <w:r>
        <w:rPr>
          <w:rFonts w:ascii="Times New Roman" w:cs="Times New Roman" w:eastAsia="Times New Roman" w:hAnsi="Times New Roman"/>
          <w:sz w:val="10"/>
          <w:szCs w:val="10"/>
          <w:b w:val="1"/>
          <w:bCs w:val="1"/>
          <w:color w:val="auto"/>
        </w:rPr>
        <w:t>xecutive</w:t>
      </w:r>
      <w:r>
        <w:rPr>
          <w:rFonts w:ascii="Times New Roman" w:cs="Times New Roman" w:eastAsia="Times New Roman" w:hAnsi="Times New Roman"/>
          <w:sz w:val="16"/>
          <w:szCs w:val="16"/>
          <w:b w:val="1"/>
          <w:bCs w:val="1"/>
          <w:color w:val="auto"/>
        </w:rPr>
        <w:t xml:space="preserve"> E</w:t>
      </w:r>
      <w:r>
        <w:rPr>
          <w:rFonts w:ascii="Times New Roman" w:cs="Times New Roman" w:eastAsia="Times New Roman" w:hAnsi="Times New Roman"/>
          <w:sz w:val="10"/>
          <w:szCs w:val="10"/>
          <w:b w:val="1"/>
          <w:bCs w:val="1"/>
          <w:color w:val="auto"/>
        </w:rPr>
        <w:t>mployment</w:t>
      </w:r>
      <w:r>
        <w:rPr>
          <w:rFonts w:ascii="Times New Roman" w:cs="Times New Roman" w:eastAsia="Times New Roman" w:hAnsi="Times New Roman"/>
          <w:sz w:val="16"/>
          <w:szCs w:val="16"/>
          <w:b w:val="1"/>
          <w:bCs w:val="1"/>
          <w:color w:val="auto"/>
        </w:rPr>
        <w:t xml:space="preserve"> A</w:t>
      </w:r>
      <w:r>
        <w:rPr>
          <w:rFonts w:ascii="Times New Roman" w:cs="Times New Roman" w:eastAsia="Times New Roman" w:hAnsi="Times New Roman"/>
          <w:sz w:val="10"/>
          <w:szCs w:val="10"/>
          <w:b w:val="1"/>
          <w:bCs w:val="1"/>
          <w:color w:val="auto"/>
        </w:rPr>
        <w:t>gmt</w:t>
      </w:r>
      <w:r>
        <w:rPr>
          <w:rFonts w:ascii="Times New Roman" w:cs="Times New Roman" w:eastAsia="Times New Roman" w:hAnsi="Times New Roman"/>
          <w:sz w:val="16"/>
          <w:szCs w:val="16"/>
          <w:b w:val="1"/>
          <w:bCs w:val="1"/>
          <w:color w:val="auto"/>
        </w:rPr>
        <w:t xml:space="preserve"> S</w:t>
      </w:r>
      <w:r>
        <w:rPr>
          <w:rFonts w:ascii="Times New Roman" w:cs="Times New Roman" w:eastAsia="Times New Roman" w:hAnsi="Times New Roman"/>
          <w:sz w:val="10"/>
          <w:szCs w:val="10"/>
          <w:b w:val="1"/>
          <w:bCs w:val="1"/>
          <w:color w:val="auto"/>
        </w:rPr>
        <w:t>td</w:t>
      </w:r>
      <w:r>
        <w:rPr>
          <w:rFonts w:ascii="Times New Roman" w:cs="Times New Roman" w:eastAsia="Times New Roman" w:hAnsi="Times New Roman"/>
          <w:sz w:val="16"/>
          <w:szCs w:val="16"/>
          <w:b w:val="1"/>
          <w:bCs w:val="1"/>
          <w:color w:val="auto"/>
        </w:rPr>
        <w:t xml:space="preserve"> 11.1.24</w:t>
      </w:r>
      <w:r>
        <w:rPr>
          <w:sz w:val="20"/>
          <w:szCs w:val="20"/>
          <w:color w:val="auto"/>
        </w:rPr>
        <w:tab/>
      </w:r>
      <w:r>
        <w:rPr>
          <w:rFonts w:ascii="Times New Roman" w:cs="Times New Roman" w:eastAsia="Times New Roman" w:hAnsi="Times New Roman"/>
          <w:sz w:val="16"/>
          <w:szCs w:val="16"/>
          <w:b w:val="1"/>
          <w:bCs w:val="1"/>
          <w:color w:val="auto"/>
        </w:rPr>
        <w:t>A</w:t>
      </w:r>
      <w:r>
        <w:rPr>
          <w:rFonts w:ascii="Times New Roman" w:cs="Times New Roman" w:eastAsia="Times New Roman" w:hAnsi="Times New Roman"/>
          <w:sz w:val="10"/>
          <w:szCs w:val="10"/>
          <w:b w:val="1"/>
          <w:bCs w:val="1"/>
          <w:color w:val="auto"/>
        </w:rPr>
        <w:t>ccuray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12</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NUMPAGES \* Arabic \* MERGEFORMAT 31</w:t>
      </w:r>
    </w:p>
    <w:p>
      <w:pPr>
        <w:spacing w:after="0" w:line="200" w:lineRule="exact"/>
        <w:rPr>
          <w:sz w:val="20"/>
          <w:szCs w:val="20"/>
          <w:color w:val="auto"/>
        </w:rPr>
      </w:pPr>
    </w:p>
    <w:p>
      <w:pPr>
        <w:spacing w:after="0" w:line="24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00171E"/>
        </w:rPr>
        <w:t xml:space="preserve">of its employees. Accordingly, Executive agrees that, for a period beginning on the Effective Date and ending twelve (12) months after termination of Executive’s employment with the Company, regardless of the reason for such termination, Executive </w:t>
      </w:r>
      <w:r>
        <w:rPr>
          <w:rFonts w:ascii="Times New Roman" w:cs="Times New Roman" w:eastAsia="Times New Roman" w:hAnsi="Times New Roman"/>
          <w:sz w:val="20"/>
          <w:szCs w:val="20"/>
          <w:b w:val="1"/>
          <w:bCs w:val="1"/>
          <w:color w:val="00171E"/>
        </w:rPr>
        <w:t>shall not use any</w:t>
      </w:r>
      <w:r>
        <w:rPr>
          <w:rFonts w:ascii="Times New Roman" w:cs="Times New Roman" w:eastAsia="Times New Roman" w:hAnsi="Times New Roman"/>
          <w:sz w:val="20"/>
          <w:szCs w:val="20"/>
          <w:color w:val="00171E"/>
        </w:rPr>
        <w:t xml:space="preserve"> </w:t>
      </w:r>
      <w:r>
        <w:rPr>
          <w:rFonts w:ascii="Times New Roman" w:cs="Times New Roman" w:eastAsia="Times New Roman" w:hAnsi="Times New Roman"/>
          <w:sz w:val="20"/>
          <w:szCs w:val="20"/>
          <w:b w:val="1"/>
          <w:bCs w:val="1"/>
          <w:color w:val="00171E"/>
        </w:rPr>
        <w:t>Proprietary Information to</w:t>
      </w:r>
      <w:r>
        <w:rPr>
          <w:rFonts w:ascii="Times New Roman" w:cs="Times New Roman" w:eastAsia="Times New Roman" w:hAnsi="Times New Roman"/>
          <w:sz w:val="20"/>
          <w:szCs w:val="20"/>
          <w:color w:val="00171E"/>
        </w:rPr>
        <w:t>, directly or indirectly, for himself or on behalf of any other person or entity, solicit, offer employment to, hire or</w:t>
      </w:r>
      <w:r>
        <w:rPr>
          <w:rFonts w:ascii="Times New Roman" w:cs="Times New Roman" w:eastAsia="Times New Roman" w:hAnsi="Times New Roman"/>
          <w:sz w:val="20"/>
          <w:szCs w:val="20"/>
          <w:b w:val="1"/>
          <w:bCs w:val="1"/>
          <w:color w:val="00171E"/>
        </w:rPr>
        <w:t xml:space="preserve"> </w:t>
      </w:r>
      <w:r>
        <w:rPr>
          <w:rFonts w:ascii="Times New Roman" w:cs="Times New Roman" w:eastAsia="Times New Roman" w:hAnsi="Times New Roman"/>
          <w:sz w:val="20"/>
          <w:szCs w:val="20"/>
          <w:color w:val="00171E"/>
        </w:rPr>
        <w:t>otherwise retain the services of any employee of the Company in a position classified as exempt from overtime pay requirements. For purposes of the foregoing, “employee of the Company” shall include any person who was an employee of the Company at any time within six (6) months prior to the prohibited conduct.</w:t>
      </w:r>
    </w:p>
    <w:p>
      <w:pPr>
        <w:spacing w:after="0" w:line="184" w:lineRule="exact"/>
        <w:rPr>
          <w:sz w:val="20"/>
          <w:szCs w:val="20"/>
          <w:color w:val="auto"/>
        </w:rPr>
      </w:pPr>
    </w:p>
    <w:p>
      <w:pPr>
        <w:ind w:left="2040" w:hanging="535"/>
        <w:spacing w:after="0"/>
        <w:tabs>
          <w:tab w:leader="none" w:pos="2040" w:val="left"/>
        </w:tabs>
        <w:numPr>
          <w:ilvl w:val="0"/>
          <w:numId w:val="128"/>
        </w:numPr>
        <w:rPr>
          <w:rFonts w:ascii="Times New Roman" w:cs="Times New Roman" w:eastAsia="Times New Roman" w:hAnsi="Times New Roman"/>
          <w:sz w:val="20"/>
          <w:szCs w:val="20"/>
          <w:u w:val="single" w:color="auto"/>
          <w:color w:val="00171E"/>
        </w:rPr>
      </w:pPr>
      <w:r>
        <w:rPr>
          <w:rFonts w:ascii="Times New Roman" w:cs="Times New Roman" w:eastAsia="Times New Roman" w:hAnsi="Times New Roman"/>
          <w:sz w:val="20"/>
          <w:szCs w:val="20"/>
          <w:u w:val="single" w:color="auto"/>
          <w:color w:val="00171E"/>
        </w:rPr>
        <w:t>Company Property and Materials</w:t>
      </w:r>
      <w:r>
        <w:rPr>
          <w:rFonts w:ascii="Times New Roman" w:cs="Times New Roman" w:eastAsia="Times New Roman" w:hAnsi="Times New Roman"/>
          <w:sz w:val="20"/>
          <w:szCs w:val="20"/>
          <w:color w:val="00171E"/>
        </w:rPr>
        <w:t>.</w:t>
      </w:r>
    </w:p>
    <w:p>
      <w:pPr>
        <w:spacing w:after="0" w:line="215" w:lineRule="exact"/>
        <w:rPr>
          <w:rFonts w:ascii="Times New Roman" w:cs="Times New Roman" w:eastAsia="Times New Roman" w:hAnsi="Times New Roman"/>
          <w:sz w:val="20"/>
          <w:szCs w:val="20"/>
          <w:u w:val="single" w:color="auto"/>
          <w:color w:val="00171E"/>
        </w:rPr>
      </w:pPr>
    </w:p>
    <w:p>
      <w:pPr>
        <w:jc w:val="both"/>
        <w:ind w:firstLine="2254"/>
        <w:spacing w:after="0" w:line="249" w:lineRule="auto"/>
        <w:tabs>
          <w:tab w:leader="none" w:pos="2546" w:val="left"/>
        </w:tabs>
        <w:numPr>
          <w:ilvl w:val="1"/>
          <w:numId w:val="128"/>
        </w:numPr>
        <w:rPr>
          <w:rFonts w:ascii="Times New Roman" w:cs="Times New Roman" w:eastAsia="Times New Roman" w:hAnsi="Times New Roman"/>
          <w:sz w:val="20"/>
          <w:szCs w:val="20"/>
          <w:color w:val="00171E"/>
        </w:rPr>
      </w:pPr>
      <w:r>
        <w:rPr>
          <w:rFonts w:ascii="Times New Roman" w:cs="Times New Roman" w:eastAsia="Times New Roman" w:hAnsi="Times New Roman"/>
          <w:sz w:val="20"/>
          <w:szCs w:val="20"/>
          <w:color w:val="00171E"/>
        </w:rPr>
        <w:t>All files, records, documents, computer-recorded or electronic information, drawings, specifications, equipment, and similar items relating to Company business, whether prepared by Executive or otherwise coming into his/her possession, will remain the Company’s exclusive property and will not be removed from Company premises under any circumstances whatsoever without the Company’s prior written consent, except when, and only for the period, necessary to carry out Executive’s duties hereunder</w:t>
      </w:r>
    </w:p>
    <w:p>
      <w:pPr>
        <w:spacing w:after="0" w:line="179" w:lineRule="exact"/>
        <w:rPr>
          <w:rFonts w:ascii="Times New Roman" w:cs="Times New Roman" w:eastAsia="Times New Roman" w:hAnsi="Times New Roman"/>
          <w:sz w:val="20"/>
          <w:szCs w:val="20"/>
          <w:color w:val="00171E"/>
        </w:rPr>
      </w:pPr>
    </w:p>
    <w:p>
      <w:pPr>
        <w:jc w:val="both"/>
        <w:ind w:firstLine="2254"/>
        <w:spacing w:after="0" w:line="243" w:lineRule="auto"/>
        <w:tabs>
          <w:tab w:leader="none" w:pos="2546" w:val="left"/>
        </w:tabs>
        <w:numPr>
          <w:ilvl w:val="1"/>
          <w:numId w:val="128"/>
        </w:numPr>
        <w:rPr>
          <w:rFonts w:ascii="Times New Roman" w:cs="Times New Roman" w:eastAsia="Times New Roman" w:hAnsi="Times New Roman"/>
          <w:sz w:val="20"/>
          <w:szCs w:val="20"/>
          <w:color w:val="00171E"/>
        </w:rPr>
      </w:pPr>
      <w:r>
        <w:rPr>
          <w:rFonts w:ascii="Times New Roman" w:cs="Times New Roman" w:eastAsia="Times New Roman" w:hAnsi="Times New Roman"/>
          <w:sz w:val="20"/>
          <w:szCs w:val="20"/>
          <w:color w:val="00171E"/>
        </w:rPr>
        <w:t>In the event of termination of Executive’s employment for any reason, Executive will promptly deliver to the Company all Company equipment (including, without limitation, any cellular phones, beeper/pagers, computer hardware and software, fax machines and other tools of the trade) and all originals and copies of all documents, including without limitation, all books, customer lists, forms, documents supplied by customers, records, product lists, writings, manuals, reports, financial documents and other documents or property in Executive’s possession or control, which relate to the Company’s business in any way whatsoever, and in particular to customers of the Company, or which may be considered to constitute or contain Proprietary Information as defined above, and Executive will neither retain, reproduce, nor distribute copies thereof (other than copies of Executive’s electronic or hardcopy address and telephone contact data base or directories). Notwithstanding the foregoing, Executive shall be allowed to retain a copy of the Employee Handbook and personnel records relating to Executive’s employment.</w:t>
      </w:r>
    </w:p>
    <w:p>
      <w:pPr>
        <w:spacing w:after="0" w:line="185" w:lineRule="exact"/>
        <w:rPr>
          <w:rFonts w:ascii="Times New Roman" w:cs="Times New Roman" w:eastAsia="Times New Roman" w:hAnsi="Times New Roman"/>
          <w:sz w:val="20"/>
          <w:szCs w:val="20"/>
          <w:color w:val="00171E"/>
        </w:rPr>
      </w:pPr>
    </w:p>
    <w:p>
      <w:pPr>
        <w:jc w:val="both"/>
        <w:ind w:firstLine="1505"/>
        <w:spacing w:after="0" w:line="241" w:lineRule="auto"/>
        <w:tabs>
          <w:tab w:leader="none" w:pos="2036" w:val="left"/>
        </w:tabs>
        <w:numPr>
          <w:ilvl w:val="0"/>
          <w:numId w:val="128"/>
        </w:numPr>
        <w:rPr>
          <w:rFonts w:ascii="Times New Roman" w:cs="Times New Roman" w:eastAsia="Times New Roman" w:hAnsi="Times New Roman"/>
          <w:sz w:val="20"/>
          <w:szCs w:val="20"/>
          <w:u w:val="single" w:color="auto"/>
          <w:color w:val="00171E"/>
        </w:rPr>
      </w:pPr>
      <w:r>
        <w:rPr>
          <w:rFonts w:ascii="Times New Roman" w:cs="Times New Roman" w:eastAsia="Times New Roman" w:hAnsi="Times New Roman"/>
          <w:sz w:val="20"/>
          <w:szCs w:val="20"/>
          <w:u w:val="single" w:color="auto"/>
          <w:color w:val="00171E"/>
        </w:rPr>
        <w:t>Remedies for Breach</w:t>
      </w:r>
      <w:r>
        <w:rPr>
          <w:rFonts w:ascii="Times New Roman" w:cs="Times New Roman" w:eastAsia="Times New Roman" w:hAnsi="Times New Roman"/>
          <w:sz w:val="20"/>
          <w:szCs w:val="20"/>
          <w:color w:val="00171E"/>
        </w:rPr>
        <w:t xml:space="preserve">. Executive acknowledges that any breach by Executive of this </w:t>
      </w:r>
      <w:r>
        <w:rPr>
          <w:rFonts w:ascii="Times New Roman" w:cs="Times New Roman" w:eastAsia="Times New Roman" w:hAnsi="Times New Roman"/>
          <w:sz w:val="20"/>
          <w:szCs w:val="20"/>
          <w:u w:val="single" w:color="auto"/>
          <w:color w:val="00171E"/>
        </w:rPr>
        <w:t>Section 6</w:t>
      </w:r>
      <w:r>
        <w:rPr>
          <w:rFonts w:ascii="Times New Roman" w:cs="Times New Roman" w:eastAsia="Times New Roman" w:hAnsi="Times New Roman"/>
          <w:sz w:val="20"/>
          <w:szCs w:val="20"/>
          <w:color w:val="00171E"/>
        </w:rPr>
        <w:t xml:space="preserve"> would cause the Company irreparable injury and damage for which monetary damages are inadequate. Accordingly, in the event of a breach or a threatened breach of this </w:t>
      </w:r>
      <w:r>
        <w:rPr>
          <w:rFonts w:ascii="Times New Roman" w:cs="Times New Roman" w:eastAsia="Times New Roman" w:hAnsi="Times New Roman"/>
          <w:sz w:val="20"/>
          <w:szCs w:val="20"/>
          <w:u w:val="single" w:color="auto"/>
          <w:color w:val="00171E"/>
        </w:rPr>
        <w:t>Section 6</w:t>
      </w:r>
      <w:r>
        <w:rPr>
          <w:rFonts w:ascii="Times New Roman" w:cs="Times New Roman" w:eastAsia="Times New Roman" w:hAnsi="Times New Roman"/>
          <w:sz w:val="20"/>
          <w:szCs w:val="20"/>
          <w:color w:val="00171E"/>
        </w:rPr>
        <w:t xml:space="preserve">, the Company will be entitled to seek an injunction restraining such breach. In addition, in the event of a breach of this </w:t>
      </w:r>
      <w:r>
        <w:rPr>
          <w:rFonts w:ascii="Times New Roman" w:cs="Times New Roman" w:eastAsia="Times New Roman" w:hAnsi="Times New Roman"/>
          <w:sz w:val="20"/>
          <w:szCs w:val="20"/>
          <w:u w:val="single" w:color="auto"/>
          <w:color w:val="00171E"/>
        </w:rPr>
        <w:t>Section 6</w:t>
      </w:r>
      <w:r>
        <w:rPr>
          <w:rFonts w:ascii="Times New Roman" w:cs="Times New Roman" w:eastAsia="Times New Roman" w:hAnsi="Times New Roman"/>
          <w:sz w:val="20"/>
          <w:szCs w:val="20"/>
          <w:color w:val="00171E"/>
        </w:rPr>
        <w:t xml:space="preserve">, the Company’s obligation to pay any unpaid portion of the Severance Benefits, the Enhanced Severance Benefits, or the Termination Notice Replacement Payments of this Agreement will be extinguished. Nothing contained herein will be construed as prohibiting the Company from pursuing any other remedy available to the Company for such breach or such threatened breach. Executive has carefully read and considered these restrictions and agrees they are fair and reasonable restrictions on Executive and are reasonably required for the protection of the interests of the Company. Executive agrees not to circumvent the spirit of these restrictions by attempting to accomplish indirectly what Executive is otherwise restricted from doing directly. Executive agrees that the restrictions in this </w:t>
      </w:r>
      <w:r>
        <w:rPr>
          <w:rFonts w:ascii="Times New Roman" w:cs="Times New Roman" w:eastAsia="Times New Roman" w:hAnsi="Times New Roman"/>
          <w:sz w:val="20"/>
          <w:szCs w:val="20"/>
          <w:u w:val="single" w:color="auto"/>
          <w:color w:val="00171E"/>
        </w:rPr>
        <w:t>Section 6</w:t>
      </w:r>
      <w:r>
        <w:rPr>
          <w:rFonts w:ascii="Times New Roman" w:cs="Times New Roman" w:eastAsia="Times New Roman" w:hAnsi="Times New Roman"/>
          <w:sz w:val="20"/>
          <w:szCs w:val="20"/>
          <w:color w:val="00171E"/>
        </w:rPr>
        <w:t xml:space="preserve"> are reasonable and necessary to protect the Company’s Proprietary Information, and they do not prevent Executive from working in the medical device industry. Executive agrees that the covenants and agreements by Executive contained in this </w:t>
      </w:r>
      <w:r>
        <w:rPr>
          <w:rFonts w:ascii="Times New Roman" w:cs="Times New Roman" w:eastAsia="Times New Roman" w:hAnsi="Times New Roman"/>
          <w:sz w:val="20"/>
          <w:szCs w:val="20"/>
          <w:u w:val="single" w:color="auto"/>
          <w:color w:val="00171E"/>
        </w:rPr>
        <w:t>Section 6</w:t>
      </w:r>
      <w:r>
        <w:rPr>
          <w:rFonts w:ascii="Times New Roman" w:cs="Times New Roman" w:eastAsia="Times New Roman" w:hAnsi="Times New Roman"/>
          <w:sz w:val="20"/>
          <w:szCs w:val="20"/>
          <w:color w:val="00171E"/>
        </w:rPr>
        <w:t xml:space="preserve"> shall be in addition to any other agreements and covenants Executive may have agreed to in any other employee proprietary information, confidentiality, non-disclosure or other similar agreement and that this </w:t>
      </w:r>
      <w:r>
        <w:rPr>
          <w:rFonts w:ascii="Times New Roman" w:cs="Times New Roman" w:eastAsia="Times New Roman" w:hAnsi="Times New Roman"/>
          <w:sz w:val="20"/>
          <w:szCs w:val="20"/>
          <w:u w:val="single" w:color="auto"/>
          <w:color w:val="00171E"/>
        </w:rPr>
        <w:t>Section 6</w:t>
      </w:r>
      <w:r>
        <w:rPr>
          <w:rFonts w:ascii="Times New Roman" w:cs="Times New Roman" w:eastAsia="Times New Roman" w:hAnsi="Times New Roman"/>
          <w:sz w:val="20"/>
          <w:szCs w:val="20"/>
          <w:color w:val="00171E"/>
        </w:rPr>
        <w:t xml:space="preserve"> shall not be deemed to limit such other covenants and agreements, all of which shall continue to survive the termination of this Agreement in accordance with their respective terms. A breach by Executive of the terms of such other agreements and covenants shall be deemed to be a breach by Executive of this </w:t>
      </w:r>
      <w:r>
        <w:rPr>
          <w:rFonts w:ascii="Times New Roman" w:cs="Times New Roman" w:eastAsia="Times New Roman" w:hAnsi="Times New Roman"/>
          <w:sz w:val="20"/>
          <w:szCs w:val="20"/>
          <w:u w:val="single" w:color="auto"/>
          <w:color w:val="00171E"/>
        </w:rPr>
        <w:t>Section 6</w:t>
      </w:r>
      <w:r>
        <w:rPr>
          <w:rFonts w:ascii="Times New Roman" w:cs="Times New Roman" w:eastAsia="Times New Roman" w:hAnsi="Times New Roman"/>
          <w:sz w:val="20"/>
          <w:szCs w:val="20"/>
          <w:color w:val="00171E"/>
        </w:rPr>
        <w:t xml:space="preserve"> and of this Agreement.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198120</wp:posOffset>
            </wp:positionV>
            <wp:extent cx="7132320" cy="171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3"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6"/>
          <w:szCs w:val="16"/>
          <w:b w:val="1"/>
          <w:bCs w:val="1"/>
          <w:color w:val="auto"/>
        </w:rPr>
        <w:t>E</w:t>
      </w:r>
      <w:r>
        <w:rPr>
          <w:rFonts w:ascii="Times New Roman" w:cs="Times New Roman" w:eastAsia="Times New Roman" w:hAnsi="Times New Roman"/>
          <w:sz w:val="10"/>
          <w:szCs w:val="10"/>
          <w:b w:val="1"/>
          <w:bCs w:val="1"/>
          <w:color w:val="auto"/>
        </w:rPr>
        <w:t>xecutive</w:t>
      </w:r>
      <w:r>
        <w:rPr>
          <w:rFonts w:ascii="Times New Roman" w:cs="Times New Roman" w:eastAsia="Times New Roman" w:hAnsi="Times New Roman"/>
          <w:sz w:val="16"/>
          <w:szCs w:val="16"/>
          <w:b w:val="1"/>
          <w:bCs w:val="1"/>
          <w:color w:val="auto"/>
        </w:rPr>
        <w:t xml:space="preserve"> E</w:t>
      </w:r>
      <w:r>
        <w:rPr>
          <w:rFonts w:ascii="Times New Roman" w:cs="Times New Roman" w:eastAsia="Times New Roman" w:hAnsi="Times New Roman"/>
          <w:sz w:val="10"/>
          <w:szCs w:val="10"/>
          <w:b w:val="1"/>
          <w:bCs w:val="1"/>
          <w:color w:val="auto"/>
        </w:rPr>
        <w:t>mployment</w:t>
      </w:r>
      <w:r>
        <w:rPr>
          <w:rFonts w:ascii="Times New Roman" w:cs="Times New Roman" w:eastAsia="Times New Roman" w:hAnsi="Times New Roman"/>
          <w:sz w:val="16"/>
          <w:szCs w:val="16"/>
          <w:b w:val="1"/>
          <w:bCs w:val="1"/>
          <w:color w:val="auto"/>
        </w:rPr>
        <w:t xml:space="preserve"> A</w:t>
      </w:r>
      <w:r>
        <w:rPr>
          <w:rFonts w:ascii="Times New Roman" w:cs="Times New Roman" w:eastAsia="Times New Roman" w:hAnsi="Times New Roman"/>
          <w:sz w:val="10"/>
          <w:szCs w:val="10"/>
          <w:b w:val="1"/>
          <w:bCs w:val="1"/>
          <w:color w:val="auto"/>
        </w:rPr>
        <w:t>gmt</w:t>
      </w:r>
      <w:r>
        <w:rPr>
          <w:rFonts w:ascii="Times New Roman" w:cs="Times New Roman" w:eastAsia="Times New Roman" w:hAnsi="Times New Roman"/>
          <w:sz w:val="16"/>
          <w:szCs w:val="16"/>
          <w:b w:val="1"/>
          <w:bCs w:val="1"/>
          <w:color w:val="auto"/>
        </w:rPr>
        <w:t xml:space="preserve"> S</w:t>
      </w:r>
      <w:r>
        <w:rPr>
          <w:rFonts w:ascii="Times New Roman" w:cs="Times New Roman" w:eastAsia="Times New Roman" w:hAnsi="Times New Roman"/>
          <w:sz w:val="10"/>
          <w:szCs w:val="10"/>
          <w:b w:val="1"/>
          <w:bCs w:val="1"/>
          <w:color w:val="auto"/>
        </w:rPr>
        <w:t>td</w:t>
      </w:r>
      <w:r>
        <w:rPr>
          <w:rFonts w:ascii="Times New Roman" w:cs="Times New Roman" w:eastAsia="Times New Roman" w:hAnsi="Times New Roman"/>
          <w:sz w:val="16"/>
          <w:szCs w:val="16"/>
          <w:b w:val="1"/>
          <w:bCs w:val="1"/>
          <w:color w:val="auto"/>
        </w:rPr>
        <w:t xml:space="preserve"> 11.1.24</w:t>
      </w:r>
      <w:r>
        <w:rPr>
          <w:sz w:val="20"/>
          <w:szCs w:val="20"/>
          <w:color w:val="auto"/>
        </w:rPr>
        <w:tab/>
      </w:r>
      <w:r>
        <w:rPr>
          <w:rFonts w:ascii="Times New Roman" w:cs="Times New Roman" w:eastAsia="Times New Roman" w:hAnsi="Times New Roman"/>
          <w:sz w:val="16"/>
          <w:szCs w:val="16"/>
          <w:b w:val="1"/>
          <w:bCs w:val="1"/>
          <w:color w:val="auto"/>
        </w:rPr>
        <w:t>A</w:t>
      </w:r>
      <w:r>
        <w:rPr>
          <w:rFonts w:ascii="Times New Roman" w:cs="Times New Roman" w:eastAsia="Times New Roman" w:hAnsi="Times New Roman"/>
          <w:sz w:val="10"/>
          <w:szCs w:val="10"/>
          <w:b w:val="1"/>
          <w:bCs w:val="1"/>
          <w:color w:val="auto"/>
        </w:rPr>
        <w:t>ccuray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13</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NUMPAGES \* Arabic \* MERGEFORMAT 31</w:t>
      </w:r>
    </w:p>
    <w:p>
      <w:pPr>
        <w:spacing w:after="0" w:line="200" w:lineRule="exact"/>
        <w:rPr>
          <w:sz w:val="20"/>
          <w:szCs w:val="20"/>
          <w:color w:val="auto"/>
        </w:rPr>
      </w:pPr>
    </w:p>
    <w:p>
      <w:pPr>
        <w:spacing w:after="0" w:line="24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00171E"/>
        </w:rPr>
        <w:t xml:space="preserve">extent any of the provisions in this </w:t>
      </w:r>
      <w:r>
        <w:rPr>
          <w:rFonts w:ascii="Times New Roman" w:cs="Times New Roman" w:eastAsia="Times New Roman" w:hAnsi="Times New Roman"/>
          <w:sz w:val="20"/>
          <w:szCs w:val="20"/>
          <w:u w:val="single" w:color="auto"/>
          <w:color w:val="00171E"/>
        </w:rPr>
        <w:t>Section 6</w:t>
      </w:r>
      <w:r>
        <w:rPr>
          <w:rFonts w:ascii="Times New Roman" w:cs="Times New Roman" w:eastAsia="Times New Roman" w:hAnsi="Times New Roman"/>
          <w:sz w:val="20"/>
          <w:szCs w:val="20"/>
          <w:color w:val="00171E"/>
        </w:rPr>
        <w:t xml:space="preserve"> are held to be overly broad or otherwise unenforceable at the time enforcement is sought, Executive agrees that the provision shall be reformed and enforced to the greatest extent permissible by law. Executive further agrees that if any portion of this </w:t>
      </w:r>
      <w:r>
        <w:rPr>
          <w:rFonts w:ascii="Times New Roman" w:cs="Times New Roman" w:eastAsia="Times New Roman" w:hAnsi="Times New Roman"/>
          <w:sz w:val="20"/>
          <w:szCs w:val="20"/>
          <w:u w:val="single" w:color="auto"/>
          <w:color w:val="00171E"/>
        </w:rPr>
        <w:t>Section 6</w:t>
      </w:r>
      <w:r>
        <w:rPr>
          <w:rFonts w:ascii="Times New Roman" w:cs="Times New Roman" w:eastAsia="Times New Roman" w:hAnsi="Times New Roman"/>
          <w:sz w:val="20"/>
          <w:szCs w:val="20"/>
          <w:color w:val="00171E"/>
        </w:rPr>
        <w:t xml:space="preserve"> is held to be unenforceable, the remaining provisions of this </w:t>
      </w:r>
      <w:r>
        <w:rPr>
          <w:rFonts w:ascii="Times New Roman" w:cs="Times New Roman" w:eastAsia="Times New Roman" w:hAnsi="Times New Roman"/>
          <w:sz w:val="20"/>
          <w:szCs w:val="20"/>
          <w:u w:val="single" w:color="auto"/>
          <w:color w:val="00171E"/>
        </w:rPr>
        <w:t>Section 6</w:t>
      </w:r>
      <w:r>
        <w:rPr>
          <w:rFonts w:ascii="Times New Roman" w:cs="Times New Roman" w:eastAsia="Times New Roman" w:hAnsi="Times New Roman"/>
          <w:sz w:val="20"/>
          <w:szCs w:val="20"/>
          <w:color w:val="00171E"/>
        </w:rPr>
        <w:t xml:space="preserve"> shall be enforced as written.</w:t>
      </w:r>
    </w:p>
    <w:p>
      <w:pPr>
        <w:spacing w:after="0" w:line="170" w:lineRule="exact"/>
        <w:rPr>
          <w:sz w:val="20"/>
          <w:szCs w:val="20"/>
          <w:color w:val="auto"/>
        </w:rPr>
      </w:pPr>
    </w:p>
    <w:p>
      <w:pPr>
        <w:jc w:val="both"/>
        <w:ind w:firstLine="757"/>
        <w:spacing w:after="0" w:line="250" w:lineRule="auto"/>
        <w:tabs>
          <w:tab w:leader="none" w:pos="1018" w:val="left"/>
        </w:tabs>
        <w:numPr>
          <w:ilvl w:val="0"/>
          <w:numId w:val="129"/>
        </w:numPr>
        <w:rPr>
          <w:rFonts w:ascii="Times New Roman" w:cs="Times New Roman" w:eastAsia="Times New Roman" w:hAnsi="Times New Roman"/>
          <w:sz w:val="20"/>
          <w:szCs w:val="20"/>
          <w:b w:val="1"/>
          <w:bCs w:val="1"/>
          <w:color w:val="00171E"/>
        </w:rPr>
      </w:pPr>
      <w:r>
        <w:rPr>
          <w:rFonts w:ascii="Times New Roman" w:cs="Times New Roman" w:eastAsia="Times New Roman" w:hAnsi="Times New Roman"/>
          <w:sz w:val="20"/>
          <w:szCs w:val="20"/>
          <w:b w:val="1"/>
          <w:bCs w:val="1"/>
          <w:color w:val="00171E"/>
        </w:rPr>
        <w:t xml:space="preserve">Interpretation, Governing Law and Exclusive Forum. </w:t>
      </w:r>
      <w:r>
        <w:rPr>
          <w:rFonts w:ascii="Times New Roman" w:cs="Times New Roman" w:eastAsia="Times New Roman" w:hAnsi="Times New Roman"/>
          <w:sz w:val="20"/>
          <w:szCs w:val="20"/>
          <w:color w:val="00171E"/>
        </w:rPr>
        <w:t>The validity, interpretation, construction, and performance of this</w:t>
      </w:r>
      <w:r>
        <w:rPr>
          <w:rFonts w:ascii="Times New Roman" w:cs="Times New Roman" w:eastAsia="Times New Roman" w:hAnsi="Times New Roman"/>
          <w:sz w:val="20"/>
          <w:szCs w:val="20"/>
          <w:b w:val="1"/>
          <w:bCs w:val="1"/>
          <w:color w:val="00171E"/>
        </w:rPr>
        <w:t xml:space="preserve"> </w:t>
      </w:r>
      <w:r>
        <w:rPr>
          <w:rFonts w:ascii="Times New Roman" w:cs="Times New Roman" w:eastAsia="Times New Roman" w:hAnsi="Times New Roman"/>
          <w:sz w:val="20"/>
          <w:szCs w:val="20"/>
          <w:color w:val="00171E"/>
        </w:rPr>
        <w:t>Agreement shall be governed by the laws of the State of California (excluding any that mandate the use of another jurisdiction’s laws). Any arbitration (unless otherwise mutually agreed), litigation or similar proceeding with respect to such matters only may be brought within Santa Clara County, California, and all parties to this Agreement consent to California’s jurisdiction.</w:t>
      </w:r>
    </w:p>
    <w:p>
      <w:pPr>
        <w:spacing w:after="0" w:line="175" w:lineRule="exact"/>
        <w:rPr>
          <w:rFonts w:ascii="Times New Roman" w:cs="Times New Roman" w:eastAsia="Times New Roman" w:hAnsi="Times New Roman"/>
          <w:sz w:val="20"/>
          <w:szCs w:val="20"/>
          <w:b w:val="1"/>
          <w:bCs w:val="1"/>
          <w:color w:val="00171E"/>
        </w:rPr>
      </w:pPr>
    </w:p>
    <w:p>
      <w:pPr>
        <w:ind w:firstLine="757"/>
        <w:spacing w:after="0" w:line="273" w:lineRule="auto"/>
        <w:tabs>
          <w:tab w:leader="none" w:pos="1018" w:val="left"/>
        </w:tabs>
        <w:numPr>
          <w:ilvl w:val="0"/>
          <w:numId w:val="129"/>
        </w:numPr>
        <w:rPr>
          <w:rFonts w:ascii="Times New Roman" w:cs="Times New Roman" w:eastAsia="Times New Roman" w:hAnsi="Times New Roman"/>
          <w:sz w:val="20"/>
          <w:szCs w:val="20"/>
          <w:b w:val="1"/>
          <w:bCs w:val="1"/>
          <w:color w:val="00171E"/>
        </w:rPr>
      </w:pPr>
      <w:r>
        <w:rPr>
          <w:rFonts w:ascii="Times New Roman" w:cs="Times New Roman" w:eastAsia="Times New Roman" w:hAnsi="Times New Roman"/>
          <w:sz w:val="20"/>
          <w:szCs w:val="20"/>
          <w:b w:val="1"/>
          <w:bCs w:val="1"/>
          <w:color w:val="00171E"/>
        </w:rPr>
        <w:t xml:space="preserve">Entire Agreement. </w:t>
      </w:r>
      <w:r>
        <w:rPr>
          <w:rFonts w:ascii="Times New Roman" w:cs="Times New Roman" w:eastAsia="Times New Roman" w:hAnsi="Times New Roman"/>
          <w:sz w:val="20"/>
          <w:szCs w:val="20"/>
          <w:color w:val="00171E"/>
        </w:rPr>
        <w:t>All oral or written agreements or representations, express or implied, with respect to the subject matter of</w:t>
      </w:r>
      <w:r>
        <w:rPr>
          <w:rFonts w:ascii="Times New Roman" w:cs="Times New Roman" w:eastAsia="Times New Roman" w:hAnsi="Times New Roman"/>
          <w:sz w:val="20"/>
          <w:szCs w:val="20"/>
          <w:b w:val="1"/>
          <w:bCs w:val="1"/>
          <w:color w:val="00171E"/>
        </w:rPr>
        <w:t xml:space="preserve"> </w:t>
      </w:r>
      <w:r>
        <w:rPr>
          <w:rFonts w:ascii="Times New Roman" w:cs="Times New Roman" w:eastAsia="Times New Roman" w:hAnsi="Times New Roman"/>
          <w:sz w:val="20"/>
          <w:szCs w:val="20"/>
          <w:color w:val="00171E"/>
        </w:rPr>
        <w:t>this Agreement are set forth in this Agreement.</w:t>
      </w:r>
    </w:p>
    <w:p>
      <w:pPr>
        <w:spacing w:after="0" w:line="151" w:lineRule="exact"/>
        <w:rPr>
          <w:rFonts w:ascii="Times New Roman" w:cs="Times New Roman" w:eastAsia="Times New Roman" w:hAnsi="Times New Roman"/>
          <w:sz w:val="20"/>
          <w:szCs w:val="20"/>
          <w:b w:val="1"/>
          <w:bCs w:val="1"/>
          <w:color w:val="00171E"/>
        </w:rPr>
      </w:pPr>
    </w:p>
    <w:p>
      <w:pPr>
        <w:jc w:val="both"/>
        <w:ind w:firstLine="757"/>
        <w:spacing w:after="0" w:line="256" w:lineRule="auto"/>
        <w:tabs>
          <w:tab w:leader="none" w:pos="1018" w:val="left"/>
        </w:tabs>
        <w:numPr>
          <w:ilvl w:val="0"/>
          <w:numId w:val="129"/>
        </w:numPr>
        <w:rPr>
          <w:rFonts w:ascii="Times New Roman" w:cs="Times New Roman" w:eastAsia="Times New Roman" w:hAnsi="Times New Roman"/>
          <w:sz w:val="20"/>
          <w:szCs w:val="20"/>
          <w:b w:val="1"/>
          <w:bCs w:val="1"/>
          <w:color w:val="00171E"/>
        </w:rPr>
      </w:pPr>
      <w:r>
        <w:rPr>
          <w:rFonts w:ascii="Times New Roman" w:cs="Times New Roman" w:eastAsia="Times New Roman" w:hAnsi="Times New Roman"/>
          <w:sz w:val="20"/>
          <w:szCs w:val="20"/>
          <w:b w:val="1"/>
          <w:bCs w:val="1"/>
          <w:color w:val="00171E"/>
        </w:rPr>
        <w:t xml:space="preserve">Severability. </w:t>
      </w:r>
      <w:r>
        <w:rPr>
          <w:rFonts w:ascii="Times New Roman" w:cs="Times New Roman" w:eastAsia="Times New Roman" w:hAnsi="Times New Roman"/>
          <w:sz w:val="20"/>
          <w:szCs w:val="20"/>
          <w:color w:val="00171E"/>
        </w:rPr>
        <w:t>In the event that one or more of the provisions contained in this Agreement are held to be invalid, illegal or</w:t>
      </w:r>
      <w:r>
        <w:rPr>
          <w:rFonts w:ascii="Times New Roman" w:cs="Times New Roman" w:eastAsia="Times New Roman" w:hAnsi="Times New Roman"/>
          <w:sz w:val="20"/>
          <w:szCs w:val="20"/>
          <w:b w:val="1"/>
          <w:bCs w:val="1"/>
          <w:color w:val="00171E"/>
        </w:rPr>
        <w:t xml:space="preserve"> </w:t>
      </w:r>
      <w:r>
        <w:rPr>
          <w:rFonts w:ascii="Times New Roman" w:cs="Times New Roman" w:eastAsia="Times New Roman" w:hAnsi="Times New Roman"/>
          <w:sz w:val="20"/>
          <w:szCs w:val="20"/>
          <w:color w:val="00171E"/>
        </w:rPr>
        <w:t>unenforceable in any respect by a court of competent jurisdiction, such holding shall not impair the validity, legality or enforceability of the remaining provisions herein.</w:t>
      </w:r>
    </w:p>
    <w:p>
      <w:pPr>
        <w:spacing w:after="0" w:line="168" w:lineRule="exact"/>
        <w:rPr>
          <w:rFonts w:ascii="Times New Roman" w:cs="Times New Roman" w:eastAsia="Times New Roman" w:hAnsi="Times New Roman"/>
          <w:sz w:val="20"/>
          <w:szCs w:val="20"/>
          <w:b w:val="1"/>
          <w:bCs w:val="1"/>
          <w:color w:val="00171E"/>
        </w:rPr>
      </w:pPr>
    </w:p>
    <w:p>
      <w:pPr>
        <w:jc w:val="both"/>
        <w:ind w:firstLine="757"/>
        <w:spacing w:after="0" w:line="242" w:lineRule="auto"/>
        <w:tabs>
          <w:tab w:leader="none" w:pos="1018" w:val="left"/>
        </w:tabs>
        <w:numPr>
          <w:ilvl w:val="0"/>
          <w:numId w:val="129"/>
        </w:numPr>
        <w:rPr>
          <w:rFonts w:ascii="Times New Roman" w:cs="Times New Roman" w:eastAsia="Times New Roman" w:hAnsi="Times New Roman"/>
          <w:sz w:val="20"/>
          <w:szCs w:val="20"/>
          <w:b w:val="1"/>
          <w:bCs w:val="1"/>
          <w:color w:val="00171E"/>
        </w:rPr>
      </w:pPr>
      <w:r>
        <w:rPr>
          <w:rFonts w:ascii="Times New Roman" w:cs="Times New Roman" w:eastAsia="Times New Roman" w:hAnsi="Times New Roman"/>
          <w:sz w:val="20"/>
          <w:szCs w:val="20"/>
          <w:b w:val="1"/>
          <w:bCs w:val="1"/>
          <w:color w:val="00171E"/>
        </w:rPr>
        <w:t xml:space="preserve">Successors and Assigns. </w:t>
      </w:r>
      <w:r>
        <w:rPr>
          <w:rFonts w:ascii="Times New Roman" w:cs="Times New Roman" w:eastAsia="Times New Roman" w:hAnsi="Times New Roman"/>
          <w:sz w:val="20"/>
          <w:szCs w:val="20"/>
          <w:color w:val="00171E"/>
        </w:rPr>
        <w:t>This Agreement shall be binding upon, and shall inure to the benefit of, Executive and his/her estate,</w:t>
      </w:r>
      <w:r>
        <w:rPr>
          <w:rFonts w:ascii="Times New Roman" w:cs="Times New Roman" w:eastAsia="Times New Roman" w:hAnsi="Times New Roman"/>
          <w:sz w:val="20"/>
          <w:szCs w:val="20"/>
          <w:b w:val="1"/>
          <w:bCs w:val="1"/>
          <w:color w:val="00171E"/>
        </w:rPr>
        <w:t xml:space="preserve"> </w:t>
      </w:r>
      <w:r>
        <w:rPr>
          <w:rFonts w:ascii="Times New Roman" w:cs="Times New Roman" w:eastAsia="Times New Roman" w:hAnsi="Times New Roman"/>
          <w:sz w:val="20"/>
          <w:szCs w:val="20"/>
          <w:color w:val="00171E"/>
        </w:rPr>
        <w:t xml:space="preserve">but Executive may not assign or pledge this Agreement or any rights arising under it, except to the extent permitted under the terms of the benefit plans in which he/she participates. No rights or obligations of the Company under this Agreement may be assigned or transferred except that the Company shall require any successor (whether direct or indirect, by purchase, merger, reorganization, sale, transfer of stock, consideration or otherwise) to all or substantially all of the business and/or assets of the Company to expressly assume and agree to perform this Agreement in the same manner and to the same extent that the Company would be required to perform it if no succession had taken place. As used in this Agreement, “Company” means the Company as hereinbefore defined and any successor to its business and/or assets (by merger, purchase or otherwise as provided in this </w:t>
      </w:r>
      <w:r>
        <w:rPr>
          <w:rFonts w:ascii="Times New Roman" w:cs="Times New Roman" w:eastAsia="Times New Roman" w:hAnsi="Times New Roman"/>
          <w:sz w:val="20"/>
          <w:szCs w:val="20"/>
          <w:u w:val="single" w:color="auto"/>
          <w:color w:val="00171E"/>
        </w:rPr>
        <w:t>Section 10</w:t>
      </w:r>
      <w:r>
        <w:rPr>
          <w:rFonts w:ascii="Times New Roman" w:cs="Times New Roman" w:eastAsia="Times New Roman" w:hAnsi="Times New Roman"/>
          <w:sz w:val="20"/>
          <w:szCs w:val="20"/>
          <w:color w:val="00171E"/>
        </w:rPr>
        <w:t xml:space="preserve">) which executes and delivers the agreement provided for in this </w:t>
      </w:r>
      <w:r>
        <w:rPr>
          <w:rFonts w:ascii="Times New Roman" w:cs="Times New Roman" w:eastAsia="Times New Roman" w:hAnsi="Times New Roman"/>
          <w:sz w:val="20"/>
          <w:szCs w:val="20"/>
          <w:u w:val="single" w:color="auto"/>
          <w:color w:val="00171E"/>
        </w:rPr>
        <w:t>Section 10</w:t>
      </w:r>
      <w:r>
        <w:rPr>
          <w:rFonts w:ascii="Times New Roman" w:cs="Times New Roman" w:eastAsia="Times New Roman" w:hAnsi="Times New Roman"/>
          <w:sz w:val="20"/>
          <w:szCs w:val="20"/>
          <w:color w:val="00171E"/>
        </w:rPr>
        <w:t xml:space="preserve"> or which otherwise becomes bound by all the terms and provisions of this Agreement by operation of law. In the event that any successor refuses to assume the obligations hereunder, the Company as hereinbefore defined shall remain fully responsible for all obligations hereunder.</w:t>
      </w:r>
    </w:p>
    <w:p>
      <w:pPr>
        <w:spacing w:after="0" w:line="189" w:lineRule="exact"/>
        <w:rPr>
          <w:rFonts w:ascii="Times New Roman" w:cs="Times New Roman" w:eastAsia="Times New Roman" w:hAnsi="Times New Roman"/>
          <w:sz w:val="20"/>
          <w:szCs w:val="20"/>
          <w:b w:val="1"/>
          <w:bCs w:val="1"/>
          <w:color w:val="00171E"/>
        </w:rPr>
      </w:pPr>
    </w:p>
    <w:p>
      <w:pPr>
        <w:jc w:val="both"/>
        <w:ind w:firstLine="757"/>
        <w:spacing w:after="0" w:line="244" w:lineRule="auto"/>
        <w:tabs>
          <w:tab w:leader="none" w:pos="1018" w:val="left"/>
        </w:tabs>
        <w:numPr>
          <w:ilvl w:val="0"/>
          <w:numId w:val="129"/>
        </w:numPr>
        <w:rPr>
          <w:rFonts w:ascii="Times New Roman" w:cs="Times New Roman" w:eastAsia="Times New Roman" w:hAnsi="Times New Roman"/>
          <w:sz w:val="20"/>
          <w:szCs w:val="20"/>
          <w:b w:val="1"/>
          <w:bCs w:val="1"/>
          <w:color w:val="00171E"/>
        </w:rPr>
      </w:pPr>
      <w:r>
        <w:rPr>
          <w:rFonts w:ascii="Times New Roman" w:cs="Times New Roman" w:eastAsia="Times New Roman" w:hAnsi="Times New Roman"/>
          <w:sz w:val="20"/>
          <w:szCs w:val="20"/>
          <w:b w:val="1"/>
          <w:bCs w:val="1"/>
          <w:color w:val="00171E"/>
        </w:rPr>
        <w:t xml:space="preserve">Notices. </w:t>
      </w:r>
      <w:r>
        <w:rPr>
          <w:rFonts w:ascii="Times New Roman" w:cs="Times New Roman" w:eastAsia="Times New Roman" w:hAnsi="Times New Roman"/>
          <w:sz w:val="20"/>
          <w:szCs w:val="20"/>
          <w:color w:val="00171E"/>
        </w:rPr>
        <w:t>All notices, requests, demands and other communications hereunder shall be in writing and shall be given by hand</w:t>
      </w:r>
      <w:r>
        <w:rPr>
          <w:rFonts w:ascii="Times New Roman" w:cs="Times New Roman" w:eastAsia="Times New Roman" w:hAnsi="Times New Roman"/>
          <w:sz w:val="20"/>
          <w:szCs w:val="20"/>
          <w:b w:val="1"/>
          <w:bCs w:val="1"/>
          <w:color w:val="00171E"/>
        </w:rPr>
        <w:t xml:space="preserve"> </w:t>
      </w:r>
      <w:r>
        <w:rPr>
          <w:rFonts w:ascii="Times New Roman" w:cs="Times New Roman" w:eastAsia="Times New Roman" w:hAnsi="Times New Roman"/>
          <w:sz w:val="20"/>
          <w:szCs w:val="20"/>
          <w:color w:val="00171E"/>
        </w:rPr>
        <w:t xml:space="preserve">delivery, electronic mail, facsimile, telecopy, overnight courier service, or by United States certified or registered mail, return receipt requested. Each such notice, request, demand or other communication shall be effective (i) if delivered by hand or by overnight courier service, when delivered at the address specified in this </w:t>
      </w:r>
      <w:r>
        <w:rPr>
          <w:rFonts w:ascii="Times New Roman" w:cs="Times New Roman" w:eastAsia="Times New Roman" w:hAnsi="Times New Roman"/>
          <w:sz w:val="20"/>
          <w:szCs w:val="20"/>
          <w:u w:val="single" w:color="auto"/>
          <w:color w:val="00171E"/>
        </w:rPr>
        <w:t>Section 11</w:t>
      </w:r>
      <w:r>
        <w:rPr>
          <w:rFonts w:ascii="Times New Roman" w:cs="Times New Roman" w:eastAsia="Times New Roman" w:hAnsi="Times New Roman"/>
          <w:sz w:val="20"/>
          <w:szCs w:val="20"/>
          <w:color w:val="00171E"/>
        </w:rPr>
        <w:t xml:space="preserve">; (ii) if given by electronic mail, facsimile or telecopy, when such electronic mail, facsimile or telecopy is transmitted to the electronic mail address or facsimile or telecopy number specified in this </w:t>
      </w:r>
      <w:r>
        <w:rPr>
          <w:rFonts w:ascii="Times New Roman" w:cs="Times New Roman" w:eastAsia="Times New Roman" w:hAnsi="Times New Roman"/>
          <w:sz w:val="20"/>
          <w:szCs w:val="20"/>
          <w:u w:val="single" w:color="auto"/>
          <w:color w:val="00171E"/>
        </w:rPr>
        <w:t>Section 11</w:t>
      </w:r>
      <w:r>
        <w:rPr>
          <w:rFonts w:ascii="Times New Roman" w:cs="Times New Roman" w:eastAsia="Times New Roman" w:hAnsi="Times New Roman"/>
          <w:sz w:val="20"/>
          <w:szCs w:val="20"/>
          <w:color w:val="00171E"/>
        </w:rPr>
        <w:t xml:space="preserve"> and confirmation is received if during normal business hours on a business day, and otherwise, on the next business day; and (iii) if given by certified or registered mail, three (3) days after the mailing thereof. Notices shall be addressed to the parties as follows (or at such other address, email address or fax number as either party may from time to time specify in writing by giving notice as provided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132320" cy="171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86"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6"/>
          <w:szCs w:val="16"/>
          <w:b w:val="1"/>
          <w:bCs w:val="1"/>
          <w:color w:val="auto"/>
        </w:rPr>
        <w:t>E</w:t>
      </w:r>
      <w:r>
        <w:rPr>
          <w:rFonts w:ascii="Times New Roman" w:cs="Times New Roman" w:eastAsia="Times New Roman" w:hAnsi="Times New Roman"/>
          <w:sz w:val="10"/>
          <w:szCs w:val="10"/>
          <w:b w:val="1"/>
          <w:bCs w:val="1"/>
          <w:color w:val="auto"/>
        </w:rPr>
        <w:t>xecutive</w:t>
      </w:r>
      <w:r>
        <w:rPr>
          <w:rFonts w:ascii="Times New Roman" w:cs="Times New Roman" w:eastAsia="Times New Roman" w:hAnsi="Times New Roman"/>
          <w:sz w:val="16"/>
          <w:szCs w:val="16"/>
          <w:b w:val="1"/>
          <w:bCs w:val="1"/>
          <w:color w:val="auto"/>
        </w:rPr>
        <w:t xml:space="preserve"> E</w:t>
      </w:r>
      <w:r>
        <w:rPr>
          <w:rFonts w:ascii="Times New Roman" w:cs="Times New Roman" w:eastAsia="Times New Roman" w:hAnsi="Times New Roman"/>
          <w:sz w:val="10"/>
          <w:szCs w:val="10"/>
          <w:b w:val="1"/>
          <w:bCs w:val="1"/>
          <w:color w:val="auto"/>
        </w:rPr>
        <w:t>mployment</w:t>
      </w:r>
      <w:r>
        <w:rPr>
          <w:rFonts w:ascii="Times New Roman" w:cs="Times New Roman" w:eastAsia="Times New Roman" w:hAnsi="Times New Roman"/>
          <w:sz w:val="16"/>
          <w:szCs w:val="16"/>
          <w:b w:val="1"/>
          <w:bCs w:val="1"/>
          <w:color w:val="auto"/>
        </w:rPr>
        <w:t xml:space="preserve"> A</w:t>
      </w:r>
      <w:r>
        <w:rPr>
          <w:rFonts w:ascii="Times New Roman" w:cs="Times New Roman" w:eastAsia="Times New Roman" w:hAnsi="Times New Roman"/>
          <w:sz w:val="10"/>
          <w:szCs w:val="10"/>
          <w:b w:val="1"/>
          <w:bCs w:val="1"/>
          <w:color w:val="auto"/>
        </w:rPr>
        <w:t>gmt</w:t>
      </w:r>
      <w:r>
        <w:rPr>
          <w:rFonts w:ascii="Times New Roman" w:cs="Times New Roman" w:eastAsia="Times New Roman" w:hAnsi="Times New Roman"/>
          <w:sz w:val="16"/>
          <w:szCs w:val="16"/>
          <w:b w:val="1"/>
          <w:bCs w:val="1"/>
          <w:color w:val="auto"/>
        </w:rPr>
        <w:t xml:space="preserve"> S</w:t>
      </w:r>
      <w:r>
        <w:rPr>
          <w:rFonts w:ascii="Times New Roman" w:cs="Times New Roman" w:eastAsia="Times New Roman" w:hAnsi="Times New Roman"/>
          <w:sz w:val="10"/>
          <w:szCs w:val="10"/>
          <w:b w:val="1"/>
          <w:bCs w:val="1"/>
          <w:color w:val="auto"/>
        </w:rPr>
        <w:t>td</w:t>
      </w:r>
      <w:r>
        <w:rPr>
          <w:rFonts w:ascii="Times New Roman" w:cs="Times New Roman" w:eastAsia="Times New Roman" w:hAnsi="Times New Roman"/>
          <w:sz w:val="16"/>
          <w:szCs w:val="16"/>
          <w:b w:val="1"/>
          <w:bCs w:val="1"/>
          <w:color w:val="auto"/>
        </w:rPr>
        <w:t xml:space="preserve"> 11.1.24</w:t>
      </w:r>
      <w:r>
        <w:rPr>
          <w:sz w:val="20"/>
          <w:szCs w:val="20"/>
          <w:color w:val="auto"/>
        </w:rPr>
        <w:tab/>
      </w:r>
      <w:r>
        <w:rPr>
          <w:rFonts w:ascii="Times New Roman" w:cs="Times New Roman" w:eastAsia="Times New Roman" w:hAnsi="Times New Roman"/>
          <w:sz w:val="16"/>
          <w:szCs w:val="16"/>
          <w:b w:val="1"/>
          <w:bCs w:val="1"/>
          <w:color w:val="auto"/>
        </w:rPr>
        <w:t>A</w:t>
      </w:r>
      <w:r>
        <w:rPr>
          <w:rFonts w:ascii="Times New Roman" w:cs="Times New Roman" w:eastAsia="Times New Roman" w:hAnsi="Times New Roman"/>
          <w:sz w:val="10"/>
          <w:szCs w:val="10"/>
          <w:b w:val="1"/>
          <w:bCs w:val="1"/>
          <w:color w:val="auto"/>
        </w:rPr>
        <w:t>ccuray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14</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NUMPAGES \* Arabic \* MERGEFORMAT 31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00171E"/>
        </w:rPr>
        <w:t>If to the Company: Accuray Incorporated</w:t>
      </w:r>
    </w:p>
    <w:p>
      <w:pPr>
        <w:spacing w:after="0" w:line="21"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0"/>
          <w:szCs w:val="20"/>
          <w:color w:val="00171E"/>
        </w:rPr>
        <w:t>3979 Freedom Circle, Suite 700</w:t>
      </w:r>
    </w:p>
    <w:p>
      <w:pPr>
        <w:ind w:left="3000"/>
        <w:spacing w:after="0"/>
        <w:rPr>
          <w:sz w:val="20"/>
          <w:szCs w:val="20"/>
          <w:color w:val="auto"/>
        </w:rPr>
      </w:pPr>
      <w:r>
        <w:rPr>
          <w:rFonts w:ascii="Times New Roman" w:cs="Times New Roman" w:eastAsia="Times New Roman" w:hAnsi="Times New Roman"/>
          <w:sz w:val="20"/>
          <w:szCs w:val="20"/>
          <w:color w:val="00171E"/>
        </w:rPr>
        <w:t>Santa Clara, CA 95054</w:t>
      </w:r>
    </w:p>
    <w:p>
      <w:pPr>
        <w:ind w:left="3000"/>
        <w:spacing w:after="0"/>
        <w:rPr>
          <w:sz w:val="20"/>
          <w:szCs w:val="20"/>
          <w:color w:val="auto"/>
        </w:rPr>
      </w:pPr>
      <w:r>
        <w:rPr>
          <w:rFonts w:ascii="Times New Roman" w:cs="Times New Roman" w:eastAsia="Times New Roman" w:hAnsi="Times New Roman"/>
          <w:sz w:val="20"/>
          <w:szCs w:val="20"/>
          <w:color w:val="00171E"/>
        </w:rPr>
        <w:t>Attn: Chief Legal Officer</w:t>
      </w:r>
    </w:p>
    <w:p>
      <w:pPr>
        <w:sectPr>
          <w:pgSz w:w="11900" w:h="16838" w:orient="portrait"/>
          <w:cols w:equalWidth="0" w:num="1">
            <w:col w:w="11240"/>
          </w:cols>
          <w:pgMar w:left="320" w:top="765" w:right="339" w:bottom="1440" w:gutter="0" w:footer="0" w:header="0"/>
        </w:sectPr>
      </w:pPr>
    </w:p>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00171E"/>
        </w:rPr>
        <w:t>If to Executive:</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171E"/>
        </w:rPr>
        <w:t>Sandeep Chalke</w:t>
      </w:r>
    </w:p>
    <w:p>
      <w:pPr>
        <w:spacing w:after="0" w:line="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00171E"/>
        </w:rPr>
        <w:t>Address: most recent on file with the Company</w:t>
      </w:r>
    </w:p>
    <w:p>
      <w:pPr>
        <w:spacing w:after="0" w:line="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00171E"/>
        </w:rPr>
        <w:t>Email: most recent on file with the Company</w:t>
      </w:r>
    </w:p>
    <w:p>
      <w:pPr>
        <w:spacing w:after="0" w:line="190" w:lineRule="exact"/>
        <w:rPr>
          <w:sz w:val="20"/>
          <w:szCs w:val="20"/>
          <w:color w:val="auto"/>
        </w:rPr>
      </w:pPr>
    </w:p>
    <w:p>
      <w:pPr>
        <w:sectPr>
          <w:pgSz w:w="11900" w:h="16838" w:orient="portrait"/>
          <w:cols w:equalWidth="0" w:num="2">
            <w:col w:w="1980" w:space="360"/>
            <w:col w:w="8900"/>
          </w:cols>
          <w:pgMar w:left="320" w:top="765" w:right="339" w:bottom="1440" w:gutter="0" w:footer="0" w:header="0"/>
          <w:type w:val="continuous"/>
        </w:sectPr>
      </w:pPr>
    </w:p>
    <w:p>
      <w:pPr>
        <w:jc w:val="both"/>
        <w:ind w:firstLine="757"/>
        <w:spacing w:after="0" w:line="256" w:lineRule="auto"/>
        <w:tabs>
          <w:tab w:leader="none" w:pos="1018" w:val="left"/>
        </w:tabs>
        <w:numPr>
          <w:ilvl w:val="0"/>
          <w:numId w:val="130"/>
        </w:numPr>
        <w:rPr>
          <w:rFonts w:ascii="Times New Roman" w:cs="Times New Roman" w:eastAsia="Times New Roman" w:hAnsi="Times New Roman"/>
          <w:sz w:val="20"/>
          <w:szCs w:val="20"/>
          <w:b w:val="1"/>
          <w:bCs w:val="1"/>
          <w:color w:val="00171E"/>
        </w:rPr>
      </w:pPr>
      <w:r>
        <w:rPr>
          <w:rFonts w:ascii="Times New Roman" w:cs="Times New Roman" w:eastAsia="Times New Roman" w:hAnsi="Times New Roman"/>
          <w:sz w:val="20"/>
          <w:szCs w:val="20"/>
          <w:b w:val="1"/>
          <w:bCs w:val="1"/>
          <w:color w:val="00171E"/>
        </w:rPr>
        <w:t>Indemnification</w:t>
      </w:r>
      <w:r>
        <w:rPr>
          <w:rFonts w:ascii="Times New Roman" w:cs="Times New Roman" w:eastAsia="Times New Roman" w:hAnsi="Times New Roman"/>
          <w:sz w:val="20"/>
          <w:szCs w:val="20"/>
          <w:color w:val="00171E"/>
        </w:rPr>
        <w:t>. As soon as reasonably practicable after the due execution of this Agreement by each of the parties hereto, the</w:t>
      </w:r>
      <w:r>
        <w:rPr>
          <w:rFonts w:ascii="Times New Roman" w:cs="Times New Roman" w:eastAsia="Times New Roman" w:hAnsi="Times New Roman"/>
          <w:sz w:val="20"/>
          <w:szCs w:val="20"/>
          <w:b w:val="1"/>
          <w:bCs w:val="1"/>
          <w:color w:val="00171E"/>
        </w:rPr>
        <w:t xml:space="preserve"> </w:t>
      </w:r>
      <w:r>
        <w:rPr>
          <w:rFonts w:ascii="Times New Roman" w:cs="Times New Roman" w:eastAsia="Times New Roman" w:hAnsi="Times New Roman"/>
          <w:sz w:val="20"/>
          <w:szCs w:val="20"/>
          <w:color w:val="00171E"/>
        </w:rPr>
        <w:t>Company and Executive will enter into the Company’s standard form of indemnification agreement utilized by the Company for its directors and executive officers unless such an agreement is already in effect.</w:t>
      </w:r>
    </w:p>
    <w:p>
      <w:pPr>
        <w:spacing w:after="0" w:line="168" w:lineRule="exact"/>
        <w:rPr>
          <w:rFonts w:ascii="Times New Roman" w:cs="Times New Roman" w:eastAsia="Times New Roman" w:hAnsi="Times New Roman"/>
          <w:sz w:val="20"/>
          <w:szCs w:val="20"/>
          <w:b w:val="1"/>
          <w:bCs w:val="1"/>
          <w:color w:val="00171E"/>
        </w:rPr>
      </w:pPr>
    </w:p>
    <w:p>
      <w:pPr>
        <w:jc w:val="both"/>
        <w:ind w:firstLine="757"/>
        <w:spacing w:after="0" w:line="256" w:lineRule="auto"/>
        <w:tabs>
          <w:tab w:leader="none" w:pos="1018" w:val="left"/>
        </w:tabs>
        <w:numPr>
          <w:ilvl w:val="0"/>
          <w:numId w:val="130"/>
        </w:numPr>
        <w:rPr>
          <w:rFonts w:ascii="Times New Roman" w:cs="Times New Roman" w:eastAsia="Times New Roman" w:hAnsi="Times New Roman"/>
          <w:sz w:val="20"/>
          <w:szCs w:val="20"/>
          <w:b w:val="1"/>
          <w:bCs w:val="1"/>
          <w:color w:val="00171E"/>
        </w:rPr>
      </w:pPr>
      <w:r>
        <w:rPr>
          <w:rFonts w:ascii="Times New Roman" w:cs="Times New Roman" w:eastAsia="Times New Roman" w:hAnsi="Times New Roman"/>
          <w:sz w:val="20"/>
          <w:szCs w:val="20"/>
          <w:b w:val="1"/>
          <w:bCs w:val="1"/>
          <w:color w:val="00171E"/>
        </w:rPr>
        <w:t xml:space="preserve">Dispute Resolution. </w:t>
      </w:r>
      <w:r>
        <w:rPr>
          <w:rFonts w:ascii="Times New Roman" w:cs="Times New Roman" w:eastAsia="Times New Roman" w:hAnsi="Times New Roman"/>
          <w:sz w:val="20"/>
          <w:szCs w:val="20"/>
          <w:color w:val="00171E"/>
        </w:rPr>
        <w:t>The parties agree that all disputes, claims or controversies between them and between Executive and any</w:t>
      </w:r>
      <w:r>
        <w:rPr>
          <w:rFonts w:ascii="Times New Roman" w:cs="Times New Roman" w:eastAsia="Times New Roman" w:hAnsi="Times New Roman"/>
          <w:sz w:val="20"/>
          <w:szCs w:val="20"/>
          <w:b w:val="1"/>
          <w:bCs w:val="1"/>
          <w:color w:val="00171E"/>
        </w:rPr>
        <w:t xml:space="preserve"> </w:t>
      </w:r>
      <w:r>
        <w:rPr>
          <w:rFonts w:ascii="Times New Roman" w:cs="Times New Roman" w:eastAsia="Times New Roman" w:hAnsi="Times New Roman"/>
          <w:sz w:val="20"/>
          <w:szCs w:val="20"/>
          <w:color w:val="00171E"/>
        </w:rPr>
        <w:t>of the Company’s affiliated entities and the successor of all such entities, including any dispute, claim or controversy arising from or otherwise in connection with this Agreement and/or Executive’s employment with the Company, will be resolved as follows:</w:t>
      </w:r>
    </w:p>
    <w:p>
      <w:pPr>
        <w:spacing w:after="0" w:line="172" w:lineRule="exact"/>
        <w:rPr>
          <w:rFonts w:ascii="Times New Roman" w:cs="Times New Roman" w:eastAsia="Times New Roman" w:hAnsi="Times New Roman"/>
          <w:sz w:val="20"/>
          <w:szCs w:val="20"/>
          <w:b w:val="1"/>
          <w:bCs w:val="1"/>
          <w:color w:val="00171E"/>
        </w:rPr>
      </w:pPr>
    </w:p>
    <w:p>
      <w:pPr>
        <w:jc w:val="both"/>
        <w:ind w:firstLine="1505"/>
        <w:spacing w:after="0" w:line="254" w:lineRule="auto"/>
        <w:tabs>
          <w:tab w:leader="none" w:pos="2036" w:val="left"/>
        </w:tabs>
        <w:numPr>
          <w:ilvl w:val="1"/>
          <w:numId w:val="130"/>
        </w:numPr>
        <w:rPr>
          <w:rFonts w:ascii="Times New Roman" w:cs="Times New Roman" w:eastAsia="Times New Roman" w:hAnsi="Times New Roman"/>
          <w:sz w:val="20"/>
          <w:szCs w:val="20"/>
          <w:u w:val="single" w:color="auto"/>
          <w:color w:val="00171E"/>
        </w:rPr>
      </w:pPr>
      <w:r>
        <w:rPr>
          <w:rFonts w:ascii="Times New Roman" w:cs="Times New Roman" w:eastAsia="Times New Roman" w:hAnsi="Times New Roman"/>
          <w:sz w:val="20"/>
          <w:szCs w:val="20"/>
          <w:color w:val="00171E"/>
        </w:rPr>
        <w:t>Prior to initiating any other proceeding, the complaining party will provide the other party with a written statement of the claim identifying any supporting witnesses or documents and the requested relief. The responding party shall within forty-five (45) days furnish a statement of the relief, if any, that it is willing to provide, and identify supporting witnesses or documents.</w:t>
      </w:r>
    </w:p>
    <w:p>
      <w:pPr>
        <w:spacing w:after="0" w:line="174" w:lineRule="exact"/>
        <w:rPr>
          <w:rFonts w:ascii="Times New Roman" w:cs="Times New Roman" w:eastAsia="Times New Roman" w:hAnsi="Times New Roman"/>
          <w:sz w:val="20"/>
          <w:szCs w:val="20"/>
          <w:u w:val="single" w:color="auto"/>
          <w:color w:val="00171E"/>
        </w:rPr>
      </w:pPr>
    </w:p>
    <w:p>
      <w:pPr>
        <w:jc w:val="both"/>
        <w:ind w:firstLine="1505"/>
        <w:spacing w:after="0" w:line="254" w:lineRule="auto"/>
        <w:tabs>
          <w:tab w:leader="none" w:pos="2036" w:val="left"/>
        </w:tabs>
        <w:numPr>
          <w:ilvl w:val="1"/>
          <w:numId w:val="130"/>
        </w:numPr>
        <w:rPr>
          <w:rFonts w:ascii="Times New Roman" w:cs="Times New Roman" w:eastAsia="Times New Roman" w:hAnsi="Times New Roman"/>
          <w:sz w:val="20"/>
          <w:szCs w:val="20"/>
          <w:u w:val="single" w:color="auto"/>
          <w:color w:val="00171E"/>
        </w:rPr>
      </w:pPr>
      <w:r>
        <w:rPr>
          <w:rFonts w:ascii="Times New Roman" w:cs="Times New Roman" w:eastAsia="Times New Roman" w:hAnsi="Times New Roman"/>
          <w:sz w:val="20"/>
          <w:szCs w:val="20"/>
          <w:color w:val="00171E"/>
        </w:rPr>
        <w:t>If the matter is not resolved by the exchange of statements of claim and statements of response as provided herein, the parties shall submit the dispute to non-binding mediation, the cost of the mediator to be paid by the Company, before a mediator and/or service to be jointly selected by the parties. Each party will bear his/her or its own attorney’s fees and witness fees.</w:t>
      </w:r>
    </w:p>
    <w:p>
      <w:pPr>
        <w:spacing w:after="0" w:line="174" w:lineRule="exact"/>
        <w:rPr>
          <w:rFonts w:ascii="Times New Roman" w:cs="Times New Roman" w:eastAsia="Times New Roman" w:hAnsi="Times New Roman"/>
          <w:sz w:val="20"/>
          <w:szCs w:val="20"/>
          <w:u w:val="single" w:color="auto"/>
          <w:color w:val="00171E"/>
        </w:rPr>
      </w:pPr>
    </w:p>
    <w:p>
      <w:pPr>
        <w:jc w:val="both"/>
        <w:ind w:firstLine="1505"/>
        <w:spacing w:after="0" w:line="242" w:lineRule="auto"/>
        <w:tabs>
          <w:tab w:leader="none" w:pos="2036" w:val="left"/>
        </w:tabs>
        <w:numPr>
          <w:ilvl w:val="1"/>
          <w:numId w:val="130"/>
        </w:numPr>
        <w:rPr>
          <w:rFonts w:ascii="Times New Roman" w:cs="Times New Roman" w:eastAsia="Times New Roman" w:hAnsi="Times New Roman"/>
          <w:sz w:val="20"/>
          <w:szCs w:val="20"/>
          <w:u w:val="single" w:color="auto"/>
          <w:color w:val="00171E"/>
        </w:rPr>
      </w:pPr>
      <w:r>
        <w:rPr>
          <w:rFonts w:ascii="Times New Roman" w:cs="Times New Roman" w:eastAsia="Times New Roman" w:hAnsi="Times New Roman"/>
          <w:sz w:val="20"/>
          <w:szCs w:val="20"/>
          <w:color w:val="00171E"/>
        </w:rPr>
        <w:t>If the parties cannot agree on a mediator and/or if the matter is not otherwise resolved by mediation, any controversy or claim between Executive and the Company and any of its current or former directors, officers and employees, including any arising out of or relating to this Agreement or breach thereof, shall be settled by final and binding arbitration pursuant to the Federal Arbitration Act (9 U.S.C. Sec. 1 Et Seq.) (the “</w:t>
      </w:r>
      <w:r>
        <w:rPr>
          <w:rFonts w:ascii="Times New Roman" w:cs="Times New Roman" w:eastAsia="Times New Roman" w:hAnsi="Times New Roman"/>
          <w:sz w:val="20"/>
          <w:szCs w:val="20"/>
          <w:u w:val="single" w:color="auto"/>
          <w:color w:val="00171E"/>
        </w:rPr>
        <w:t>FAA</w:t>
      </w:r>
      <w:r>
        <w:rPr>
          <w:rFonts w:ascii="Times New Roman" w:cs="Times New Roman" w:eastAsia="Times New Roman" w:hAnsi="Times New Roman"/>
          <w:sz w:val="20"/>
          <w:szCs w:val="20"/>
          <w:color w:val="00171E"/>
        </w:rPr>
        <w:t>”), which shall take place in Santa Clara County, California, or elsewhere as mutually agreed by the parties, before a single, neutral, arbitrator pursuant to the Employment Dispute Rules of Judicial Arbitration and Mediation Services, Inc. (“</w:t>
      </w:r>
      <w:r>
        <w:rPr>
          <w:rFonts w:ascii="Times New Roman" w:cs="Times New Roman" w:eastAsia="Times New Roman" w:hAnsi="Times New Roman"/>
          <w:sz w:val="20"/>
          <w:szCs w:val="20"/>
          <w:u w:val="single" w:color="auto"/>
          <w:color w:val="00171E"/>
        </w:rPr>
        <w:t>JAMS</w:t>
      </w:r>
      <w:r>
        <w:rPr>
          <w:rFonts w:ascii="Times New Roman" w:cs="Times New Roman" w:eastAsia="Times New Roman" w:hAnsi="Times New Roman"/>
          <w:sz w:val="20"/>
          <w:szCs w:val="20"/>
          <w:color w:val="00171E"/>
        </w:rPr>
        <w:t>”), unless the parties to the dispute agree to another arbitration service or independent arbitrator. The parties may conduct discovery to the extent permitted in a court of law; the arbitrator will render an award together with a written opinion indicating the bases for such opinion; and the arbitrator will have full authority to award all remedies that would be available in court. Judgment upon the award rendered by the arbitrator may be entered in any court having jurisdiction thereof. Each party shall bear its own attorney’s fees and costs, unless the claim is based on a statute that provides otherwise. The Company will pay the arbitrator’s fees and any administrative charges of the arbitration service, except that if Executive initiates the claim, he/she will pay a portion of the administrative charges equal to the amount he/she would have paid to initiate the claim in a court of general jurisdiction.</w:t>
      </w:r>
    </w:p>
    <w:p>
      <w:pPr>
        <w:spacing w:after="0" w:line="187" w:lineRule="exact"/>
        <w:rPr>
          <w:rFonts w:ascii="Times New Roman" w:cs="Times New Roman" w:eastAsia="Times New Roman" w:hAnsi="Times New Roman"/>
          <w:sz w:val="20"/>
          <w:szCs w:val="20"/>
          <w:u w:val="single" w:color="auto"/>
          <w:color w:val="00171E"/>
        </w:rPr>
      </w:pPr>
    </w:p>
    <w:p>
      <w:pPr>
        <w:jc w:val="both"/>
        <w:ind w:firstLine="1505"/>
        <w:spacing w:after="0" w:line="249" w:lineRule="auto"/>
        <w:tabs>
          <w:tab w:leader="none" w:pos="2036" w:val="left"/>
        </w:tabs>
        <w:numPr>
          <w:ilvl w:val="1"/>
          <w:numId w:val="130"/>
        </w:numPr>
        <w:rPr>
          <w:rFonts w:ascii="Times New Roman" w:cs="Times New Roman" w:eastAsia="Times New Roman" w:hAnsi="Times New Roman"/>
          <w:sz w:val="20"/>
          <w:szCs w:val="20"/>
          <w:u w:val="single" w:color="auto"/>
          <w:color w:val="00171E"/>
        </w:rPr>
      </w:pPr>
      <w:r>
        <w:rPr>
          <w:rFonts w:ascii="Times New Roman" w:cs="Times New Roman" w:eastAsia="Times New Roman" w:hAnsi="Times New Roman"/>
          <w:sz w:val="20"/>
          <w:szCs w:val="20"/>
          <w:color w:val="00171E"/>
        </w:rPr>
        <w:t>THE FAA’S SUBSTANTIVE AND PROCEDURAL PROVISIONS SHALL EXCLUSIVELY GOVERN AND APPLY WITH FULL FORCE AND EFFECT TO THIS ARBITRATION AGREEMENT, INCLUDING ITS ENFORCEMENT, AND ANY STATE COURT OF COMPETENT JURISDICTION SHALL STAY PROCEEDINGS PENDING ARBITRATION OR COMPEL ARBITRATION IN THE SAME MANNER AS A FEDERAL COURT UNDER THE FAA.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8"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6"/>
          <w:szCs w:val="16"/>
          <w:b w:val="1"/>
          <w:bCs w:val="1"/>
          <w:color w:val="auto"/>
        </w:rPr>
        <w:t>E</w:t>
      </w:r>
      <w:r>
        <w:rPr>
          <w:rFonts w:ascii="Times New Roman" w:cs="Times New Roman" w:eastAsia="Times New Roman" w:hAnsi="Times New Roman"/>
          <w:sz w:val="10"/>
          <w:szCs w:val="10"/>
          <w:b w:val="1"/>
          <w:bCs w:val="1"/>
          <w:color w:val="auto"/>
        </w:rPr>
        <w:t>xecutive</w:t>
      </w:r>
      <w:r>
        <w:rPr>
          <w:rFonts w:ascii="Times New Roman" w:cs="Times New Roman" w:eastAsia="Times New Roman" w:hAnsi="Times New Roman"/>
          <w:sz w:val="16"/>
          <w:szCs w:val="16"/>
          <w:b w:val="1"/>
          <w:bCs w:val="1"/>
          <w:color w:val="auto"/>
        </w:rPr>
        <w:t xml:space="preserve"> E</w:t>
      </w:r>
      <w:r>
        <w:rPr>
          <w:rFonts w:ascii="Times New Roman" w:cs="Times New Roman" w:eastAsia="Times New Roman" w:hAnsi="Times New Roman"/>
          <w:sz w:val="10"/>
          <w:szCs w:val="10"/>
          <w:b w:val="1"/>
          <w:bCs w:val="1"/>
          <w:color w:val="auto"/>
        </w:rPr>
        <w:t>mployment</w:t>
      </w:r>
      <w:r>
        <w:rPr>
          <w:rFonts w:ascii="Times New Roman" w:cs="Times New Roman" w:eastAsia="Times New Roman" w:hAnsi="Times New Roman"/>
          <w:sz w:val="16"/>
          <w:szCs w:val="16"/>
          <w:b w:val="1"/>
          <w:bCs w:val="1"/>
          <w:color w:val="auto"/>
        </w:rPr>
        <w:t xml:space="preserve"> A</w:t>
      </w:r>
      <w:r>
        <w:rPr>
          <w:rFonts w:ascii="Times New Roman" w:cs="Times New Roman" w:eastAsia="Times New Roman" w:hAnsi="Times New Roman"/>
          <w:sz w:val="10"/>
          <w:szCs w:val="10"/>
          <w:b w:val="1"/>
          <w:bCs w:val="1"/>
          <w:color w:val="auto"/>
        </w:rPr>
        <w:t>gmt</w:t>
      </w:r>
      <w:r>
        <w:rPr>
          <w:rFonts w:ascii="Times New Roman" w:cs="Times New Roman" w:eastAsia="Times New Roman" w:hAnsi="Times New Roman"/>
          <w:sz w:val="16"/>
          <w:szCs w:val="16"/>
          <w:b w:val="1"/>
          <w:bCs w:val="1"/>
          <w:color w:val="auto"/>
        </w:rPr>
        <w:t xml:space="preserve"> S</w:t>
      </w:r>
      <w:r>
        <w:rPr>
          <w:rFonts w:ascii="Times New Roman" w:cs="Times New Roman" w:eastAsia="Times New Roman" w:hAnsi="Times New Roman"/>
          <w:sz w:val="10"/>
          <w:szCs w:val="10"/>
          <w:b w:val="1"/>
          <w:bCs w:val="1"/>
          <w:color w:val="auto"/>
        </w:rPr>
        <w:t>td</w:t>
      </w:r>
      <w:r>
        <w:rPr>
          <w:rFonts w:ascii="Times New Roman" w:cs="Times New Roman" w:eastAsia="Times New Roman" w:hAnsi="Times New Roman"/>
          <w:sz w:val="16"/>
          <w:szCs w:val="16"/>
          <w:b w:val="1"/>
          <w:bCs w:val="1"/>
          <w:color w:val="auto"/>
        </w:rPr>
        <w:t xml:space="preserve"> 11.1.24</w:t>
      </w:r>
      <w:r>
        <w:rPr>
          <w:sz w:val="20"/>
          <w:szCs w:val="20"/>
          <w:color w:val="auto"/>
        </w:rPr>
        <w:tab/>
      </w:r>
      <w:r>
        <w:rPr>
          <w:rFonts w:ascii="Times New Roman" w:cs="Times New Roman" w:eastAsia="Times New Roman" w:hAnsi="Times New Roman"/>
          <w:sz w:val="16"/>
          <w:szCs w:val="16"/>
          <w:b w:val="1"/>
          <w:bCs w:val="1"/>
          <w:color w:val="auto"/>
        </w:rPr>
        <w:t>A</w:t>
      </w:r>
      <w:r>
        <w:rPr>
          <w:rFonts w:ascii="Times New Roman" w:cs="Times New Roman" w:eastAsia="Times New Roman" w:hAnsi="Times New Roman"/>
          <w:sz w:val="10"/>
          <w:szCs w:val="10"/>
          <w:b w:val="1"/>
          <w:bCs w:val="1"/>
          <w:color w:val="auto"/>
        </w:rPr>
        <w:t>ccuray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33" w:name="page134"/>
    <w:bookmarkEnd w:id="133"/>
    <w:p>
      <w:pPr>
        <w:ind w:left="6560"/>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15</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NUMPAGES \* Arabic \* MERGEFORMAT 31</w:t>
      </w:r>
    </w:p>
    <w:p>
      <w:pPr>
        <w:spacing w:after="0" w:line="200" w:lineRule="exact"/>
        <w:rPr>
          <w:sz w:val="20"/>
          <w:szCs w:val="20"/>
          <w:color w:val="auto"/>
        </w:rPr>
      </w:pPr>
    </w:p>
    <w:p>
      <w:pPr>
        <w:spacing w:after="0" w:line="24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00171E"/>
        </w:rPr>
        <w:t>EXECUTIVE AND THE COMPANY FURTHER AGREE THAT, TO THE FULLEST EXTENT PERMITTED BY LAW, EXECUTIVE MAY BRING ANY ARBITRATION PROCEEDING ONLY IN EXECUTIVE’S INDIVIDUAL CAPACITY, AND NOT AS A PLAINTIFF, REPRESENTATIVE, OR CLASS MEMBER IN ANY PURPORTED CLASS OR COLLECTIVE ACTION, LAWSUIT OR PROCEEDING. EXECUTIVE AGREES THAT ANY CLAIMS EXECUTIVE MAY BRING PURSUANT TO THE PRIVATE ATTORNEYS GENERAL ACT (“PAGA”) ON BEHALF OF THE LABOR AND WORKFORCE DEVELOPMENT AGENCY MUST BE ARBITRATED ONLY IN EXECUTIVE’S INDIVIDUAL CAPACITY WITHOUT ANY JOINDER OR REPRESENTATION OF ANY CALIFORNIA LABOR CODE VIOLATIONS THAT WERE OR COULD BE ASSERTED BY OR ON BEHALF OF ANY OTHER PERSONS. EXECUTIVE AND THE COMPANY AGREE THAT THIS ARBITRATION PROCEDURE WILL BE THE EXCLUSIVE MEANS OF REDRESS FOR ANY DISPUTES RELATING TO OR ARISING FROM EXECUTIVE’S EMPLOYMENT WITH THE COMPANY OR TERMINATION THEREFROM, INCLUDING DISPUTES OVER UNPAID WAGES, BREACH OF CONTRACT OR TORT, VIOLATION OF PUBLIC POLICY, RIGHTS PROVIDED BY FEDERAL, STATE OR LOCAL STATUTES, REGULATIONS, ORDINANCES, AND COMMON LAW, LAWS THAT PROHIBIT DISCRIMINATION BASED ON ANY PROTECTED CLASSIFICATION, AND ANY OTHER STATUTES OR LAWS RELATING TO AN EXECUTIVE’S RELATIONSHIP WITH THE COMPANY. THE FOREGOING NOTWITHSTANDING, CLAIMS FOR WORKERS’ COMPENSATION BENEFITS OR UNEMPLOYMENT INSURANCE, OR ANY OTHER CLAIMS WHERE MANDATORY ARBITRATION IS PROHIBITED BY LAW, ARE NOT COVERED BY THIS ARBITRATION PROVISION. THE PARTIES EXPRESSLY WAIVE THE RIGHT TO A JURY TRIAL, AND AGREE THAT THE ARBITRATOR’S AWARD SHALL BE FINAL AND BINDING ON BOTH PARTIES. THIS ARBITRATION PROVISION IS TO BE CONSTRUED AS BROADLY AS IS PERMISSIBLE UNDER APPLICABLE LAW.</w:t>
      </w:r>
    </w:p>
    <w:p>
      <w:pPr>
        <w:spacing w:after="0" w:line="186" w:lineRule="exact"/>
        <w:rPr>
          <w:sz w:val="20"/>
          <w:szCs w:val="20"/>
          <w:color w:val="auto"/>
        </w:rPr>
      </w:pPr>
    </w:p>
    <w:p>
      <w:pPr>
        <w:jc w:val="both"/>
        <w:ind w:firstLine="757"/>
        <w:spacing w:after="0" w:line="245" w:lineRule="auto"/>
        <w:tabs>
          <w:tab w:leader="none" w:pos="1018" w:val="left"/>
        </w:tabs>
        <w:numPr>
          <w:ilvl w:val="0"/>
          <w:numId w:val="131"/>
        </w:numPr>
        <w:rPr>
          <w:rFonts w:ascii="Times New Roman" w:cs="Times New Roman" w:eastAsia="Times New Roman" w:hAnsi="Times New Roman"/>
          <w:sz w:val="20"/>
          <w:szCs w:val="20"/>
          <w:b w:val="1"/>
          <w:bCs w:val="1"/>
          <w:color w:val="00171E"/>
        </w:rPr>
      </w:pPr>
      <w:r>
        <w:rPr>
          <w:rFonts w:ascii="Times New Roman" w:cs="Times New Roman" w:eastAsia="Times New Roman" w:hAnsi="Times New Roman"/>
          <w:sz w:val="20"/>
          <w:szCs w:val="20"/>
          <w:b w:val="1"/>
          <w:bCs w:val="1"/>
          <w:color w:val="00171E"/>
        </w:rPr>
        <w:t xml:space="preserve">Representations. </w:t>
      </w:r>
      <w:r>
        <w:rPr>
          <w:rFonts w:ascii="Times New Roman" w:cs="Times New Roman" w:eastAsia="Times New Roman" w:hAnsi="Times New Roman"/>
          <w:sz w:val="20"/>
          <w:szCs w:val="20"/>
          <w:color w:val="00171E"/>
        </w:rPr>
        <w:t>Each person executing this Agreement hereby represents and warrants on behalf of himself/herself and of the</w:t>
      </w:r>
      <w:r>
        <w:rPr>
          <w:rFonts w:ascii="Times New Roman" w:cs="Times New Roman" w:eastAsia="Times New Roman" w:hAnsi="Times New Roman"/>
          <w:sz w:val="20"/>
          <w:szCs w:val="20"/>
          <w:b w:val="1"/>
          <w:bCs w:val="1"/>
          <w:color w:val="00171E"/>
        </w:rPr>
        <w:t xml:space="preserve"> </w:t>
      </w:r>
      <w:r>
        <w:rPr>
          <w:rFonts w:ascii="Times New Roman" w:cs="Times New Roman" w:eastAsia="Times New Roman" w:hAnsi="Times New Roman"/>
          <w:sz w:val="20"/>
          <w:szCs w:val="20"/>
          <w:color w:val="00171E"/>
        </w:rPr>
        <w:t>entity/individual on whose behalf he/she is executing the Agreement that he/she is authorized to represent and bind the entity/individual on whose behalf he/she is executing the Agreement. Executive specifically represents and warrants to the Company that he/she reasonably believes (a) he/she is not under any contractual or other obligations that would prevent, limit or impair Executive’s performance of his/her obligations under this Agreement and (b) that entering into this Agreement will not result in a breach of any other agreement to which he/she is a party. Executive acknowledges that Executive has been given the opportunity to consult with legal counsel and seek such advice and consultation as Executive deems appropriate or necessary.</w:t>
      </w:r>
    </w:p>
    <w:p>
      <w:pPr>
        <w:spacing w:after="0" w:line="179" w:lineRule="exact"/>
        <w:rPr>
          <w:rFonts w:ascii="Times New Roman" w:cs="Times New Roman" w:eastAsia="Times New Roman" w:hAnsi="Times New Roman"/>
          <w:sz w:val="20"/>
          <w:szCs w:val="20"/>
          <w:b w:val="1"/>
          <w:bCs w:val="1"/>
          <w:color w:val="00171E"/>
        </w:rPr>
      </w:pPr>
    </w:p>
    <w:p>
      <w:pPr>
        <w:jc w:val="both"/>
        <w:ind w:firstLine="757"/>
        <w:spacing w:after="0" w:line="250" w:lineRule="auto"/>
        <w:tabs>
          <w:tab w:leader="none" w:pos="1018" w:val="left"/>
        </w:tabs>
        <w:numPr>
          <w:ilvl w:val="0"/>
          <w:numId w:val="131"/>
        </w:numPr>
        <w:rPr>
          <w:rFonts w:ascii="Times New Roman" w:cs="Times New Roman" w:eastAsia="Times New Roman" w:hAnsi="Times New Roman"/>
          <w:sz w:val="20"/>
          <w:szCs w:val="20"/>
          <w:b w:val="1"/>
          <w:bCs w:val="1"/>
          <w:color w:val="00171E"/>
        </w:rPr>
      </w:pPr>
      <w:r>
        <w:rPr>
          <w:rFonts w:ascii="Times New Roman" w:cs="Times New Roman" w:eastAsia="Times New Roman" w:hAnsi="Times New Roman"/>
          <w:sz w:val="20"/>
          <w:szCs w:val="20"/>
          <w:b w:val="1"/>
          <w:bCs w:val="1"/>
          <w:color w:val="00171E"/>
        </w:rPr>
        <w:t xml:space="preserve">Amendments and Waivers. </w:t>
      </w:r>
      <w:r>
        <w:rPr>
          <w:rFonts w:ascii="Times New Roman" w:cs="Times New Roman" w:eastAsia="Times New Roman" w:hAnsi="Times New Roman"/>
          <w:sz w:val="20"/>
          <w:szCs w:val="20"/>
          <w:color w:val="00171E"/>
        </w:rPr>
        <w:t>No provisions of this Agreement may be modified, waived, or discharged except by a written</w:t>
      </w:r>
      <w:r>
        <w:rPr>
          <w:rFonts w:ascii="Times New Roman" w:cs="Times New Roman" w:eastAsia="Times New Roman" w:hAnsi="Times New Roman"/>
          <w:sz w:val="20"/>
          <w:szCs w:val="20"/>
          <w:b w:val="1"/>
          <w:bCs w:val="1"/>
          <w:color w:val="00171E"/>
        </w:rPr>
        <w:t xml:space="preserve"> </w:t>
      </w:r>
      <w:r>
        <w:rPr>
          <w:rFonts w:ascii="Times New Roman" w:cs="Times New Roman" w:eastAsia="Times New Roman" w:hAnsi="Times New Roman"/>
          <w:sz w:val="20"/>
          <w:szCs w:val="20"/>
          <w:color w:val="00171E"/>
        </w:rPr>
        <w:t>document signed by Executive and a duly authorized Company officer. Thus, for example, promotions, commendations, and/or bonuses shall not, by themselves, modify, amend, or extend this Agreement. A waiver of any conditions or provisions of this Agreement in a given instance shall not be deemed a waiver of such conditions or provisions at any other time.</w:t>
      </w:r>
    </w:p>
    <w:p>
      <w:pPr>
        <w:spacing w:after="0" w:line="67" w:lineRule="exact"/>
        <w:rPr>
          <w:rFonts w:ascii="Times New Roman" w:cs="Times New Roman" w:eastAsia="Times New Roman" w:hAnsi="Times New Roman"/>
          <w:sz w:val="20"/>
          <w:szCs w:val="20"/>
          <w:b w:val="1"/>
          <w:bCs w:val="1"/>
          <w:color w:val="00171E"/>
        </w:rPr>
      </w:pPr>
    </w:p>
    <w:p>
      <w:pPr>
        <w:ind w:left="1020" w:hanging="263"/>
        <w:spacing w:after="0"/>
        <w:tabs>
          <w:tab w:leader="none" w:pos="1020" w:val="left"/>
        </w:tabs>
        <w:numPr>
          <w:ilvl w:val="0"/>
          <w:numId w:val="131"/>
        </w:numPr>
        <w:rPr>
          <w:rFonts w:ascii="Times New Roman" w:cs="Times New Roman" w:eastAsia="Times New Roman" w:hAnsi="Times New Roman"/>
          <w:sz w:val="20"/>
          <w:szCs w:val="20"/>
          <w:b w:val="1"/>
          <w:bCs w:val="1"/>
          <w:color w:val="00171E"/>
        </w:rPr>
      </w:pPr>
      <w:r>
        <w:rPr>
          <w:rFonts w:ascii="Times New Roman" w:cs="Times New Roman" w:eastAsia="Times New Roman" w:hAnsi="Times New Roman"/>
          <w:sz w:val="20"/>
          <w:szCs w:val="20"/>
          <w:b w:val="1"/>
          <w:bCs w:val="1"/>
          <w:color w:val="00171E"/>
        </w:rPr>
        <w:t>Taxes.</w:t>
      </w:r>
    </w:p>
    <w:p>
      <w:pPr>
        <w:spacing w:after="0" w:line="111" w:lineRule="exact"/>
        <w:rPr>
          <w:rFonts w:ascii="Times New Roman" w:cs="Times New Roman" w:eastAsia="Times New Roman" w:hAnsi="Times New Roman"/>
          <w:sz w:val="20"/>
          <w:szCs w:val="20"/>
          <w:b w:val="1"/>
          <w:bCs w:val="1"/>
          <w:color w:val="00171E"/>
        </w:rPr>
      </w:pPr>
    </w:p>
    <w:p>
      <w:pPr>
        <w:jc w:val="both"/>
        <w:ind w:firstLine="1505"/>
        <w:spacing w:after="0" w:line="249" w:lineRule="auto"/>
        <w:tabs>
          <w:tab w:leader="none" w:pos="2036" w:val="left"/>
        </w:tabs>
        <w:numPr>
          <w:ilvl w:val="1"/>
          <w:numId w:val="131"/>
        </w:numPr>
        <w:rPr>
          <w:rFonts w:ascii="Times New Roman" w:cs="Times New Roman" w:eastAsia="Times New Roman" w:hAnsi="Times New Roman"/>
          <w:sz w:val="20"/>
          <w:szCs w:val="20"/>
          <w:u w:val="single" w:color="auto"/>
          <w:color w:val="00171E"/>
        </w:rPr>
      </w:pPr>
      <w:r>
        <w:rPr>
          <w:rFonts w:ascii="Times New Roman" w:cs="Times New Roman" w:eastAsia="Times New Roman" w:hAnsi="Times New Roman"/>
          <w:sz w:val="20"/>
          <w:szCs w:val="20"/>
          <w:u w:val="single" w:color="auto"/>
          <w:color w:val="00171E"/>
        </w:rPr>
        <w:t>Withholdings</w:t>
      </w:r>
      <w:r>
        <w:rPr>
          <w:rFonts w:ascii="Times New Roman" w:cs="Times New Roman" w:eastAsia="Times New Roman" w:hAnsi="Times New Roman"/>
          <w:sz w:val="20"/>
          <w:szCs w:val="20"/>
          <w:color w:val="00171E"/>
        </w:rPr>
        <w:t>. The Company may withhold from any compensation and benefits payable under this Agreement all federal, state, city and other taxes or amounts as shall be determined by the Company to be required to be withheld pursuant to applicable laws, or governmental regulations or rulings. Executive shall be solely responsible for the satisfaction of any taxes (including employment taxes imposed on employees and penalty taxes on nonqualified deferred compensation).</w:t>
      </w:r>
    </w:p>
    <w:p>
      <w:pPr>
        <w:spacing w:after="0" w:line="71" w:lineRule="exact"/>
        <w:rPr>
          <w:rFonts w:ascii="Times New Roman" w:cs="Times New Roman" w:eastAsia="Times New Roman" w:hAnsi="Times New Roman"/>
          <w:sz w:val="20"/>
          <w:szCs w:val="20"/>
          <w:u w:val="single" w:color="auto"/>
          <w:color w:val="00171E"/>
        </w:rPr>
      </w:pPr>
    </w:p>
    <w:p>
      <w:pPr>
        <w:ind w:firstLine="1505"/>
        <w:spacing w:after="0" w:line="254" w:lineRule="auto"/>
        <w:tabs>
          <w:tab w:leader="none" w:pos="2036" w:val="left"/>
        </w:tabs>
        <w:numPr>
          <w:ilvl w:val="1"/>
          <w:numId w:val="131"/>
        </w:numPr>
        <w:rPr>
          <w:rFonts w:ascii="Times New Roman" w:cs="Times New Roman" w:eastAsia="Times New Roman" w:hAnsi="Times New Roman"/>
          <w:sz w:val="20"/>
          <w:szCs w:val="20"/>
          <w:u w:val="single" w:color="auto"/>
          <w:color w:val="00171E"/>
        </w:rPr>
      </w:pPr>
      <w:r>
        <w:rPr>
          <w:rFonts w:ascii="Times New Roman" w:cs="Times New Roman" w:eastAsia="Times New Roman" w:hAnsi="Times New Roman"/>
          <w:sz w:val="20"/>
          <w:szCs w:val="20"/>
          <w:u w:val="single" w:color="auto"/>
          <w:color w:val="00171E"/>
        </w:rPr>
        <w:t>Net Proceeds Maximization</w:t>
      </w:r>
      <w:r>
        <w:rPr>
          <w:rFonts w:ascii="Times New Roman" w:cs="Times New Roman" w:eastAsia="Times New Roman" w:hAnsi="Times New Roman"/>
          <w:sz w:val="20"/>
          <w:szCs w:val="20"/>
          <w:color w:val="00171E"/>
        </w:rPr>
        <w:t>. Notwithstanding any provision of this Agreement to the contrary, if all or any portion of the payments or benefits received or realized by Executive pursuant to this Agreement either alone or together with other payments or benefits that Executive receives or realizes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71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75"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6"/>
          <w:szCs w:val="16"/>
          <w:b w:val="1"/>
          <w:bCs w:val="1"/>
          <w:color w:val="auto"/>
        </w:rPr>
        <w:t>E</w:t>
      </w:r>
      <w:r>
        <w:rPr>
          <w:rFonts w:ascii="Times New Roman" w:cs="Times New Roman" w:eastAsia="Times New Roman" w:hAnsi="Times New Roman"/>
          <w:sz w:val="10"/>
          <w:szCs w:val="10"/>
          <w:b w:val="1"/>
          <w:bCs w:val="1"/>
          <w:color w:val="auto"/>
        </w:rPr>
        <w:t>xecutive</w:t>
      </w:r>
      <w:r>
        <w:rPr>
          <w:rFonts w:ascii="Times New Roman" w:cs="Times New Roman" w:eastAsia="Times New Roman" w:hAnsi="Times New Roman"/>
          <w:sz w:val="16"/>
          <w:szCs w:val="16"/>
          <w:b w:val="1"/>
          <w:bCs w:val="1"/>
          <w:color w:val="auto"/>
        </w:rPr>
        <w:t xml:space="preserve"> E</w:t>
      </w:r>
      <w:r>
        <w:rPr>
          <w:rFonts w:ascii="Times New Roman" w:cs="Times New Roman" w:eastAsia="Times New Roman" w:hAnsi="Times New Roman"/>
          <w:sz w:val="10"/>
          <w:szCs w:val="10"/>
          <w:b w:val="1"/>
          <w:bCs w:val="1"/>
          <w:color w:val="auto"/>
        </w:rPr>
        <w:t>mployment</w:t>
      </w:r>
      <w:r>
        <w:rPr>
          <w:rFonts w:ascii="Times New Roman" w:cs="Times New Roman" w:eastAsia="Times New Roman" w:hAnsi="Times New Roman"/>
          <w:sz w:val="16"/>
          <w:szCs w:val="16"/>
          <w:b w:val="1"/>
          <w:bCs w:val="1"/>
          <w:color w:val="auto"/>
        </w:rPr>
        <w:t xml:space="preserve"> A</w:t>
      </w:r>
      <w:r>
        <w:rPr>
          <w:rFonts w:ascii="Times New Roman" w:cs="Times New Roman" w:eastAsia="Times New Roman" w:hAnsi="Times New Roman"/>
          <w:sz w:val="10"/>
          <w:szCs w:val="10"/>
          <w:b w:val="1"/>
          <w:bCs w:val="1"/>
          <w:color w:val="auto"/>
        </w:rPr>
        <w:t>gmt</w:t>
      </w:r>
      <w:r>
        <w:rPr>
          <w:rFonts w:ascii="Times New Roman" w:cs="Times New Roman" w:eastAsia="Times New Roman" w:hAnsi="Times New Roman"/>
          <w:sz w:val="16"/>
          <w:szCs w:val="16"/>
          <w:b w:val="1"/>
          <w:bCs w:val="1"/>
          <w:color w:val="auto"/>
        </w:rPr>
        <w:t xml:space="preserve"> S</w:t>
      </w:r>
      <w:r>
        <w:rPr>
          <w:rFonts w:ascii="Times New Roman" w:cs="Times New Roman" w:eastAsia="Times New Roman" w:hAnsi="Times New Roman"/>
          <w:sz w:val="10"/>
          <w:szCs w:val="10"/>
          <w:b w:val="1"/>
          <w:bCs w:val="1"/>
          <w:color w:val="auto"/>
        </w:rPr>
        <w:t>td</w:t>
      </w:r>
      <w:r>
        <w:rPr>
          <w:rFonts w:ascii="Times New Roman" w:cs="Times New Roman" w:eastAsia="Times New Roman" w:hAnsi="Times New Roman"/>
          <w:sz w:val="16"/>
          <w:szCs w:val="16"/>
          <w:b w:val="1"/>
          <w:bCs w:val="1"/>
          <w:color w:val="auto"/>
        </w:rPr>
        <w:t xml:space="preserve"> 11.1.24</w:t>
      </w:r>
      <w:r>
        <w:rPr>
          <w:sz w:val="20"/>
          <w:szCs w:val="20"/>
          <w:color w:val="auto"/>
        </w:rPr>
        <w:tab/>
      </w:r>
      <w:r>
        <w:rPr>
          <w:rFonts w:ascii="Times New Roman" w:cs="Times New Roman" w:eastAsia="Times New Roman" w:hAnsi="Times New Roman"/>
          <w:sz w:val="16"/>
          <w:szCs w:val="16"/>
          <w:b w:val="1"/>
          <w:bCs w:val="1"/>
          <w:color w:val="auto"/>
        </w:rPr>
        <w:t>A</w:t>
      </w:r>
      <w:r>
        <w:rPr>
          <w:rFonts w:ascii="Times New Roman" w:cs="Times New Roman" w:eastAsia="Times New Roman" w:hAnsi="Times New Roman"/>
          <w:sz w:val="10"/>
          <w:szCs w:val="10"/>
          <w:b w:val="1"/>
          <w:bCs w:val="1"/>
          <w:color w:val="auto"/>
        </w:rPr>
        <w:t>ccuray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16</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NUMPAGES \* Arabic \* MERGEFORMAT 31</w:t>
      </w:r>
    </w:p>
    <w:p>
      <w:pPr>
        <w:spacing w:after="0" w:line="200" w:lineRule="exact"/>
        <w:rPr>
          <w:sz w:val="20"/>
          <w:szCs w:val="20"/>
          <w:color w:val="auto"/>
        </w:rPr>
      </w:pPr>
    </w:p>
    <w:p>
      <w:pPr>
        <w:spacing w:after="0" w:line="24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00171E"/>
        </w:rPr>
        <w:t>or is then entitled to receive or realize from the Company or any of its affiliates (“</w:t>
      </w:r>
      <w:r>
        <w:rPr>
          <w:rFonts w:ascii="Times New Roman" w:cs="Times New Roman" w:eastAsia="Times New Roman" w:hAnsi="Times New Roman"/>
          <w:sz w:val="20"/>
          <w:szCs w:val="20"/>
          <w:u w:val="single" w:color="auto"/>
          <w:color w:val="00171E"/>
        </w:rPr>
        <w:t>Potential Parachute Payments</w:t>
      </w:r>
      <w:r>
        <w:rPr>
          <w:rFonts w:ascii="Times New Roman" w:cs="Times New Roman" w:eastAsia="Times New Roman" w:hAnsi="Times New Roman"/>
          <w:sz w:val="20"/>
          <w:szCs w:val="20"/>
          <w:color w:val="00171E"/>
        </w:rPr>
        <w:t>”) would constitute a “parachute payment” within the meaning of section 280G of the Internal Revenue Code of 1986, as amended (the “</w:t>
      </w:r>
      <w:r>
        <w:rPr>
          <w:rFonts w:ascii="Times New Roman" w:cs="Times New Roman" w:eastAsia="Times New Roman" w:hAnsi="Times New Roman"/>
          <w:sz w:val="20"/>
          <w:szCs w:val="20"/>
          <w:u w:val="single" w:color="auto"/>
          <w:color w:val="00171E"/>
        </w:rPr>
        <w:t>Code</w:t>
      </w:r>
      <w:r>
        <w:rPr>
          <w:rFonts w:ascii="Times New Roman" w:cs="Times New Roman" w:eastAsia="Times New Roman" w:hAnsi="Times New Roman"/>
          <w:sz w:val="20"/>
          <w:szCs w:val="20"/>
          <w:color w:val="00171E"/>
        </w:rPr>
        <w:t>”), and/or any corresponding and applicable state law provision, the Potential Parachute Payments will be reduced by reducing the amount of the Potential Parachute Payments to the extent necessary so that no portion of the Potential Parachute Payments will be subject to the excise tax imposed by section 4999 of the Code and any corresponding and/or applicable state law provision. A reduction will be made under the previous sentence only if, by reason of that reduction, Executive's net after tax benefit exceeds the net after tax benefit he/she would realize if the reduction were not made. For purposes of this paragraph, “net after tax benefit” means the sum of (i) the total amount received or realized by Executive pursuant to this Agreement that would constitute a “parachute payment” within the meaning of section 280G of the Code and any corresponding and applicable state law provision, plus (ii) all other payments or benefits that Executive receives or realizes or is then entitled to receive or realize from the Company and any of its affiliates that would constitute a “parachute payment” within the meaning of Section 280G of the Code and any corresponding and applicable state law provision, less (iii) the amount of federal or state income taxes payable with respect to the payments or benefits described in (i) and (ii) above calculated at the maximum marginal individual income tax rate for each year in which payments or benefits are realized by Executive (based upon the rate in effect for that year as set forth in the Code at the time of the first receipt or realization of the foregoing), less (iv) the amount of excise taxes imposed with respect to the payments or benefits described in (i) and (ii) above by section 4999 of the Code and any corresponding and applicable state law provision. All determinations and calculations made in this paragraph shall be made by an independent accounting firm selected by the Company prior to the Change in Control (the “</w:t>
      </w:r>
      <w:r>
        <w:rPr>
          <w:rFonts w:ascii="Times New Roman" w:cs="Times New Roman" w:eastAsia="Times New Roman" w:hAnsi="Times New Roman"/>
          <w:sz w:val="20"/>
          <w:szCs w:val="20"/>
          <w:u w:val="single" w:color="auto"/>
          <w:color w:val="00171E"/>
        </w:rPr>
        <w:t>Accounting Firm</w:t>
      </w:r>
      <w:r>
        <w:rPr>
          <w:rFonts w:ascii="Times New Roman" w:cs="Times New Roman" w:eastAsia="Times New Roman" w:hAnsi="Times New Roman"/>
          <w:sz w:val="20"/>
          <w:szCs w:val="20"/>
          <w:color w:val="00171E"/>
        </w:rPr>
        <w:t xml:space="preserve">”) and the Company will bear all costs and expenses incurred by the Accounting Firm in connection with its determination. The Accounting Firm shall be a nationally recognized United States public accounting firm which has not, during the two (2) years preceding the date of its selection, acted in any way on behalf of (x) the Company or any affiliate thereof or (y) Executive. If any payments or benefits are reduced pursuant to this </w:t>
      </w:r>
      <w:r>
        <w:rPr>
          <w:rFonts w:ascii="Times New Roman" w:cs="Times New Roman" w:eastAsia="Times New Roman" w:hAnsi="Times New Roman"/>
          <w:sz w:val="20"/>
          <w:szCs w:val="20"/>
          <w:u w:val="single" w:color="auto"/>
          <w:color w:val="00171E"/>
        </w:rPr>
        <w:t>Section 16(b)</w:t>
      </w:r>
      <w:r>
        <w:rPr>
          <w:rFonts w:ascii="Times New Roman" w:cs="Times New Roman" w:eastAsia="Times New Roman" w:hAnsi="Times New Roman"/>
          <w:sz w:val="20"/>
          <w:szCs w:val="20"/>
          <w:color w:val="00171E"/>
        </w:rPr>
        <w:t>, they shall be reduced in the following order: First all payments and benefits that do not constitute “nonqualified deferred compensation” within the meaning of Section 409A or that are exempt from Section 409A (with the payments or benefits being reduced in reverse order of when they otherwise would be made or provided); second, all payments or benefits that constitute “nonqualified deferred compensation” within the meaning of Section 409A that are not exempt from Section 409A that were granted to Executive in the 12-month period of time preceding the applicable Change in Control, in the order such benefits were granted to Executive; and third, all remaining payments and benefits shall be reduced pro-rata. Notwithstanding the foregoing, if (i) reducing payments or benefits in the order described above would result in the imposition on Executive of an additional tax under Section 409A, (ii) Executive so notifies the Company before such reductions and payments are made and benefits provided, and (iii) reducing the payments or benefits in another order would not result in the imposition on Executive of an additional tax under Section 409A , payments and benefits shall instead be reduced in such other order.</w:t>
      </w:r>
    </w:p>
    <w:p>
      <w:pPr>
        <w:spacing w:after="0" w:line="94" w:lineRule="exact"/>
        <w:rPr>
          <w:sz w:val="20"/>
          <w:szCs w:val="20"/>
          <w:color w:val="auto"/>
        </w:rPr>
      </w:pPr>
    </w:p>
    <w:p>
      <w:pPr>
        <w:ind w:left="2040" w:hanging="535"/>
        <w:spacing w:after="0"/>
        <w:tabs>
          <w:tab w:leader="none" w:pos="2040" w:val="left"/>
        </w:tabs>
        <w:numPr>
          <w:ilvl w:val="0"/>
          <w:numId w:val="132"/>
        </w:numPr>
        <w:rPr>
          <w:rFonts w:ascii="Times New Roman" w:cs="Times New Roman" w:eastAsia="Times New Roman" w:hAnsi="Times New Roman"/>
          <w:sz w:val="20"/>
          <w:szCs w:val="20"/>
          <w:u w:val="single" w:color="auto"/>
          <w:color w:val="00171E"/>
        </w:rPr>
      </w:pPr>
      <w:r>
        <w:rPr>
          <w:rFonts w:ascii="Times New Roman" w:cs="Times New Roman" w:eastAsia="Times New Roman" w:hAnsi="Times New Roman"/>
          <w:sz w:val="20"/>
          <w:szCs w:val="20"/>
          <w:u w:val="single" w:color="auto"/>
          <w:color w:val="00171E"/>
        </w:rPr>
        <w:t>Section 409A Compliance</w:t>
      </w:r>
      <w:r>
        <w:rPr>
          <w:rFonts w:ascii="Times New Roman" w:cs="Times New Roman" w:eastAsia="Times New Roman" w:hAnsi="Times New Roman"/>
          <w:sz w:val="20"/>
          <w:szCs w:val="20"/>
          <w:color w:val="00171E"/>
        </w:rPr>
        <w:t>.</w:t>
      </w:r>
    </w:p>
    <w:p>
      <w:pPr>
        <w:spacing w:after="0" w:line="107" w:lineRule="exact"/>
        <w:rPr>
          <w:rFonts w:ascii="Times New Roman" w:cs="Times New Roman" w:eastAsia="Times New Roman" w:hAnsi="Times New Roman"/>
          <w:sz w:val="20"/>
          <w:szCs w:val="20"/>
          <w:u w:val="single" w:color="auto"/>
          <w:color w:val="00171E"/>
        </w:rPr>
      </w:pPr>
    </w:p>
    <w:p>
      <w:pPr>
        <w:jc w:val="both"/>
        <w:ind w:firstLine="2254"/>
        <w:spacing w:after="0" w:line="243" w:lineRule="auto"/>
        <w:tabs>
          <w:tab w:leader="none" w:pos="2546" w:val="left"/>
        </w:tabs>
        <w:numPr>
          <w:ilvl w:val="1"/>
          <w:numId w:val="132"/>
        </w:numPr>
        <w:rPr>
          <w:rFonts w:ascii="Times New Roman" w:cs="Times New Roman" w:eastAsia="Times New Roman" w:hAnsi="Times New Roman"/>
          <w:sz w:val="20"/>
          <w:szCs w:val="20"/>
          <w:color w:val="00171E"/>
        </w:rPr>
      </w:pPr>
      <w:r>
        <w:rPr>
          <w:rFonts w:ascii="Times New Roman" w:cs="Times New Roman" w:eastAsia="Times New Roman" w:hAnsi="Times New Roman"/>
          <w:sz w:val="20"/>
          <w:szCs w:val="20"/>
          <w:color w:val="00171E"/>
        </w:rPr>
        <w:t>With respect to any reimbursement of expenses or any provision of in-kind benefits to Executive specified under this Agreement, such reimbursement of expenses or provision of in-kind benefits shall be subject to the following conditions: (1) the expenses eligible for reimbursement or the amount of in-kind benefits provided in one taxable year shall not affect the expenses eligible for reimbursement or the amount of in-kind benefits provided in any other taxable year, except for any medical reimbursement arrangements providing for the reimbursement of expenses referred to in section 105(b) of the Code; (2) the reimbursement of an eligible expense shall be made no later than the end of the year following the year in which such expense was incurred; and (3) the right to reimbursement or in-kind benefits shall not be subject to liquidation or exchange for another benefit. To the extent any bonus that becomes payable to Executive under the Bonus Plan constitutes “deferred compensation” within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71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0"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6"/>
          <w:szCs w:val="16"/>
          <w:b w:val="1"/>
          <w:bCs w:val="1"/>
          <w:color w:val="auto"/>
        </w:rPr>
        <w:t>E</w:t>
      </w:r>
      <w:r>
        <w:rPr>
          <w:rFonts w:ascii="Times New Roman" w:cs="Times New Roman" w:eastAsia="Times New Roman" w:hAnsi="Times New Roman"/>
          <w:sz w:val="10"/>
          <w:szCs w:val="10"/>
          <w:b w:val="1"/>
          <w:bCs w:val="1"/>
          <w:color w:val="auto"/>
        </w:rPr>
        <w:t>xecutive</w:t>
      </w:r>
      <w:r>
        <w:rPr>
          <w:rFonts w:ascii="Times New Roman" w:cs="Times New Roman" w:eastAsia="Times New Roman" w:hAnsi="Times New Roman"/>
          <w:sz w:val="16"/>
          <w:szCs w:val="16"/>
          <w:b w:val="1"/>
          <w:bCs w:val="1"/>
          <w:color w:val="auto"/>
        </w:rPr>
        <w:t xml:space="preserve"> E</w:t>
      </w:r>
      <w:r>
        <w:rPr>
          <w:rFonts w:ascii="Times New Roman" w:cs="Times New Roman" w:eastAsia="Times New Roman" w:hAnsi="Times New Roman"/>
          <w:sz w:val="10"/>
          <w:szCs w:val="10"/>
          <w:b w:val="1"/>
          <w:bCs w:val="1"/>
          <w:color w:val="auto"/>
        </w:rPr>
        <w:t>mployment</w:t>
      </w:r>
      <w:r>
        <w:rPr>
          <w:rFonts w:ascii="Times New Roman" w:cs="Times New Roman" w:eastAsia="Times New Roman" w:hAnsi="Times New Roman"/>
          <w:sz w:val="16"/>
          <w:szCs w:val="16"/>
          <w:b w:val="1"/>
          <w:bCs w:val="1"/>
          <w:color w:val="auto"/>
        </w:rPr>
        <w:t xml:space="preserve"> A</w:t>
      </w:r>
      <w:r>
        <w:rPr>
          <w:rFonts w:ascii="Times New Roman" w:cs="Times New Roman" w:eastAsia="Times New Roman" w:hAnsi="Times New Roman"/>
          <w:sz w:val="10"/>
          <w:szCs w:val="10"/>
          <w:b w:val="1"/>
          <w:bCs w:val="1"/>
          <w:color w:val="auto"/>
        </w:rPr>
        <w:t>gmt</w:t>
      </w:r>
      <w:r>
        <w:rPr>
          <w:rFonts w:ascii="Times New Roman" w:cs="Times New Roman" w:eastAsia="Times New Roman" w:hAnsi="Times New Roman"/>
          <w:sz w:val="16"/>
          <w:szCs w:val="16"/>
          <w:b w:val="1"/>
          <w:bCs w:val="1"/>
          <w:color w:val="auto"/>
        </w:rPr>
        <w:t xml:space="preserve"> S</w:t>
      </w:r>
      <w:r>
        <w:rPr>
          <w:rFonts w:ascii="Times New Roman" w:cs="Times New Roman" w:eastAsia="Times New Roman" w:hAnsi="Times New Roman"/>
          <w:sz w:val="10"/>
          <w:szCs w:val="10"/>
          <w:b w:val="1"/>
          <w:bCs w:val="1"/>
          <w:color w:val="auto"/>
        </w:rPr>
        <w:t>td</w:t>
      </w:r>
      <w:r>
        <w:rPr>
          <w:rFonts w:ascii="Times New Roman" w:cs="Times New Roman" w:eastAsia="Times New Roman" w:hAnsi="Times New Roman"/>
          <w:sz w:val="16"/>
          <w:szCs w:val="16"/>
          <w:b w:val="1"/>
          <w:bCs w:val="1"/>
          <w:color w:val="auto"/>
        </w:rPr>
        <w:t xml:space="preserve"> 11.1.24</w:t>
      </w:r>
      <w:r>
        <w:rPr>
          <w:sz w:val="20"/>
          <w:szCs w:val="20"/>
          <w:color w:val="auto"/>
        </w:rPr>
        <w:tab/>
      </w:r>
      <w:r>
        <w:rPr>
          <w:rFonts w:ascii="Times New Roman" w:cs="Times New Roman" w:eastAsia="Times New Roman" w:hAnsi="Times New Roman"/>
          <w:sz w:val="16"/>
          <w:szCs w:val="16"/>
          <w:b w:val="1"/>
          <w:bCs w:val="1"/>
          <w:color w:val="auto"/>
        </w:rPr>
        <w:t>A</w:t>
      </w:r>
      <w:r>
        <w:rPr>
          <w:rFonts w:ascii="Times New Roman" w:cs="Times New Roman" w:eastAsia="Times New Roman" w:hAnsi="Times New Roman"/>
          <w:sz w:val="10"/>
          <w:szCs w:val="10"/>
          <w:b w:val="1"/>
          <w:bCs w:val="1"/>
          <w:color w:val="auto"/>
        </w:rPr>
        <w:t>ccuray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5" w:name="page136"/>
    <w:bookmarkEnd w:id="135"/>
    <w:p>
      <w:pPr>
        <w:ind w:left="6560"/>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17</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NUMPAGES \* Arabic \* MERGEFORMAT 31</w:t>
      </w:r>
    </w:p>
    <w:p>
      <w:pPr>
        <w:spacing w:after="0" w:line="200" w:lineRule="exact"/>
        <w:rPr>
          <w:sz w:val="20"/>
          <w:szCs w:val="20"/>
          <w:color w:val="auto"/>
        </w:rPr>
      </w:pPr>
    </w:p>
    <w:p>
      <w:pPr>
        <w:spacing w:after="0" w:line="24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00171E"/>
        </w:rPr>
        <w:t>meaning of Section 409A of the Code, then notwithstanding any payment timing provisions in the Bonus Plan to the contrary, such payment will be made in the calendar year in which the applicable performance period ends.</w:t>
      </w:r>
    </w:p>
    <w:p>
      <w:pPr>
        <w:spacing w:after="0" w:line="51" w:lineRule="exact"/>
        <w:rPr>
          <w:sz w:val="20"/>
          <w:szCs w:val="20"/>
          <w:color w:val="auto"/>
        </w:rPr>
      </w:pPr>
    </w:p>
    <w:p>
      <w:pPr>
        <w:jc w:val="both"/>
        <w:ind w:firstLine="2254"/>
        <w:spacing w:after="0" w:line="245" w:lineRule="auto"/>
        <w:tabs>
          <w:tab w:leader="none" w:pos="2546" w:val="left"/>
        </w:tabs>
        <w:numPr>
          <w:ilvl w:val="0"/>
          <w:numId w:val="133"/>
        </w:numPr>
        <w:rPr>
          <w:rFonts w:ascii="Times New Roman" w:cs="Times New Roman" w:eastAsia="Times New Roman" w:hAnsi="Times New Roman"/>
          <w:sz w:val="20"/>
          <w:szCs w:val="20"/>
          <w:color w:val="00171E"/>
        </w:rPr>
      </w:pPr>
      <w:r>
        <w:rPr>
          <w:rFonts w:ascii="Times New Roman" w:cs="Times New Roman" w:eastAsia="Times New Roman" w:hAnsi="Times New Roman"/>
          <w:sz w:val="20"/>
          <w:szCs w:val="20"/>
          <w:color w:val="00171E"/>
        </w:rPr>
        <w:t>A termination of employment shall not be deemed to have occurred for purposes of any provision of this Agreement providing for the payment of any amounts or benefits considered “deferred compensation” (as defined under Treasury Regulation section 1.409A-1(b)(1), after giving effect to the exemptions in Treasury Regulation sections 1.409A-1(b)(3) through (b)(12)) upon or following a termination of employment unless such termination is also a “separation from service” within the meaning of Section 409A and, for purposes of any such provision of this Agreement, references to a “termination,” “termination of employment” or like terms shall mean “separation from service” within the meaning of Section 409A.</w:t>
      </w:r>
    </w:p>
    <w:p>
      <w:pPr>
        <w:spacing w:after="0" w:line="76" w:lineRule="exact"/>
        <w:rPr>
          <w:sz w:val="20"/>
          <w:szCs w:val="20"/>
          <w:color w:val="auto"/>
        </w:rPr>
      </w:pPr>
    </w:p>
    <w:p>
      <w:pPr>
        <w:jc w:val="both"/>
        <w:ind w:firstLine="2246"/>
        <w:spacing w:after="0" w:line="242" w:lineRule="auto"/>
        <w:rPr>
          <w:sz w:val="20"/>
          <w:szCs w:val="20"/>
          <w:color w:val="auto"/>
        </w:rPr>
      </w:pPr>
      <w:r>
        <w:rPr>
          <w:rFonts w:ascii="Times New Roman" w:cs="Times New Roman" w:eastAsia="Times New Roman" w:hAnsi="Times New Roman"/>
          <w:sz w:val="20"/>
          <w:szCs w:val="20"/>
          <w:color w:val="00171E"/>
        </w:rPr>
        <w:t>(iii)Notwithstanding anything in this Agreement to the contrary, if a payment obligation arises on account of Executive’s separation from service while Executive is a “specified employee” as described in Section 409A of the Code and any final regulations and guidance thereunder and any applicable state or local law equivalent, as each may be amended or promulgated from time to time (collectively, “</w:t>
      </w:r>
      <w:r>
        <w:rPr>
          <w:rFonts w:ascii="Times New Roman" w:cs="Times New Roman" w:eastAsia="Times New Roman" w:hAnsi="Times New Roman"/>
          <w:sz w:val="20"/>
          <w:szCs w:val="20"/>
          <w:u w:val="single" w:color="auto"/>
          <w:color w:val="00171E"/>
        </w:rPr>
        <w:t>Section 409A</w:t>
      </w:r>
      <w:r>
        <w:rPr>
          <w:rFonts w:ascii="Times New Roman" w:cs="Times New Roman" w:eastAsia="Times New Roman" w:hAnsi="Times New Roman"/>
          <w:sz w:val="20"/>
          <w:szCs w:val="20"/>
          <w:color w:val="00171E"/>
        </w:rPr>
        <w:t>”), and as determined by Company in accordance with its procedures, by which determination Executive is bound, any payment of “deferred compensation” (as defined under Treasury Regulation section 1.409A-1(b)(1), after giving effect to the exemptions in Treasury Regulation sections 1.409A-1(b)(3) through (b)(12)) shall be made on the first business day of the seventh month following the date of Executive’s separation from service (or, if earlier, within fifteen (15) days after the appointment of the personal representative or executor of Executive’s estate following Executive’s death) together with interest on them for the period of delay at a rate equal to the average prime interest rate published in the Wall Street Journal on any day chosen by the Company during that period. Thereafter, Executive shall receive any remaining payments as if there had not been an earlier delay.</w:t>
      </w:r>
    </w:p>
    <w:p>
      <w:pPr>
        <w:spacing w:after="0" w:line="84" w:lineRule="exact"/>
        <w:rPr>
          <w:sz w:val="20"/>
          <w:szCs w:val="20"/>
          <w:color w:val="auto"/>
        </w:rPr>
      </w:pPr>
    </w:p>
    <w:p>
      <w:pPr>
        <w:jc w:val="both"/>
        <w:ind w:firstLine="2246"/>
        <w:spacing w:after="0" w:line="245" w:lineRule="auto"/>
        <w:rPr>
          <w:sz w:val="20"/>
          <w:szCs w:val="20"/>
          <w:color w:val="auto"/>
        </w:rPr>
      </w:pPr>
      <w:r>
        <w:rPr>
          <w:rFonts w:ascii="Times New Roman" w:cs="Times New Roman" w:eastAsia="Times New Roman" w:hAnsi="Times New Roman"/>
          <w:sz w:val="20"/>
          <w:szCs w:val="20"/>
          <w:color w:val="00171E"/>
        </w:rPr>
        <w:t>(iv)Notwithstanding anything to the contrary contained in this Agreement, (i) the Executive shall have no legally-enforceable right to, and the Company shall have no obligation to make, any payment or provide any benefit to Executive if having such a right or obligation would result in the imposition of additional taxes under Section 409A, and (ii) any provision that would cause any payment or benefit to fail to satisfy Section 409A will have no force and effect until amended to comply therewith (which amendment may be retroactive to the extent permitted by Section 409A and may be accomplished by the Company without the Executive’s consent). Each payment made under this Agreement is intended to be a separate payment for the purposes of section 409A of the Code.</w:t>
      </w:r>
    </w:p>
    <w:p>
      <w:pPr>
        <w:spacing w:after="0" w:line="76" w:lineRule="exact"/>
        <w:rPr>
          <w:sz w:val="20"/>
          <w:szCs w:val="20"/>
          <w:color w:val="auto"/>
        </w:rPr>
      </w:pPr>
    </w:p>
    <w:p>
      <w:pPr>
        <w:jc w:val="both"/>
        <w:ind w:firstLine="2254"/>
        <w:spacing w:after="0" w:line="244" w:lineRule="auto"/>
        <w:tabs>
          <w:tab w:leader="none" w:pos="2546" w:val="left"/>
        </w:tabs>
        <w:numPr>
          <w:ilvl w:val="1"/>
          <w:numId w:val="134"/>
        </w:numPr>
        <w:rPr>
          <w:rFonts w:ascii="Times New Roman" w:cs="Times New Roman" w:eastAsia="Times New Roman" w:hAnsi="Times New Roman"/>
          <w:sz w:val="20"/>
          <w:szCs w:val="20"/>
          <w:color w:val="00171E"/>
        </w:rPr>
      </w:pPr>
      <w:r>
        <w:rPr>
          <w:rFonts w:ascii="Times New Roman" w:cs="Times New Roman" w:eastAsia="Times New Roman" w:hAnsi="Times New Roman"/>
          <w:sz w:val="20"/>
          <w:szCs w:val="20"/>
          <w:color w:val="00171E"/>
        </w:rPr>
        <w:t>The Company does not guarantee any particular tax effect to Executive under this Agreement. Company shall not be liable to Executive for reporting in good faith any payment made under this Agreement as an amount includible in gross income under Section 409A. In no event will the Company or any of its affiliates have any obligation, liability or responsibility to reimburse or indemnify Executive or hold Executive harmless for any taxes imposed, or other costs incurred, as a result of Section 409A. The parties intend this Agreement to be exempt from, or comply with, the requirements of Section 409A so that none of the payments and benefits to be provided hereunder will be subject to the additional tax imposed by Section 409A. Any ambiguities or ambiguous terms shall be interpreted to so be exempt or comply, and this Agreement shall be administered in accordance with such intent.</w:t>
      </w:r>
    </w:p>
    <w:p>
      <w:pPr>
        <w:spacing w:after="0" w:line="73" w:lineRule="exact"/>
        <w:rPr>
          <w:rFonts w:ascii="Times New Roman" w:cs="Times New Roman" w:eastAsia="Times New Roman" w:hAnsi="Times New Roman"/>
          <w:sz w:val="20"/>
          <w:szCs w:val="20"/>
          <w:color w:val="00171E"/>
        </w:rPr>
      </w:pPr>
    </w:p>
    <w:p>
      <w:pPr>
        <w:jc w:val="both"/>
        <w:ind w:firstLine="757"/>
        <w:spacing w:after="0" w:line="250" w:lineRule="auto"/>
        <w:tabs>
          <w:tab w:leader="none" w:pos="1018" w:val="left"/>
        </w:tabs>
        <w:numPr>
          <w:ilvl w:val="0"/>
          <w:numId w:val="135"/>
        </w:numPr>
        <w:rPr>
          <w:rFonts w:ascii="Times New Roman" w:cs="Times New Roman" w:eastAsia="Times New Roman" w:hAnsi="Times New Roman"/>
          <w:sz w:val="20"/>
          <w:szCs w:val="20"/>
          <w:b w:val="1"/>
          <w:bCs w:val="1"/>
          <w:color w:val="00171E"/>
        </w:rPr>
      </w:pPr>
      <w:r>
        <w:rPr>
          <w:rFonts w:ascii="Times New Roman" w:cs="Times New Roman" w:eastAsia="Times New Roman" w:hAnsi="Times New Roman"/>
          <w:sz w:val="20"/>
          <w:szCs w:val="20"/>
          <w:b w:val="1"/>
          <w:bCs w:val="1"/>
          <w:color w:val="00171E"/>
        </w:rPr>
        <w:t xml:space="preserve">U.S. Citizenship and Immigration Services; Confidentiality and Inventions Agreement. </w:t>
      </w:r>
      <w:r>
        <w:rPr>
          <w:rFonts w:ascii="Times New Roman" w:cs="Times New Roman" w:eastAsia="Times New Roman" w:hAnsi="Times New Roman"/>
          <w:sz w:val="20"/>
          <w:szCs w:val="20"/>
          <w:color w:val="00171E"/>
        </w:rPr>
        <w:t>Executive agrees to timely file all</w:t>
      </w:r>
      <w:r>
        <w:rPr>
          <w:rFonts w:ascii="Times New Roman" w:cs="Times New Roman" w:eastAsia="Times New Roman" w:hAnsi="Times New Roman"/>
          <w:sz w:val="20"/>
          <w:szCs w:val="20"/>
          <w:b w:val="1"/>
          <w:bCs w:val="1"/>
          <w:color w:val="00171E"/>
        </w:rPr>
        <w:t xml:space="preserve"> </w:t>
      </w:r>
      <w:r>
        <w:rPr>
          <w:rFonts w:ascii="Times New Roman" w:cs="Times New Roman" w:eastAsia="Times New Roman" w:hAnsi="Times New Roman"/>
          <w:sz w:val="20"/>
          <w:szCs w:val="20"/>
          <w:color w:val="00171E"/>
        </w:rPr>
        <w:t>documents required by the Department of Homeland Security to verify his/her identity and lawful employment in the United States. In addition, as a condition to Executive’s employment with the Company, Executive is required to complete, sign, return, and abide by the Company’s Employee Confidentiality and Inventions Agreement.</w:t>
      </w:r>
    </w:p>
    <w:p>
      <w:pPr>
        <w:spacing w:after="0" w:line="67" w:lineRule="exact"/>
        <w:rPr>
          <w:rFonts w:ascii="Times New Roman" w:cs="Times New Roman" w:eastAsia="Times New Roman" w:hAnsi="Times New Roman"/>
          <w:sz w:val="20"/>
          <w:szCs w:val="20"/>
          <w:b w:val="1"/>
          <w:bCs w:val="1"/>
          <w:color w:val="00171E"/>
        </w:rPr>
      </w:pPr>
    </w:p>
    <w:p>
      <w:pPr>
        <w:ind w:firstLine="757"/>
        <w:spacing w:after="0" w:line="273" w:lineRule="auto"/>
        <w:tabs>
          <w:tab w:leader="none" w:pos="1018" w:val="left"/>
        </w:tabs>
        <w:numPr>
          <w:ilvl w:val="0"/>
          <w:numId w:val="135"/>
        </w:numPr>
        <w:rPr>
          <w:rFonts w:ascii="Times New Roman" w:cs="Times New Roman" w:eastAsia="Times New Roman" w:hAnsi="Times New Roman"/>
          <w:sz w:val="20"/>
          <w:szCs w:val="20"/>
          <w:b w:val="1"/>
          <w:bCs w:val="1"/>
          <w:color w:val="00171E"/>
        </w:rPr>
      </w:pPr>
      <w:r>
        <w:rPr>
          <w:rFonts w:ascii="Times New Roman" w:cs="Times New Roman" w:eastAsia="Times New Roman" w:hAnsi="Times New Roman"/>
          <w:sz w:val="20"/>
          <w:szCs w:val="20"/>
          <w:b w:val="1"/>
          <w:bCs w:val="1"/>
          <w:color w:val="00171E"/>
        </w:rPr>
        <w:t xml:space="preserve">Counterparts. </w:t>
      </w:r>
      <w:r>
        <w:rPr>
          <w:rFonts w:ascii="Times New Roman" w:cs="Times New Roman" w:eastAsia="Times New Roman" w:hAnsi="Times New Roman"/>
          <w:sz w:val="20"/>
          <w:szCs w:val="20"/>
          <w:color w:val="00171E"/>
        </w:rPr>
        <w:t>This Agreement may be executed in one or more counterparts, each of which shall be deemed to be an original</w:t>
      </w:r>
      <w:r>
        <w:rPr>
          <w:rFonts w:ascii="Times New Roman" w:cs="Times New Roman" w:eastAsia="Times New Roman" w:hAnsi="Times New Roman"/>
          <w:sz w:val="20"/>
          <w:szCs w:val="20"/>
          <w:b w:val="1"/>
          <w:bCs w:val="1"/>
          <w:color w:val="00171E"/>
        </w:rPr>
        <w:t xml:space="preserve"> </w:t>
      </w:r>
      <w:r>
        <w:rPr>
          <w:rFonts w:ascii="Times New Roman" w:cs="Times New Roman" w:eastAsia="Times New Roman" w:hAnsi="Times New Roman"/>
          <w:sz w:val="20"/>
          <w:szCs w:val="20"/>
          <w:color w:val="00171E"/>
        </w:rPr>
        <w:t>but all of which together shall constitute the same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132320" cy="171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56"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6"/>
          <w:szCs w:val="16"/>
          <w:b w:val="1"/>
          <w:bCs w:val="1"/>
          <w:color w:val="auto"/>
        </w:rPr>
        <w:t>E</w:t>
      </w:r>
      <w:r>
        <w:rPr>
          <w:rFonts w:ascii="Times New Roman" w:cs="Times New Roman" w:eastAsia="Times New Roman" w:hAnsi="Times New Roman"/>
          <w:sz w:val="10"/>
          <w:szCs w:val="10"/>
          <w:b w:val="1"/>
          <w:bCs w:val="1"/>
          <w:color w:val="auto"/>
        </w:rPr>
        <w:t>xecutive</w:t>
      </w:r>
      <w:r>
        <w:rPr>
          <w:rFonts w:ascii="Times New Roman" w:cs="Times New Roman" w:eastAsia="Times New Roman" w:hAnsi="Times New Roman"/>
          <w:sz w:val="16"/>
          <w:szCs w:val="16"/>
          <w:b w:val="1"/>
          <w:bCs w:val="1"/>
          <w:color w:val="auto"/>
        </w:rPr>
        <w:t xml:space="preserve"> E</w:t>
      </w:r>
      <w:r>
        <w:rPr>
          <w:rFonts w:ascii="Times New Roman" w:cs="Times New Roman" w:eastAsia="Times New Roman" w:hAnsi="Times New Roman"/>
          <w:sz w:val="10"/>
          <w:szCs w:val="10"/>
          <w:b w:val="1"/>
          <w:bCs w:val="1"/>
          <w:color w:val="auto"/>
        </w:rPr>
        <w:t>mployment</w:t>
      </w:r>
      <w:r>
        <w:rPr>
          <w:rFonts w:ascii="Times New Roman" w:cs="Times New Roman" w:eastAsia="Times New Roman" w:hAnsi="Times New Roman"/>
          <w:sz w:val="16"/>
          <w:szCs w:val="16"/>
          <w:b w:val="1"/>
          <w:bCs w:val="1"/>
          <w:color w:val="auto"/>
        </w:rPr>
        <w:t xml:space="preserve"> A</w:t>
      </w:r>
      <w:r>
        <w:rPr>
          <w:rFonts w:ascii="Times New Roman" w:cs="Times New Roman" w:eastAsia="Times New Roman" w:hAnsi="Times New Roman"/>
          <w:sz w:val="10"/>
          <w:szCs w:val="10"/>
          <w:b w:val="1"/>
          <w:bCs w:val="1"/>
          <w:color w:val="auto"/>
        </w:rPr>
        <w:t>gmt</w:t>
      </w:r>
      <w:r>
        <w:rPr>
          <w:rFonts w:ascii="Times New Roman" w:cs="Times New Roman" w:eastAsia="Times New Roman" w:hAnsi="Times New Roman"/>
          <w:sz w:val="16"/>
          <w:szCs w:val="16"/>
          <w:b w:val="1"/>
          <w:bCs w:val="1"/>
          <w:color w:val="auto"/>
        </w:rPr>
        <w:t xml:space="preserve"> S</w:t>
      </w:r>
      <w:r>
        <w:rPr>
          <w:rFonts w:ascii="Times New Roman" w:cs="Times New Roman" w:eastAsia="Times New Roman" w:hAnsi="Times New Roman"/>
          <w:sz w:val="10"/>
          <w:szCs w:val="10"/>
          <w:b w:val="1"/>
          <w:bCs w:val="1"/>
          <w:color w:val="auto"/>
        </w:rPr>
        <w:t>td</w:t>
      </w:r>
      <w:r>
        <w:rPr>
          <w:rFonts w:ascii="Times New Roman" w:cs="Times New Roman" w:eastAsia="Times New Roman" w:hAnsi="Times New Roman"/>
          <w:sz w:val="16"/>
          <w:szCs w:val="16"/>
          <w:b w:val="1"/>
          <w:bCs w:val="1"/>
          <w:color w:val="auto"/>
        </w:rPr>
        <w:t xml:space="preserve"> 11.1.24</w:t>
      </w:r>
      <w:r>
        <w:rPr>
          <w:sz w:val="20"/>
          <w:szCs w:val="20"/>
          <w:color w:val="auto"/>
        </w:rPr>
        <w:tab/>
      </w:r>
      <w:r>
        <w:rPr>
          <w:rFonts w:ascii="Times New Roman" w:cs="Times New Roman" w:eastAsia="Times New Roman" w:hAnsi="Times New Roman"/>
          <w:sz w:val="16"/>
          <w:szCs w:val="16"/>
          <w:b w:val="1"/>
          <w:bCs w:val="1"/>
          <w:color w:val="auto"/>
        </w:rPr>
        <w:t>A</w:t>
      </w:r>
      <w:r>
        <w:rPr>
          <w:rFonts w:ascii="Times New Roman" w:cs="Times New Roman" w:eastAsia="Times New Roman" w:hAnsi="Times New Roman"/>
          <w:sz w:val="10"/>
          <w:szCs w:val="10"/>
          <w:b w:val="1"/>
          <w:bCs w:val="1"/>
          <w:color w:val="auto"/>
        </w:rPr>
        <w:t>ccuray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18</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NUMPAGES \* Arabic \* MERGEFORMAT 31</w:t>
      </w:r>
    </w:p>
    <w:p>
      <w:pPr>
        <w:spacing w:after="0" w:line="200" w:lineRule="exact"/>
        <w:rPr>
          <w:sz w:val="20"/>
          <w:szCs w:val="20"/>
          <w:color w:val="auto"/>
        </w:rPr>
      </w:pPr>
    </w:p>
    <w:p>
      <w:pPr>
        <w:spacing w:after="0" w:line="237" w:lineRule="exact"/>
        <w:rPr>
          <w:sz w:val="20"/>
          <w:szCs w:val="20"/>
          <w:color w:val="auto"/>
        </w:rPr>
      </w:pPr>
    </w:p>
    <w:p>
      <w:pPr>
        <w:jc w:val="both"/>
        <w:ind w:firstLine="757"/>
        <w:spacing w:after="0" w:line="243" w:lineRule="auto"/>
        <w:tabs>
          <w:tab w:leader="none" w:pos="1144" w:val="left"/>
        </w:tabs>
        <w:numPr>
          <w:ilvl w:val="0"/>
          <w:numId w:val="136"/>
        </w:numPr>
        <w:rPr>
          <w:rFonts w:ascii="Times New Roman" w:cs="Times New Roman" w:eastAsia="Times New Roman" w:hAnsi="Times New Roman"/>
          <w:sz w:val="20"/>
          <w:szCs w:val="20"/>
          <w:b w:val="1"/>
          <w:bCs w:val="1"/>
          <w:color w:val="00171E"/>
        </w:rPr>
      </w:pPr>
      <w:r>
        <w:rPr>
          <w:rFonts w:ascii="Times New Roman" w:cs="Times New Roman" w:eastAsia="Times New Roman" w:hAnsi="Times New Roman"/>
          <w:sz w:val="20"/>
          <w:szCs w:val="20"/>
          <w:b w:val="1"/>
          <w:bCs w:val="1"/>
          <w:color w:val="00171E"/>
        </w:rPr>
        <w:t xml:space="preserve">Resignation from Positions. </w:t>
      </w:r>
      <w:r>
        <w:rPr>
          <w:rFonts w:ascii="Times New Roman" w:cs="Times New Roman" w:eastAsia="Times New Roman" w:hAnsi="Times New Roman"/>
          <w:sz w:val="20"/>
          <w:szCs w:val="20"/>
          <w:color w:val="00171E"/>
        </w:rPr>
        <w:t>Upon Executive’s cessation of employment with the Company for any reason, Executive agrees</w:t>
      </w:r>
      <w:r>
        <w:rPr>
          <w:rFonts w:ascii="Times New Roman" w:cs="Times New Roman" w:eastAsia="Times New Roman" w:hAnsi="Times New Roman"/>
          <w:sz w:val="20"/>
          <w:szCs w:val="20"/>
          <w:b w:val="1"/>
          <w:bCs w:val="1"/>
          <w:color w:val="00171E"/>
        </w:rPr>
        <w:t xml:space="preserve"> </w:t>
      </w:r>
      <w:r>
        <w:rPr>
          <w:rFonts w:ascii="Times New Roman" w:cs="Times New Roman" w:eastAsia="Times New Roman" w:hAnsi="Times New Roman"/>
          <w:sz w:val="20"/>
          <w:szCs w:val="20"/>
          <w:color w:val="00171E"/>
        </w:rPr>
        <w:t xml:space="preserve">that Executive shall be deemed to have resigned as an officer and as a director (if applicable) from the Company and every subsidiary of the Company on which Executive is then serving as an officer or director, and from any other entity or company on which Executive is then serving as a director or officer at the request of the Company, in each case effective as of the date of Executive’s cessation of employment. In the event of Executive’s cessation of employment, Executive agrees to execute a general resignation resigning from all positions then held by Executive on every subsidiary of the Company and other entity or company on which Executive is then serving as a director or officer at the request of the Company. Executive hereby grants the corporate secretary of the Company an irrevocable power of attorney to execute on behalf of Executive all such resignations, documents and instruments and to take all such other actions as reasonably necessary to carry out the intention of this </w:t>
      </w:r>
      <w:r>
        <w:rPr>
          <w:rFonts w:ascii="Times New Roman" w:cs="Times New Roman" w:eastAsia="Times New Roman" w:hAnsi="Times New Roman"/>
          <w:sz w:val="20"/>
          <w:szCs w:val="20"/>
          <w:u w:val="single" w:color="auto"/>
          <w:color w:val="00171E"/>
        </w:rPr>
        <w:t>Section 19</w:t>
      </w:r>
      <w:r>
        <w:rPr>
          <w:rFonts w:ascii="Times New Roman" w:cs="Times New Roman" w:eastAsia="Times New Roman" w:hAnsi="Times New Roman"/>
          <w:sz w:val="20"/>
          <w:szCs w:val="20"/>
          <w:color w:val="00171E"/>
        </w:rPr>
        <w:t>.</w:t>
      </w:r>
    </w:p>
    <w:p>
      <w:pPr>
        <w:spacing w:after="0" w:line="77" w:lineRule="exact"/>
        <w:rPr>
          <w:rFonts w:ascii="Times New Roman" w:cs="Times New Roman" w:eastAsia="Times New Roman" w:hAnsi="Times New Roman"/>
          <w:sz w:val="20"/>
          <w:szCs w:val="20"/>
          <w:b w:val="1"/>
          <w:bCs w:val="1"/>
          <w:color w:val="00171E"/>
        </w:rPr>
      </w:pPr>
    </w:p>
    <w:p>
      <w:pPr>
        <w:jc w:val="both"/>
        <w:ind w:firstLine="757"/>
        <w:spacing w:after="0" w:line="256" w:lineRule="auto"/>
        <w:tabs>
          <w:tab w:leader="none" w:pos="1225" w:val="left"/>
        </w:tabs>
        <w:numPr>
          <w:ilvl w:val="0"/>
          <w:numId w:val="136"/>
        </w:numPr>
        <w:rPr>
          <w:rFonts w:ascii="Times New Roman" w:cs="Times New Roman" w:eastAsia="Times New Roman" w:hAnsi="Times New Roman"/>
          <w:sz w:val="20"/>
          <w:szCs w:val="20"/>
          <w:b w:val="1"/>
          <w:bCs w:val="1"/>
          <w:color w:val="00171E"/>
        </w:rPr>
      </w:pPr>
      <w:r>
        <w:rPr>
          <w:rFonts w:ascii="Times New Roman" w:cs="Times New Roman" w:eastAsia="Times New Roman" w:hAnsi="Times New Roman"/>
          <w:sz w:val="20"/>
          <w:szCs w:val="20"/>
          <w:b w:val="1"/>
          <w:bCs w:val="1"/>
          <w:color w:val="00171E"/>
        </w:rPr>
        <w:t xml:space="preserve">Executive’s Commencement of Employment. </w:t>
      </w:r>
      <w:r>
        <w:rPr>
          <w:rFonts w:ascii="Times New Roman" w:cs="Times New Roman" w:eastAsia="Times New Roman" w:hAnsi="Times New Roman"/>
          <w:sz w:val="20"/>
          <w:szCs w:val="20"/>
          <w:color w:val="00171E"/>
        </w:rPr>
        <w:t>It is a condition precedent to the effectiveness of this Agreement that</w:t>
      </w:r>
      <w:r>
        <w:rPr>
          <w:rFonts w:ascii="Times New Roman" w:cs="Times New Roman" w:eastAsia="Times New Roman" w:hAnsi="Times New Roman"/>
          <w:sz w:val="20"/>
          <w:szCs w:val="20"/>
          <w:b w:val="1"/>
          <w:bCs w:val="1"/>
          <w:color w:val="00171E"/>
        </w:rPr>
        <w:t xml:space="preserve"> </w:t>
      </w:r>
      <w:r>
        <w:rPr>
          <w:rFonts w:ascii="Times New Roman" w:cs="Times New Roman" w:eastAsia="Times New Roman" w:hAnsi="Times New Roman"/>
          <w:sz w:val="20"/>
          <w:szCs w:val="20"/>
          <w:color w:val="00171E"/>
        </w:rPr>
        <w:t>Executive commences working full-time for the Company. If Executive does not commence such full-time employment on the Effective Date, then this Agreement shall be null and void and the Company shall have no obligations hereunder or otherwise to Executive.</w:t>
      </w:r>
    </w:p>
    <w:p>
      <w:pPr>
        <w:spacing w:after="0" w:line="60" w:lineRule="exact"/>
        <w:rPr>
          <w:rFonts w:ascii="Times New Roman" w:cs="Times New Roman" w:eastAsia="Times New Roman" w:hAnsi="Times New Roman"/>
          <w:sz w:val="20"/>
          <w:szCs w:val="20"/>
          <w:b w:val="1"/>
          <w:bCs w:val="1"/>
          <w:color w:val="00171E"/>
        </w:rPr>
      </w:pPr>
    </w:p>
    <w:p>
      <w:pPr>
        <w:ind w:left="1160" w:hanging="403"/>
        <w:spacing w:after="0"/>
        <w:tabs>
          <w:tab w:leader="none" w:pos="1160" w:val="left"/>
        </w:tabs>
        <w:numPr>
          <w:ilvl w:val="0"/>
          <w:numId w:val="136"/>
        </w:numPr>
        <w:rPr>
          <w:rFonts w:ascii="Times New Roman" w:cs="Times New Roman" w:eastAsia="Times New Roman" w:hAnsi="Times New Roman"/>
          <w:sz w:val="20"/>
          <w:szCs w:val="20"/>
          <w:b w:val="1"/>
          <w:bCs w:val="1"/>
          <w:color w:val="00171E"/>
        </w:rPr>
      </w:pPr>
      <w:r>
        <w:rPr>
          <w:rFonts w:ascii="Times New Roman" w:cs="Times New Roman" w:eastAsia="Times New Roman" w:hAnsi="Times New Roman"/>
          <w:sz w:val="20"/>
          <w:szCs w:val="20"/>
          <w:b w:val="1"/>
          <w:bCs w:val="1"/>
          <w:color w:val="00171E"/>
        </w:rPr>
        <w:t>Executive’s Acknowledgement.</w:t>
      </w:r>
    </w:p>
    <w:p>
      <w:pPr>
        <w:spacing w:after="0" w:line="125" w:lineRule="exact"/>
        <w:rPr>
          <w:sz w:val="20"/>
          <w:szCs w:val="20"/>
          <w:color w:val="auto"/>
        </w:rPr>
      </w:pPr>
    </w:p>
    <w:p>
      <w:pPr>
        <w:jc w:val="both"/>
        <w:ind w:left="460" w:right="440"/>
        <w:spacing w:after="0" w:line="246" w:lineRule="auto"/>
        <w:rPr>
          <w:sz w:val="20"/>
          <w:szCs w:val="20"/>
          <w:color w:val="auto"/>
        </w:rPr>
      </w:pPr>
      <w:r>
        <w:rPr>
          <w:rFonts w:ascii="Times New Roman" w:cs="Times New Roman" w:eastAsia="Times New Roman" w:hAnsi="Times New Roman"/>
          <w:sz w:val="20"/>
          <w:szCs w:val="20"/>
          <w:color w:val="00171E"/>
        </w:rPr>
        <w:t>EXECUTIVE ACKNOWLEDGES THAT ALL UNDERSTANDINGS AND AGREEMENTS BETWEEN THE COMPANY AND HIM/HER RELATING TO THE SUBJECTS COVERED IN THIS AGREEMENT ARE CONTAINED IN IT (INCLUDING THE AGREEMENTS SET FORTH AS EXHIBITS) AND THAT HE/SHE HAS ENTERED INTO THIS AGREEMENT VOLUNTARILY AND NOT IN RELIANCE ON ANY PROMISES OR REPRESENTATIONS BY THE COMPANY OTHER THAN THOSE CONTAINED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-744220</wp:posOffset>
            </wp:positionV>
            <wp:extent cx="6707505" cy="180403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707505" cy="1804035"/>
                    </a:xfrm>
                    <a:prstGeom prst="rect">
                      <a:avLst/>
                    </a:prstGeom>
                    <a:noFill/>
                  </pic:spPr>
                </pic:pic>
              </a:graphicData>
            </a:graphic>
          </wp:anchor>
        </w:drawing>
      </w:r>
    </w:p>
    <w:p>
      <w:pPr>
        <w:spacing w:after="0" w:line="178" w:lineRule="exact"/>
        <w:rPr>
          <w:sz w:val="20"/>
          <w:szCs w:val="20"/>
          <w:color w:val="auto"/>
        </w:rPr>
      </w:pPr>
    </w:p>
    <w:p>
      <w:pPr>
        <w:jc w:val="both"/>
        <w:ind w:left="460" w:right="460"/>
        <w:spacing w:after="0" w:line="245" w:lineRule="auto"/>
        <w:rPr>
          <w:sz w:val="20"/>
          <w:szCs w:val="20"/>
          <w:color w:val="auto"/>
        </w:rPr>
      </w:pPr>
      <w:r>
        <w:rPr>
          <w:rFonts w:ascii="Times New Roman" w:cs="Times New Roman" w:eastAsia="Times New Roman" w:hAnsi="Times New Roman"/>
          <w:sz w:val="20"/>
          <w:szCs w:val="20"/>
          <w:color w:val="00171E"/>
        </w:rPr>
        <w:t>EXECUTIVE FURTHER ACKNOWLEDGES THAT HE/SHE HAS CAREFULLY READ THIS AGREEMENT (INCLUDING THE AGREEMENTS SET FORTH AS EXHIBITS), THAT HE/SHE UNDERSTANDS ALL OF SUCH AGREEMENTS, AND THAT HE/SHE HAS BEEN GIVEN THE OPPORTUNITY TO DISCUSS SUCH AGREEMENTS WITH HIS/HER PRIVATE LEGAL COUNSEL AND HAS AVAILED HIMSELF/HERSELF OF THAT OPPORTUNITY TO THE EXTENT HE/SHE WISHED TO DO SO. EXECUTIVE UNDERSTANDS THAT THE DISPUTE RESOLUTION PROVISIONS OF THIS AGREEMENT GIVE UP THE RIGHT TO A JURY TRIAL ON MATTERS COVERED BY THEM.</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00171E"/>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171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12"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6"/>
          <w:szCs w:val="16"/>
          <w:b w:val="1"/>
          <w:bCs w:val="1"/>
          <w:color w:val="auto"/>
        </w:rPr>
        <w:t>E</w:t>
      </w:r>
      <w:r>
        <w:rPr>
          <w:rFonts w:ascii="Times New Roman" w:cs="Times New Roman" w:eastAsia="Times New Roman" w:hAnsi="Times New Roman"/>
          <w:sz w:val="10"/>
          <w:szCs w:val="10"/>
          <w:b w:val="1"/>
          <w:bCs w:val="1"/>
          <w:color w:val="auto"/>
        </w:rPr>
        <w:t>xecutive</w:t>
      </w:r>
      <w:r>
        <w:rPr>
          <w:rFonts w:ascii="Times New Roman" w:cs="Times New Roman" w:eastAsia="Times New Roman" w:hAnsi="Times New Roman"/>
          <w:sz w:val="16"/>
          <w:szCs w:val="16"/>
          <w:b w:val="1"/>
          <w:bCs w:val="1"/>
          <w:color w:val="auto"/>
        </w:rPr>
        <w:t xml:space="preserve"> E</w:t>
      </w:r>
      <w:r>
        <w:rPr>
          <w:rFonts w:ascii="Times New Roman" w:cs="Times New Roman" w:eastAsia="Times New Roman" w:hAnsi="Times New Roman"/>
          <w:sz w:val="10"/>
          <w:szCs w:val="10"/>
          <w:b w:val="1"/>
          <w:bCs w:val="1"/>
          <w:color w:val="auto"/>
        </w:rPr>
        <w:t>mployment</w:t>
      </w:r>
      <w:r>
        <w:rPr>
          <w:rFonts w:ascii="Times New Roman" w:cs="Times New Roman" w:eastAsia="Times New Roman" w:hAnsi="Times New Roman"/>
          <w:sz w:val="16"/>
          <w:szCs w:val="16"/>
          <w:b w:val="1"/>
          <w:bCs w:val="1"/>
          <w:color w:val="auto"/>
        </w:rPr>
        <w:t xml:space="preserve"> A</w:t>
      </w:r>
      <w:r>
        <w:rPr>
          <w:rFonts w:ascii="Times New Roman" w:cs="Times New Roman" w:eastAsia="Times New Roman" w:hAnsi="Times New Roman"/>
          <w:sz w:val="10"/>
          <w:szCs w:val="10"/>
          <w:b w:val="1"/>
          <w:bCs w:val="1"/>
          <w:color w:val="auto"/>
        </w:rPr>
        <w:t>gmt</w:t>
      </w:r>
      <w:r>
        <w:rPr>
          <w:rFonts w:ascii="Times New Roman" w:cs="Times New Roman" w:eastAsia="Times New Roman" w:hAnsi="Times New Roman"/>
          <w:sz w:val="16"/>
          <w:szCs w:val="16"/>
          <w:b w:val="1"/>
          <w:bCs w:val="1"/>
          <w:color w:val="auto"/>
        </w:rPr>
        <w:t xml:space="preserve"> S</w:t>
      </w:r>
      <w:r>
        <w:rPr>
          <w:rFonts w:ascii="Times New Roman" w:cs="Times New Roman" w:eastAsia="Times New Roman" w:hAnsi="Times New Roman"/>
          <w:sz w:val="10"/>
          <w:szCs w:val="10"/>
          <w:b w:val="1"/>
          <w:bCs w:val="1"/>
          <w:color w:val="auto"/>
        </w:rPr>
        <w:t>td</w:t>
      </w:r>
      <w:r>
        <w:rPr>
          <w:rFonts w:ascii="Times New Roman" w:cs="Times New Roman" w:eastAsia="Times New Roman" w:hAnsi="Times New Roman"/>
          <w:sz w:val="16"/>
          <w:szCs w:val="16"/>
          <w:b w:val="1"/>
          <w:bCs w:val="1"/>
          <w:color w:val="auto"/>
        </w:rPr>
        <w:t xml:space="preserve"> 11.1.24</w:t>
      </w:r>
      <w:r>
        <w:rPr>
          <w:sz w:val="20"/>
          <w:szCs w:val="20"/>
          <w:color w:val="auto"/>
        </w:rPr>
        <w:tab/>
      </w:r>
      <w:r>
        <w:rPr>
          <w:rFonts w:ascii="Times New Roman" w:cs="Times New Roman" w:eastAsia="Times New Roman" w:hAnsi="Times New Roman"/>
          <w:sz w:val="16"/>
          <w:szCs w:val="16"/>
          <w:b w:val="1"/>
          <w:bCs w:val="1"/>
          <w:color w:val="auto"/>
        </w:rPr>
        <w:t>A</w:t>
      </w:r>
      <w:r>
        <w:rPr>
          <w:rFonts w:ascii="Times New Roman" w:cs="Times New Roman" w:eastAsia="Times New Roman" w:hAnsi="Times New Roman"/>
          <w:sz w:val="10"/>
          <w:szCs w:val="10"/>
          <w:b w:val="1"/>
          <w:bCs w:val="1"/>
          <w:color w:val="auto"/>
        </w:rPr>
        <w:t>ccuray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19</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NUMPAGES \* Arabic \* MERGEFORMAT 31</w:t>
      </w:r>
    </w:p>
    <w:p>
      <w:pPr>
        <w:spacing w:after="0" w:line="200" w:lineRule="exact"/>
        <w:rPr>
          <w:sz w:val="20"/>
          <w:szCs w:val="20"/>
          <w:color w:val="auto"/>
        </w:rPr>
      </w:pPr>
    </w:p>
    <w:p>
      <w:pPr>
        <w:spacing w:after="0" w:line="24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00171E"/>
        </w:rPr>
        <w:t>IN WITNESS WHEREOF, the parties have executed this Agreement as of the date first written above.</w:t>
      </w:r>
    </w:p>
    <w:p>
      <w:pPr>
        <w:spacing w:after="0" w:line="225"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0"/>
          <w:szCs w:val="20"/>
          <w:b w:val="1"/>
          <w:bCs w:val="1"/>
          <w:color w:val="00171E"/>
        </w:rPr>
        <w:t>A</w:t>
      </w:r>
      <w:r>
        <w:rPr>
          <w:rFonts w:ascii="Times New Roman" w:cs="Times New Roman" w:eastAsia="Times New Roman" w:hAnsi="Times New Roman"/>
          <w:sz w:val="13"/>
          <w:szCs w:val="13"/>
          <w:b w:val="1"/>
          <w:bCs w:val="1"/>
          <w:color w:val="00171E"/>
        </w:rPr>
        <w:t>ccuray</w:t>
      </w:r>
      <w:r>
        <w:rPr>
          <w:rFonts w:ascii="Times New Roman" w:cs="Times New Roman" w:eastAsia="Times New Roman" w:hAnsi="Times New Roman"/>
          <w:sz w:val="20"/>
          <w:szCs w:val="20"/>
          <w:b w:val="1"/>
          <w:bCs w:val="1"/>
          <w:color w:val="00171E"/>
        </w:rPr>
        <w:t xml:space="preserve"> I</w:t>
      </w:r>
      <w:r>
        <w:rPr>
          <w:rFonts w:ascii="Times New Roman" w:cs="Times New Roman" w:eastAsia="Times New Roman" w:hAnsi="Times New Roman"/>
          <w:sz w:val="13"/>
          <w:szCs w:val="13"/>
          <w:b w:val="1"/>
          <w:bCs w:val="1"/>
          <w:color w:val="00171E"/>
        </w:rPr>
        <w:t>ncorporated</w:t>
      </w:r>
      <w:r>
        <w:rPr>
          <w:rFonts w:ascii="Times New Roman" w:cs="Times New Roman" w:eastAsia="Times New Roman" w:hAnsi="Times New Roman"/>
          <w:sz w:val="20"/>
          <w:szCs w:val="20"/>
          <w:color w:val="00171E"/>
        </w:rPr>
        <w:t>,</w:t>
      </w:r>
    </w:p>
    <w:p>
      <w:pPr>
        <w:spacing w:after="0" w:line="26"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0"/>
          <w:szCs w:val="20"/>
          <w:color w:val="00171E"/>
        </w:rPr>
        <w:t>a Delaware Corporation</w:t>
      </w:r>
    </w:p>
    <w:p>
      <w:pPr>
        <w:spacing w:after="0" w:line="200" w:lineRule="exact"/>
        <w:rPr>
          <w:sz w:val="20"/>
          <w:szCs w:val="20"/>
          <w:color w:val="auto"/>
        </w:rPr>
      </w:pPr>
    </w:p>
    <w:p>
      <w:pPr>
        <w:spacing w:after="0" w:line="237"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0"/>
          <w:szCs w:val="20"/>
          <w:color w:val="00171E"/>
        </w:rPr>
        <w:t>By: /s/ Jesse Chew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1725295</wp:posOffset>
            </wp:positionH>
            <wp:positionV relativeFrom="paragraph">
              <wp:posOffset>-10795</wp:posOffset>
            </wp:positionV>
            <wp:extent cx="154559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545590" cy="8255"/>
                    </a:xfrm>
                    <a:prstGeom prst="rect">
                      <a:avLst/>
                    </a:prstGeom>
                    <a:noFill/>
                  </pic:spPr>
                </pic:pic>
              </a:graphicData>
            </a:graphic>
          </wp:anchor>
        </w:drawing>
      </w:r>
    </w:p>
    <w:p>
      <w:pPr>
        <w:spacing w:after="0" w:line="1" w:lineRule="exact"/>
        <w:rPr>
          <w:sz w:val="20"/>
          <w:szCs w:val="20"/>
          <w:color w:val="auto"/>
        </w:rPr>
      </w:pPr>
    </w:p>
    <w:p>
      <w:pPr>
        <w:ind w:left="2380"/>
        <w:spacing w:after="0"/>
        <w:tabs>
          <w:tab w:leader="none" w:pos="3160" w:val="left"/>
        </w:tabs>
        <w:rPr>
          <w:sz w:val="20"/>
          <w:szCs w:val="20"/>
          <w:color w:val="auto"/>
        </w:rPr>
      </w:pPr>
      <w:r>
        <w:rPr>
          <w:rFonts w:ascii="Times New Roman" w:cs="Times New Roman" w:eastAsia="Times New Roman" w:hAnsi="Times New Roman"/>
          <w:sz w:val="20"/>
          <w:szCs w:val="20"/>
          <w:color w:val="00171E"/>
        </w:rPr>
        <w:t>Name:</w:t>
        <w:tab/>
        <w:t>Jesse Chew</w:t>
      </w:r>
    </w:p>
    <w:p>
      <w:pPr>
        <w:ind w:left="2380"/>
        <w:spacing w:after="0"/>
        <w:tabs>
          <w:tab w:leader="none" w:pos="3160" w:val="left"/>
        </w:tabs>
        <w:rPr>
          <w:sz w:val="20"/>
          <w:szCs w:val="20"/>
          <w:color w:val="auto"/>
        </w:rPr>
      </w:pPr>
      <w:r>
        <w:rPr>
          <w:rFonts w:ascii="Times New Roman" w:cs="Times New Roman" w:eastAsia="Times New Roman" w:hAnsi="Times New Roman"/>
          <w:sz w:val="20"/>
          <w:szCs w:val="20"/>
          <w:color w:val="00171E"/>
        </w:rPr>
        <w:t>Title:</w:t>
      </w:r>
      <w:r>
        <w:rPr>
          <w:sz w:val="20"/>
          <w:szCs w:val="20"/>
          <w:color w:val="auto"/>
        </w:rPr>
        <w:tab/>
      </w:r>
      <w:r>
        <w:rPr>
          <w:rFonts w:ascii="Times New Roman" w:cs="Times New Roman" w:eastAsia="Times New Roman" w:hAnsi="Times New Roman"/>
          <w:sz w:val="20"/>
          <w:szCs w:val="20"/>
          <w:color w:val="00171E"/>
        </w:rPr>
        <w:t>Chief Legal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171E"/>
        </w:rPr>
        <w:t>Accepted and Agreed,</w:t>
      </w:r>
    </w:p>
    <w:p>
      <w:pPr>
        <w:spacing w:after="0" w:line="200" w:lineRule="exact"/>
        <w:rPr>
          <w:sz w:val="20"/>
          <w:szCs w:val="20"/>
          <w:color w:val="auto"/>
        </w:rPr>
      </w:pPr>
    </w:p>
    <w:p>
      <w:pPr>
        <w:spacing w:after="0" w:line="259" w:lineRule="exact"/>
        <w:rPr>
          <w:sz w:val="20"/>
          <w:szCs w:val="20"/>
          <w:color w:val="auto"/>
        </w:rPr>
      </w:pPr>
    </w:p>
    <w:p>
      <w:pPr>
        <w:spacing w:after="0"/>
        <w:tabs>
          <w:tab w:leader="none" w:pos="1620" w:val="left"/>
        </w:tabs>
        <w:rPr>
          <w:sz w:val="20"/>
          <w:szCs w:val="20"/>
          <w:color w:val="auto"/>
        </w:rPr>
      </w:pPr>
      <w:r>
        <w:rPr>
          <w:rFonts w:ascii="Times New Roman" w:cs="Times New Roman" w:eastAsia="Times New Roman" w:hAnsi="Times New Roman"/>
          <w:sz w:val="20"/>
          <w:szCs w:val="20"/>
          <w:color w:val="00171E"/>
        </w:rPr>
        <w:t>Sandeep Chalke:</w:t>
      </w:r>
      <w:r>
        <w:rPr>
          <w:sz w:val="20"/>
          <w:szCs w:val="20"/>
          <w:color w:val="auto"/>
        </w:rPr>
        <w:tab/>
      </w:r>
      <w:r>
        <w:rPr>
          <w:rFonts w:ascii="Times New Roman" w:cs="Times New Roman" w:eastAsia="Times New Roman" w:hAnsi="Times New Roman"/>
          <w:sz w:val="19"/>
          <w:szCs w:val="19"/>
          <w:color w:val="00171E"/>
        </w:rPr>
        <w:t>/s/ Sandeep Chalke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356870</wp:posOffset>
            </wp:positionV>
            <wp:extent cx="7132320" cy="171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1010285</wp:posOffset>
            </wp:positionH>
            <wp:positionV relativeFrom="paragraph">
              <wp:posOffset>-10795</wp:posOffset>
            </wp:positionV>
            <wp:extent cx="175895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758950" cy="8890"/>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6"/>
          <w:szCs w:val="16"/>
          <w:b w:val="1"/>
          <w:bCs w:val="1"/>
          <w:color w:val="auto"/>
        </w:rPr>
        <w:t>E</w:t>
      </w:r>
      <w:r>
        <w:rPr>
          <w:rFonts w:ascii="Times New Roman" w:cs="Times New Roman" w:eastAsia="Times New Roman" w:hAnsi="Times New Roman"/>
          <w:sz w:val="10"/>
          <w:szCs w:val="10"/>
          <w:b w:val="1"/>
          <w:bCs w:val="1"/>
          <w:color w:val="auto"/>
        </w:rPr>
        <w:t>xecutive</w:t>
      </w:r>
      <w:r>
        <w:rPr>
          <w:rFonts w:ascii="Times New Roman" w:cs="Times New Roman" w:eastAsia="Times New Roman" w:hAnsi="Times New Roman"/>
          <w:sz w:val="16"/>
          <w:szCs w:val="16"/>
          <w:b w:val="1"/>
          <w:bCs w:val="1"/>
          <w:color w:val="auto"/>
        </w:rPr>
        <w:t xml:space="preserve"> E</w:t>
      </w:r>
      <w:r>
        <w:rPr>
          <w:rFonts w:ascii="Times New Roman" w:cs="Times New Roman" w:eastAsia="Times New Roman" w:hAnsi="Times New Roman"/>
          <w:sz w:val="10"/>
          <w:szCs w:val="10"/>
          <w:b w:val="1"/>
          <w:bCs w:val="1"/>
          <w:color w:val="auto"/>
        </w:rPr>
        <w:t>mployment</w:t>
      </w:r>
      <w:r>
        <w:rPr>
          <w:rFonts w:ascii="Times New Roman" w:cs="Times New Roman" w:eastAsia="Times New Roman" w:hAnsi="Times New Roman"/>
          <w:sz w:val="16"/>
          <w:szCs w:val="16"/>
          <w:b w:val="1"/>
          <w:bCs w:val="1"/>
          <w:color w:val="auto"/>
        </w:rPr>
        <w:t xml:space="preserve"> A</w:t>
      </w:r>
      <w:r>
        <w:rPr>
          <w:rFonts w:ascii="Times New Roman" w:cs="Times New Roman" w:eastAsia="Times New Roman" w:hAnsi="Times New Roman"/>
          <w:sz w:val="10"/>
          <w:szCs w:val="10"/>
          <w:b w:val="1"/>
          <w:bCs w:val="1"/>
          <w:color w:val="auto"/>
        </w:rPr>
        <w:t>gmt</w:t>
      </w:r>
      <w:r>
        <w:rPr>
          <w:rFonts w:ascii="Times New Roman" w:cs="Times New Roman" w:eastAsia="Times New Roman" w:hAnsi="Times New Roman"/>
          <w:sz w:val="16"/>
          <w:szCs w:val="16"/>
          <w:b w:val="1"/>
          <w:bCs w:val="1"/>
          <w:color w:val="auto"/>
        </w:rPr>
        <w:t xml:space="preserve"> S</w:t>
      </w:r>
      <w:r>
        <w:rPr>
          <w:rFonts w:ascii="Times New Roman" w:cs="Times New Roman" w:eastAsia="Times New Roman" w:hAnsi="Times New Roman"/>
          <w:sz w:val="10"/>
          <w:szCs w:val="10"/>
          <w:b w:val="1"/>
          <w:bCs w:val="1"/>
          <w:color w:val="auto"/>
        </w:rPr>
        <w:t>td</w:t>
      </w:r>
      <w:r>
        <w:rPr>
          <w:rFonts w:ascii="Times New Roman" w:cs="Times New Roman" w:eastAsia="Times New Roman" w:hAnsi="Times New Roman"/>
          <w:sz w:val="16"/>
          <w:szCs w:val="16"/>
          <w:b w:val="1"/>
          <w:bCs w:val="1"/>
          <w:color w:val="auto"/>
        </w:rPr>
        <w:t xml:space="preserve"> 11.1.24</w:t>
      </w:r>
      <w:r>
        <w:rPr>
          <w:sz w:val="20"/>
          <w:szCs w:val="20"/>
          <w:color w:val="auto"/>
        </w:rPr>
        <w:tab/>
      </w:r>
      <w:r>
        <w:rPr>
          <w:rFonts w:ascii="Times New Roman" w:cs="Times New Roman" w:eastAsia="Times New Roman" w:hAnsi="Times New Roman"/>
          <w:sz w:val="16"/>
          <w:szCs w:val="16"/>
          <w:b w:val="1"/>
          <w:bCs w:val="1"/>
          <w:color w:val="auto"/>
        </w:rPr>
        <w:t>A</w:t>
      </w:r>
      <w:r>
        <w:rPr>
          <w:rFonts w:ascii="Times New Roman" w:cs="Times New Roman" w:eastAsia="Times New Roman" w:hAnsi="Times New Roman"/>
          <w:sz w:val="10"/>
          <w:szCs w:val="10"/>
          <w:b w:val="1"/>
          <w:bCs w:val="1"/>
          <w:color w:val="auto"/>
        </w:rPr>
        <w:t>ccuray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20</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NUMPAGES \* Arabic \* MERGEFORMAT 31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00171E"/>
        </w:rPr>
        <w:t>Exhibit A</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00171E"/>
        </w:rPr>
        <w:t>SECTION 7 OF THE DEFEND TRADE SECRETS ACT OF 2016</w:t>
      </w:r>
    </w:p>
    <w:p>
      <w:pPr>
        <w:spacing w:after="0" w:line="200" w:lineRule="exact"/>
        <w:rPr>
          <w:sz w:val="20"/>
          <w:szCs w:val="20"/>
          <w:color w:val="auto"/>
        </w:rPr>
      </w:pPr>
    </w:p>
    <w:p>
      <w:pPr>
        <w:spacing w:after="0" w:line="23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00171E"/>
        </w:rPr>
        <w:t>“ . . . An individual shall not be held criminally or civilly liable under any Federal or State trade secret law for the disclosure of a trade secret that—(A) is made—(i)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 . . An individual who files a lawsuit for retaliation by an employer for reporting a suspected violation of law may disclose the trade secret to the attorney of the individual and use the trade secret information in the court proceeding, if the individual—(A) files any document containing the trade secret under seal; and (B) does not disclose the trade secret, except pursuant to court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483870</wp:posOffset>
            </wp:positionV>
            <wp:extent cx="7132320" cy="171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6"/>
          <w:szCs w:val="16"/>
          <w:b w:val="1"/>
          <w:bCs w:val="1"/>
          <w:color w:val="auto"/>
        </w:rPr>
        <w:t>E</w:t>
      </w:r>
      <w:r>
        <w:rPr>
          <w:rFonts w:ascii="Times New Roman" w:cs="Times New Roman" w:eastAsia="Times New Roman" w:hAnsi="Times New Roman"/>
          <w:sz w:val="10"/>
          <w:szCs w:val="10"/>
          <w:b w:val="1"/>
          <w:bCs w:val="1"/>
          <w:color w:val="auto"/>
        </w:rPr>
        <w:t>xecutive</w:t>
      </w:r>
      <w:r>
        <w:rPr>
          <w:rFonts w:ascii="Times New Roman" w:cs="Times New Roman" w:eastAsia="Times New Roman" w:hAnsi="Times New Roman"/>
          <w:sz w:val="16"/>
          <w:szCs w:val="16"/>
          <w:b w:val="1"/>
          <w:bCs w:val="1"/>
          <w:color w:val="auto"/>
        </w:rPr>
        <w:t xml:space="preserve"> E</w:t>
      </w:r>
      <w:r>
        <w:rPr>
          <w:rFonts w:ascii="Times New Roman" w:cs="Times New Roman" w:eastAsia="Times New Roman" w:hAnsi="Times New Roman"/>
          <w:sz w:val="10"/>
          <w:szCs w:val="10"/>
          <w:b w:val="1"/>
          <w:bCs w:val="1"/>
          <w:color w:val="auto"/>
        </w:rPr>
        <w:t>mployment</w:t>
      </w:r>
      <w:r>
        <w:rPr>
          <w:rFonts w:ascii="Times New Roman" w:cs="Times New Roman" w:eastAsia="Times New Roman" w:hAnsi="Times New Roman"/>
          <w:sz w:val="16"/>
          <w:szCs w:val="16"/>
          <w:b w:val="1"/>
          <w:bCs w:val="1"/>
          <w:color w:val="auto"/>
        </w:rPr>
        <w:t xml:space="preserve"> A</w:t>
      </w:r>
      <w:r>
        <w:rPr>
          <w:rFonts w:ascii="Times New Roman" w:cs="Times New Roman" w:eastAsia="Times New Roman" w:hAnsi="Times New Roman"/>
          <w:sz w:val="10"/>
          <w:szCs w:val="10"/>
          <w:b w:val="1"/>
          <w:bCs w:val="1"/>
          <w:color w:val="auto"/>
        </w:rPr>
        <w:t>gmt</w:t>
      </w:r>
      <w:r>
        <w:rPr>
          <w:rFonts w:ascii="Times New Roman" w:cs="Times New Roman" w:eastAsia="Times New Roman" w:hAnsi="Times New Roman"/>
          <w:sz w:val="16"/>
          <w:szCs w:val="16"/>
          <w:b w:val="1"/>
          <w:bCs w:val="1"/>
          <w:color w:val="auto"/>
        </w:rPr>
        <w:t xml:space="preserve"> S</w:t>
      </w:r>
      <w:r>
        <w:rPr>
          <w:rFonts w:ascii="Times New Roman" w:cs="Times New Roman" w:eastAsia="Times New Roman" w:hAnsi="Times New Roman"/>
          <w:sz w:val="10"/>
          <w:szCs w:val="10"/>
          <w:b w:val="1"/>
          <w:bCs w:val="1"/>
          <w:color w:val="auto"/>
        </w:rPr>
        <w:t>td</w:t>
      </w:r>
      <w:r>
        <w:rPr>
          <w:rFonts w:ascii="Times New Roman" w:cs="Times New Roman" w:eastAsia="Times New Roman" w:hAnsi="Times New Roman"/>
          <w:sz w:val="16"/>
          <w:szCs w:val="16"/>
          <w:b w:val="1"/>
          <w:bCs w:val="1"/>
          <w:color w:val="auto"/>
        </w:rPr>
        <w:t xml:space="preserve"> 11.1.24</w:t>
      </w:r>
      <w:r>
        <w:rPr>
          <w:sz w:val="20"/>
          <w:szCs w:val="20"/>
          <w:color w:val="auto"/>
        </w:rPr>
        <w:tab/>
      </w:r>
      <w:r>
        <w:rPr>
          <w:rFonts w:ascii="Times New Roman" w:cs="Times New Roman" w:eastAsia="Times New Roman" w:hAnsi="Times New Roman"/>
          <w:sz w:val="16"/>
          <w:szCs w:val="16"/>
          <w:b w:val="1"/>
          <w:bCs w:val="1"/>
          <w:color w:val="auto"/>
        </w:rPr>
        <w:t>A</w:t>
      </w:r>
      <w:r>
        <w:rPr>
          <w:rFonts w:ascii="Times New Roman" w:cs="Times New Roman" w:eastAsia="Times New Roman" w:hAnsi="Times New Roman"/>
          <w:sz w:val="10"/>
          <w:szCs w:val="10"/>
          <w:b w:val="1"/>
          <w:bCs w:val="1"/>
          <w:color w:val="auto"/>
        </w:rPr>
        <w:t>ccuray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9" w:name="page140"/>
    <w:bookmarkEnd w:id="139"/>
    <w:p>
      <w:pPr>
        <w:ind w:left="48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808480" cy="21463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clrChange>
                        <a:clrFrom>
                          <a:srgbClr val="FFFFFF"/>
                        </a:clrFrom>
                        <a:clrTo>
                          <a:srgbClr val="FFFFFF">
                            <a:alpha val="0"/>
                          </a:srgbClr>
                        </a:clrTo>
                      </a:clrChange>
                      <a:extLst>
                        <a:ext uri="{28A0092B-C50C-407E-A947-70E740481C1C}"/>
                      </a:extLst>
                    </a:blip>
                    <a:srcRect/>
                    <a:stretch>
                      <a:fillRect/>
                    </a:stretch>
                  </pic:blipFill>
                  <pic:spPr bwMode="auto">
                    <a:xfrm>
                      <a:off x="0" y="0"/>
                      <a:ext cx="1808480" cy="214630"/>
                    </a:xfrm>
                    <a:prstGeom prst="rect">
                      <a:avLst/>
                    </a:prstGeom>
                    <a:noFill/>
                  </pic:spPr>
                </pic:pic>
              </a:graphicData>
            </a:graphic>
          </wp:anchor>
        </w:drawing>
        <w:t>EXHIBIT 10.5</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1</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NUMPAGES 34</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00171E"/>
        </w:rPr>
        <w:t>EXECUTIVE EMPLOYMENT AGREEMENT</w:t>
      </w:r>
    </w:p>
    <w:p>
      <w:pPr>
        <w:spacing w:after="0" w:line="220"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00171E"/>
        </w:rPr>
        <w:t>This Employment Agreement (“</w:t>
      </w:r>
      <w:r>
        <w:rPr>
          <w:rFonts w:ascii="Times New Roman" w:cs="Times New Roman" w:eastAsia="Times New Roman" w:hAnsi="Times New Roman"/>
          <w:sz w:val="20"/>
          <w:szCs w:val="20"/>
          <w:u w:val="single" w:color="auto"/>
          <w:color w:val="00171E"/>
        </w:rPr>
        <w:t>Agreement</w:t>
      </w:r>
      <w:r>
        <w:rPr>
          <w:rFonts w:ascii="Times New Roman" w:cs="Times New Roman" w:eastAsia="Times New Roman" w:hAnsi="Times New Roman"/>
          <w:sz w:val="20"/>
          <w:szCs w:val="20"/>
          <w:color w:val="00171E"/>
        </w:rPr>
        <w:t>”) is entered into and effective as of February 3, 2025 (“</w:t>
      </w:r>
      <w:r>
        <w:rPr>
          <w:rFonts w:ascii="Times New Roman" w:cs="Times New Roman" w:eastAsia="Times New Roman" w:hAnsi="Times New Roman"/>
          <w:sz w:val="20"/>
          <w:szCs w:val="20"/>
          <w:u w:val="single" w:color="auto"/>
          <w:color w:val="00171E"/>
        </w:rPr>
        <w:t>Effective Date</w:t>
      </w:r>
      <w:r>
        <w:rPr>
          <w:rFonts w:ascii="Times New Roman" w:cs="Times New Roman" w:eastAsia="Times New Roman" w:hAnsi="Times New Roman"/>
          <w:sz w:val="20"/>
          <w:szCs w:val="20"/>
          <w:color w:val="00171E"/>
        </w:rPr>
        <w:t>”), by and between Accuray Incorporated, a Delaware corporation (the “</w:t>
      </w:r>
      <w:r>
        <w:rPr>
          <w:rFonts w:ascii="Times New Roman" w:cs="Times New Roman" w:eastAsia="Times New Roman" w:hAnsi="Times New Roman"/>
          <w:sz w:val="20"/>
          <w:szCs w:val="20"/>
          <w:u w:val="single" w:color="auto"/>
          <w:color w:val="00171E"/>
        </w:rPr>
        <w:t>Company</w:t>
      </w:r>
      <w:r>
        <w:rPr>
          <w:rFonts w:ascii="Times New Roman" w:cs="Times New Roman" w:eastAsia="Times New Roman" w:hAnsi="Times New Roman"/>
          <w:sz w:val="20"/>
          <w:szCs w:val="20"/>
          <w:color w:val="00171E"/>
        </w:rPr>
        <w:t>”), and Jesse Chew (“</w:t>
      </w:r>
      <w:r>
        <w:rPr>
          <w:rFonts w:ascii="Times New Roman" w:cs="Times New Roman" w:eastAsia="Times New Roman" w:hAnsi="Times New Roman"/>
          <w:sz w:val="20"/>
          <w:szCs w:val="20"/>
          <w:u w:val="single" w:color="auto"/>
          <w:color w:val="00171E"/>
        </w:rPr>
        <w:t>Executive</w:t>
      </w:r>
      <w:r>
        <w:rPr>
          <w:rFonts w:ascii="Times New Roman" w:cs="Times New Roman" w:eastAsia="Times New Roman" w:hAnsi="Times New Roman"/>
          <w:sz w:val="20"/>
          <w:szCs w:val="20"/>
          <w:color w:val="00171E"/>
        </w:rPr>
        <w: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00171E"/>
        </w:rPr>
        <w:t>RECITALS</w:t>
      </w:r>
    </w:p>
    <w:p>
      <w:pPr>
        <w:spacing w:after="0" w:line="220" w:lineRule="exact"/>
        <w:rPr>
          <w:sz w:val="20"/>
          <w:szCs w:val="20"/>
          <w:color w:val="auto"/>
        </w:rPr>
      </w:pPr>
    </w:p>
    <w:p>
      <w:pPr>
        <w:ind w:right="40" w:firstLine="757"/>
        <w:spacing w:after="0" w:line="269" w:lineRule="auto"/>
        <w:tabs>
          <w:tab w:leader="none" w:pos="1145" w:val="left"/>
        </w:tabs>
        <w:numPr>
          <w:ilvl w:val="0"/>
          <w:numId w:val="138"/>
        </w:numPr>
        <w:rPr>
          <w:rFonts w:ascii="Times New Roman" w:cs="Times New Roman" w:eastAsia="Times New Roman" w:hAnsi="Times New Roman"/>
          <w:sz w:val="20"/>
          <w:szCs w:val="20"/>
          <w:color w:val="00171E"/>
        </w:rPr>
      </w:pPr>
      <w:r>
        <w:rPr>
          <w:rFonts w:ascii="Times New Roman" w:cs="Times New Roman" w:eastAsia="Times New Roman" w:hAnsi="Times New Roman"/>
          <w:sz w:val="20"/>
          <w:szCs w:val="20"/>
          <w:color w:val="00171E"/>
        </w:rPr>
        <w:t>The Company is in the business of developing, manufacturing and selling radiation oncology, including radio surgery and radiation therapy, technologies and devices (the “</w:t>
      </w:r>
      <w:r>
        <w:rPr>
          <w:rFonts w:ascii="Times New Roman" w:cs="Times New Roman" w:eastAsia="Times New Roman" w:hAnsi="Times New Roman"/>
          <w:sz w:val="20"/>
          <w:szCs w:val="20"/>
          <w:u w:val="single" w:color="auto"/>
          <w:color w:val="00171E"/>
        </w:rPr>
        <w:t>Business</w:t>
      </w:r>
      <w:r>
        <w:rPr>
          <w:rFonts w:ascii="Times New Roman" w:cs="Times New Roman" w:eastAsia="Times New Roman" w:hAnsi="Times New Roman"/>
          <w:sz w:val="20"/>
          <w:szCs w:val="20"/>
          <w:color w:val="00171E"/>
        </w:rPr>
        <w:t>”).</w:t>
      </w:r>
    </w:p>
    <w:p>
      <w:pPr>
        <w:spacing w:after="0" w:line="159" w:lineRule="exact"/>
        <w:rPr>
          <w:rFonts w:ascii="Times New Roman" w:cs="Times New Roman" w:eastAsia="Times New Roman" w:hAnsi="Times New Roman"/>
          <w:sz w:val="20"/>
          <w:szCs w:val="20"/>
          <w:color w:val="00171E"/>
        </w:rPr>
      </w:pPr>
    </w:p>
    <w:p>
      <w:pPr>
        <w:ind w:firstLine="757"/>
        <w:spacing w:after="0" w:line="269" w:lineRule="auto"/>
        <w:tabs>
          <w:tab w:leader="none" w:pos="1145" w:val="left"/>
        </w:tabs>
        <w:numPr>
          <w:ilvl w:val="0"/>
          <w:numId w:val="138"/>
        </w:numPr>
        <w:rPr>
          <w:rFonts w:ascii="Times New Roman" w:cs="Times New Roman" w:eastAsia="Times New Roman" w:hAnsi="Times New Roman"/>
          <w:sz w:val="20"/>
          <w:szCs w:val="20"/>
          <w:color w:val="00171E"/>
        </w:rPr>
      </w:pPr>
      <w:r>
        <w:rPr>
          <w:rFonts w:ascii="Times New Roman" w:cs="Times New Roman" w:eastAsia="Times New Roman" w:hAnsi="Times New Roman"/>
          <w:sz w:val="20"/>
          <w:szCs w:val="20"/>
          <w:color w:val="00171E"/>
        </w:rPr>
        <w:t>The Company wishes to employ Executive to serve as Senior Vice President, Chief Legal Officer and Corporate Secretary and Executive desires to serve the Company in such capacity pursuant to the terms and conditions in this Agreement.</w:t>
      </w:r>
    </w:p>
    <w:p>
      <w:pPr>
        <w:spacing w:after="0" w:line="159" w:lineRule="exact"/>
        <w:rPr>
          <w:rFonts w:ascii="Times New Roman" w:cs="Times New Roman" w:eastAsia="Times New Roman" w:hAnsi="Times New Roman"/>
          <w:sz w:val="20"/>
          <w:szCs w:val="20"/>
          <w:color w:val="00171E"/>
        </w:rPr>
      </w:pPr>
    </w:p>
    <w:p>
      <w:pPr>
        <w:ind w:left="1160" w:hanging="403"/>
        <w:spacing w:after="0"/>
        <w:tabs>
          <w:tab w:leader="none" w:pos="1160" w:val="left"/>
        </w:tabs>
        <w:numPr>
          <w:ilvl w:val="0"/>
          <w:numId w:val="138"/>
        </w:numPr>
        <w:rPr>
          <w:rFonts w:ascii="Times New Roman" w:cs="Times New Roman" w:eastAsia="Times New Roman" w:hAnsi="Times New Roman"/>
          <w:sz w:val="20"/>
          <w:szCs w:val="20"/>
          <w:color w:val="00171E"/>
        </w:rPr>
      </w:pPr>
      <w:r>
        <w:rPr>
          <w:rFonts w:ascii="Times New Roman" w:cs="Times New Roman" w:eastAsia="Times New Roman" w:hAnsi="Times New Roman"/>
          <w:sz w:val="20"/>
          <w:szCs w:val="20"/>
          <w:color w:val="00171E"/>
        </w:rPr>
        <w:t>As of the Effective Date, Executive has commenced full-time employment with the Company.</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00171E"/>
        </w:rPr>
        <w:t>NOW, THEREFORE, the parties agree as follows:</w:t>
      </w:r>
    </w:p>
    <w:p>
      <w:pPr>
        <w:spacing w:after="0" w:line="212" w:lineRule="exact"/>
        <w:rPr>
          <w:sz w:val="20"/>
          <w:szCs w:val="20"/>
          <w:color w:val="auto"/>
        </w:rPr>
      </w:pPr>
    </w:p>
    <w:p>
      <w:pPr>
        <w:ind w:left="1020" w:hanging="263"/>
        <w:spacing w:after="0"/>
        <w:tabs>
          <w:tab w:leader="none" w:pos="1020" w:val="left"/>
        </w:tabs>
        <w:numPr>
          <w:ilvl w:val="1"/>
          <w:numId w:val="139"/>
        </w:numPr>
        <w:rPr>
          <w:rFonts w:ascii="Times New Roman" w:cs="Times New Roman" w:eastAsia="Times New Roman" w:hAnsi="Times New Roman"/>
          <w:sz w:val="20"/>
          <w:szCs w:val="20"/>
          <w:b w:val="1"/>
          <w:bCs w:val="1"/>
          <w:color w:val="00171E"/>
        </w:rPr>
      </w:pPr>
      <w:r>
        <w:rPr>
          <w:rFonts w:ascii="Times New Roman" w:cs="Times New Roman" w:eastAsia="Times New Roman" w:hAnsi="Times New Roman"/>
          <w:sz w:val="20"/>
          <w:szCs w:val="20"/>
          <w:b w:val="1"/>
          <w:bCs w:val="1"/>
          <w:color w:val="00171E"/>
        </w:rPr>
        <w:t>Position and Duties.</w:t>
      </w:r>
    </w:p>
    <w:p>
      <w:pPr>
        <w:spacing w:after="0" w:line="219" w:lineRule="exact"/>
        <w:rPr>
          <w:rFonts w:ascii="Times New Roman" w:cs="Times New Roman" w:eastAsia="Times New Roman" w:hAnsi="Times New Roman"/>
          <w:sz w:val="20"/>
          <w:szCs w:val="20"/>
          <w:b w:val="1"/>
          <w:bCs w:val="1"/>
          <w:color w:val="00171E"/>
        </w:rPr>
      </w:pPr>
    </w:p>
    <w:p>
      <w:pPr>
        <w:jc w:val="both"/>
        <w:ind w:firstLine="1505"/>
        <w:spacing w:after="0" w:line="260" w:lineRule="auto"/>
        <w:tabs>
          <w:tab w:leader="none" w:pos="2036" w:val="left"/>
        </w:tabs>
        <w:numPr>
          <w:ilvl w:val="2"/>
          <w:numId w:val="139"/>
        </w:numPr>
        <w:rPr>
          <w:rFonts w:ascii="Times New Roman" w:cs="Times New Roman" w:eastAsia="Times New Roman" w:hAnsi="Times New Roman"/>
          <w:sz w:val="19"/>
          <w:szCs w:val="19"/>
          <w:u w:val="single" w:color="auto"/>
          <w:color w:val="00171E"/>
        </w:rPr>
      </w:pPr>
      <w:r>
        <w:rPr>
          <w:rFonts w:ascii="Times New Roman" w:cs="Times New Roman" w:eastAsia="Times New Roman" w:hAnsi="Times New Roman"/>
          <w:sz w:val="19"/>
          <w:szCs w:val="19"/>
          <w:color w:val="00171E"/>
        </w:rPr>
        <w:t>During the term of this Agreement, Executive will be employed by the Company to serve as Senior Vice President, Chief Legal Officer and Corporate Secretary of the Company, reporting to the President and Chief Executive Officer of the Company. Executive will be responsible for: (i) performing the duties and responsibilities customarily expected to be performed by such position and</w:t>
      </w:r>
    </w:p>
    <w:p>
      <w:pPr>
        <w:ind w:right="20" w:firstLine="8"/>
        <w:spacing w:after="0" w:line="246" w:lineRule="auto"/>
        <w:tabs>
          <w:tab w:leader="none" w:pos="293" w:val="left"/>
        </w:tabs>
        <w:numPr>
          <w:ilvl w:val="0"/>
          <w:numId w:val="140"/>
        </w:numPr>
        <w:rPr>
          <w:rFonts w:ascii="Times New Roman" w:cs="Times New Roman" w:eastAsia="Times New Roman" w:hAnsi="Times New Roman"/>
          <w:sz w:val="20"/>
          <w:szCs w:val="20"/>
          <w:color w:val="00171E"/>
        </w:rPr>
      </w:pPr>
      <w:r>
        <w:rPr>
          <w:rFonts w:ascii="Times New Roman" w:cs="Times New Roman" w:eastAsia="Times New Roman" w:hAnsi="Times New Roman"/>
          <w:sz w:val="20"/>
          <w:szCs w:val="20"/>
          <w:color w:val="00171E"/>
        </w:rPr>
        <w:t>performing such other duties and functions as are reasonably required and/or as may be reasonably prescribed by the Company from time to time.</w:t>
      </w:r>
    </w:p>
    <w:p>
      <w:pPr>
        <w:spacing w:after="0" w:line="181" w:lineRule="exact"/>
        <w:rPr>
          <w:rFonts w:ascii="Times New Roman" w:cs="Times New Roman" w:eastAsia="Times New Roman" w:hAnsi="Times New Roman"/>
          <w:sz w:val="20"/>
          <w:szCs w:val="20"/>
          <w:color w:val="00171E"/>
        </w:rPr>
      </w:pPr>
    </w:p>
    <w:p>
      <w:pPr>
        <w:ind w:right="20" w:firstLine="1505"/>
        <w:spacing w:after="0" w:line="295" w:lineRule="auto"/>
        <w:tabs>
          <w:tab w:leader="none" w:pos="2036" w:val="left"/>
        </w:tabs>
        <w:numPr>
          <w:ilvl w:val="2"/>
          <w:numId w:val="140"/>
        </w:numPr>
        <w:rPr>
          <w:rFonts w:ascii="Times New Roman" w:cs="Times New Roman" w:eastAsia="Times New Roman" w:hAnsi="Times New Roman"/>
          <w:sz w:val="19"/>
          <w:szCs w:val="19"/>
          <w:u w:val="single" w:color="auto"/>
          <w:color w:val="00171E"/>
        </w:rPr>
      </w:pPr>
      <w:r>
        <w:rPr>
          <w:rFonts w:ascii="Times New Roman" w:cs="Times New Roman" w:eastAsia="Times New Roman" w:hAnsi="Times New Roman"/>
          <w:sz w:val="19"/>
          <w:szCs w:val="19"/>
          <w:color w:val="00171E"/>
        </w:rPr>
        <w:t>The location of Executive’s employment will be the Company’s Santa Clara, CA offices, but Executive will be required to travel to the Company’s headquarter offices and other geographic locations in connection with the performance of his/her duties.</w:t>
      </w:r>
    </w:p>
    <w:p>
      <w:pPr>
        <w:spacing w:after="0" w:line="133" w:lineRule="exact"/>
        <w:rPr>
          <w:rFonts w:ascii="Times New Roman" w:cs="Times New Roman" w:eastAsia="Times New Roman" w:hAnsi="Times New Roman"/>
          <w:sz w:val="19"/>
          <w:szCs w:val="19"/>
          <w:u w:val="single" w:color="auto"/>
          <w:color w:val="00171E"/>
        </w:rPr>
      </w:pPr>
    </w:p>
    <w:p>
      <w:pPr>
        <w:jc w:val="both"/>
        <w:ind w:firstLine="757"/>
        <w:spacing w:after="0" w:line="245" w:lineRule="auto"/>
        <w:tabs>
          <w:tab w:leader="none" w:pos="1018" w:val="left"/>
        </w:tabs>
        <w:numPr>
          <w:ilvl w:val="1"/>
          <w:numId w:val="140"/>
        </w:numPr>
        <w:rPr>
          <w:rFonts w:ascii="Times New Roman" w:cs="Times New Roman" w:eastAsia="Times New Roman" w:hAnsi="Times New Roman"/>
          <w:sz w:val="20"/>
          <w:szCs w:val="20"/>
          <w:b w:val="1"/>
          <w:bCs w:val="1"/>
          <w:color w:val="00171E"/>
        </w:rPr>
      </w:pPr>
      <w:r>
        <w:rPr>
          <w:rFonts w:ascii="Times New Roman" w:cs="Times New Roman" w:eastAsia="Times New Roman" w:hAnsi="Times New Roman"/>
          <w:sz w:val="20"/>
          <w:szCs w:val="20"/>
          <w:b w:val="1"/>
          <w:bCs w:val="1"/>
          <w:color w:val="00171E"/>
        </w:rPr>
        <w:t xml:space="preserve">Standards of Performance. </w:t>
      </w:r>
      <w:r>
        <w:rPr>
          <w:rFonts w:ascii="Times New Roman" w:cs="Times New Roman" w:eastAsia="Times New Roman" w:hAnsi="Times New Roman"/>
          <w:sz w:val="20"/>
          <w:szCs w:val="20"/>
          <w:color w:val="00171E"/>
        </w:rPr>
        <w:t>Executive will at all times faithfully, industriously and to the best of his/her ability, experience and</w:t>
      </w:r>
      <w:r>
        <w:rPr>
          <w:rFonts w:ascii="Times New Roman" w:cs="Times New Roman" w:eastAsia="Times New Roman" w:hAnsi="Times New Roman"/>
          <w:sz w:val="20"/>
          <w:szCs w:val="20"/>
          <w:b w:val="1"/>
          <w:bCs w:val="1"/>
          <w:color w:val="00171E"/>
        </w:rPr>
        <w:t xml:space="preserve"> </w:t>
      </w:r>
      <w:r>
        <w:rPr>
          <w:rFonts w:ascii="Times New Roman" w:cs="Times New Roman" w:eastAsia="Times New Roman" w:hAnsi="Times New Roman"/>
          <w:sz w:val="20"/>
          <w:szCs w:val="20"/>
          <w:color w:val="00171E"/>
        </w:rPr>
        <w:t>talents perform all of the duties required of and from him/her pursuant to the terms of this Agreement. Executive will devote his/her full business energies and abilities and all of his/her business time to the performance of his/her duties hereunder and will not, without the Company’s prior written consent, render to others any service of any kind (whether or not for compensation) that, in the Company’s sole but reasonable judgment, would conflict with the full performance of his/her duties hereunder. In no event will Executive engage in any activities that could reasonably create a conflict of interest or the appearance of a conflict of interest. Executive shall be subject to the Company’s policies, procedures and approval practices, as generally in effect from time to time.</w:t>
      </w:r>
    </w:p>
    <w:p>
      <w:pPr>
        <w:spacing w:after="0" w:line="197" w:lineRule="exact"/>
        <w:rPr>
          <w:rFonts w:ascii="Times New Roman" w:cs="Times New Roman" w:eastAsia="Times New Roman" w:hAnsi="Times New Roman"/>
          <w:sz w:val="20"/>
          <w:szCs w:val="20"/>
          <w:b w:val="1"/>
          <w:bCs w:val="1"/>
          <w:color w:val="00171E"/>
        </w:rPr>
      </w:pPr>
    </w:p>
    <w:p>
      <w:pPr>
        <w:ind w:left="1020" w:hanging="263"/>
        <w:spacing w:after="0"/>
        <w:tabs>
          <w:tab w:leader="none" w:pos="1020" w:val="left"/>
        </w:tabs>
        <w:numPr>
          <w:ilvl w:val="1"/>
          <w:numId w:val="140"/>
        </w:numPr>
        <w:rPr>
          <w:rFonts w:ascii="Times New Roman" w:cs="Times New Roman" w:eastAsia="Times New Roman" w:hAnsi="Times New Roman"/>
          <w:sz w:val="20"/>
          <w:szCs w:val="20"/>
          <w:b w:val="1"/>
          <w:bCs w:val="1"/>
          <w:color w:val="00171E"/>
        </w:rPr>
      </w:pPr>
      <w:r>
        <w:rPr>
          <w:rFonts w:ascii="Times New Roman" w:cs="Times New Roman" w:eastAsia="Times New Roman" w:hAnsi="Times New Roman"/>
          <w:sz w:val="18"/>
          <w:szCs w:val="18"/>
          <w:b w:val="1"/>
          <w:bCs w:val="1"/>
          <w:color w:val="00171E"/>
        </w:rPr>
        <w:t>Term.</w:t>
      </w:r>
    </w:p>
    <w:p>
      <w:pPr>
        <w:spacing w:after="0" w:line="201" w:lineRule="exact"/>
        <w:rPr>
          <w:rFonts w:ascii="Times New Roman" w:cs="Times New Roman" w:eastAsia="Times New Roman" w:hAnsi="Times New Roman"/>
          <w:sz w:val="20"/>
          <w:szCs w:val="20"/>
          <w:b w:val="1"/>
          <w:bCs w:val="1"/>
          <w:color w:val="00171E"/>
        </w:rPr>
      </w:pPr>
    </w:p>
    <w:p>
      <w:pPr>
        <w:ind w:firstLine="1505"/>
        <w:spacing w:after="0" w:line="269" w:lineRule="auto"/>
        <w:tabs>
          <w:tab w:leader="none" w:pos="2036" w:val="left"/>
        </w:tabs>
        <w:numPr>
          <w:ilvl w:val="2"/>
          <w:numId w:val="141"/>
        </w:numPr>
        <w:rPr>
          <w:rFonts w:ascii="Times New Roman" w:cs="Times New Roman" w:eastAsia="Times New Roman" w:hAnsi="Times New Roman"/>
          <w:sz w:val="20"/>
          <w:szCs w:val="20"/>
          <w:u w:val="single" w:color="auto"/>
          <w:color w:val="00171E"/>
        </w:rPr>
      </w:pPr>
      <w:r>
        <w:rPr>
          <w:rFonts w:ascii="Times New Roman" w:cs="Times New Roman" w:eastAsia="Times New Roman" w:hAnsi="Times New Roman"/>
          <w:sz w:val="20"/>
          <w:szCs w:val="20"/>
          <w:u w:val="single" w:color="auto"/>
          <w:color w:val="00171E"/>
        </w:rPr>
        <w:t>Term of Agreement</w:t>
      </w:r>
      <w:r>
        <w:rPr>
          <w:rFonts w:ascii="Times New Roman" w:cs="Times New Roman" w:eastAsia="Times New Roman" w:hAnsi="Times New Roman"/>
          <w:sz w:val="20"/>
          <w:szCs w:val="20"/>
          <w:color w:val="00171E"/>
        </w:rPr>
        <w:t>. This Agreement will have an initial term of three (3) years commencing on the Effective Date (the “</w:t>
      </w:r>
      <w:r>
        <w:rPr>
          <w:rFonts w:ascii="Times New Roman" w:cs="Times New Roman" w:eastAsia="Times New Roman" w:hAnsi="Times New Roman"/>
          <w:sz w:val="20"/>
          <w:szCs w:val="20"/>
          <w:u w:val="single" w:color="auto"/>
          <w:color w:val="00171E"/>
        </w:rPr>
        <w:t>Initial Term</w:t>
      </w:r>
      <w:r>
        <w:rPr>
          <w:rFonts w:ascii="Times New Roman" w:cs="Times New Roman" w:eastAsia="Times New Roman" w:hAnsi="Times New Roman"/>
          <w:sz w:val="20"/>
          <w:szCs w:val="20"/>
          <w:color w:val="00171E"/>
        </w:rPr>
        <w:t>”). On the third anniversary of the Effective Date,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171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8"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6"/>
          <w:szCs w:val="16"/>
          <w:b w:val="1"/>
          <w:bCs w:val="1"/>
          <w:color w:val="auto"/>
        </w:rPr>
        <w:t>E</w:t>
      </w:r>
      <w:r>
        <w:rPr>
          <w:rFonts w:ascii="Times New Roman" w:cs="Times New Roman" w:eastAsia="Times New Roman" w:hAnsi="Times New Roman"/>
          <w:sz w:val="10"/>
          <w:szCs w:val="10"/>
          <w:b w:val="1"/>
          <w:bCs w:val="1"/>
          <w:color w:val="auto"/>
        </w:rPr>
        <w:t>xecutive</w:t>
      </w:r>
      <w:r>
        <w:rPr>
          <w:rFonts w:ascii="Times New Roman" w:cs="Times New Roman" w:eastAsia="Times New Roman" w:hAnsi="Times New Roman"/>
          <w:sz w:val="16"/>
          <w:szCs w:val="16"/>
          <w:b w:val="1"/>
          <w:bCs w:val="1"/>
          <w:color w:val="auto"/>
        </w:rPr>
        <w:t xml:space="preserve"> E</w:t>
      </w:r>
      <w:r>
        <w:rPr>
          <w:rFonts w:ascii="Times New Roman" w:cs="Times New Roman" w:eastAsia="Times New Roman" w:hAnsi="Times New Roman"/>
          <w:sz w:val="10"/>
          <w:szCs w:val="10"/>
          <w:b w:val="1"/>
          <w:bCs w:val="1"/>
          <w:color w:val="auto"/>
        </w:rPr>
        <w:t>mployment</w:t>
      </w:r>
      <w:r>
        <w:rPr>
          <w:rFonts w:ascii="Times New Roman" w:cs="Times New Roman" w:eastAsia="Times New Roman" w:hAnsi="Times New Roman"/>
          <w:sz w:val="16"/>
          <w:szCs w:val="16"/>
          <w:b w:val="1"/>
          <w:bCs w:val="1"/>
          <w:color w:val="auto"/>
        </w:rPr>
        <w:t xml:space="preserve"> A</w:t>
      </w:r>
      <w:r>
        <w:rPr>
          <w:rFonts w:ascii="Times New Roman" w:cs="Times New Roman" w:eastAsia="Times New Roman" w:hAnsi="Times New Roman"/>
          <w:sz w:val="10"/>
          <w:szCs w:val="10"/>
          <w:b w:val="1"/>
          <w:bCs w:val="1"/>
          <w:color w:val="auto"/>
        </w:rPr>
        <w:t>gmt</w:t>
      </w:r>
      <w:r>
        <w:rPr>
          <w:rFonts w:ascii="Times New Roman" w:cs="Times New Roman" w:eastAsia="Times New Roman" w:hAnsi="Times New Roman"/>
          <w:sz w:val="16"/>
          <w:szCs w:val="16"/>
          <w:b w:val="1"/>
          <w:bCs w:val="1"/>
          <w:color w:val="auto"/>
        </w:rPr>
        <w:t xml:space="preserve"> S</w:t>
      </w:r>
      <w:r>
        <w:rPr>
          <w:rFonts w:ascii="Times New Roman" w:cs="Times New Roman" w:eastAsia="Times New Roman" w:hAnsi="Times New Roman"/>
          <w:sz w:val="10"/>
          <w:szCs w:val="10"/>
          <w:b w:val="1"/>
          <w:bCs w:val="1"/>
          <w:color w:val="auto"/>
        </w:rPr>
        <w:t>td</w:t>
      </w:r>
      <w:r>
        <w:rPr>
          <w:rFonts w:ascii="Times New Roman" w:cs="Times New Roman" w:eastAsia="Times New Roman" w:hAnsi="Times New Roman"/>
          <w:sz w:val="16"/>
          <w:szCs w:val="16"/>
          <w:b w:val="1"/>
          <w:bCs w:val="1"/>
          <w:color w:val="auto"/>
        </w:rPr>
        <w:t xml:space="preserve"> 11.1.24</w:t>
      </w:r>
      <w:r>
        <w:rPr>
          <w:sz w:val="20"/>
          <w:szCs w:val="20"/>
          <w:color w:val="auto"/>
        </w:rPr>
        <w:tab/>
      </w:r>
      <w:r>
        <w:rPr>
          <w:rFonts w:ascii="Times New Roman" w:cs="Times New Roman" w:eastAsia="Times New Roman" w:hAnsi="Times New Roman"/>
          <w:sz w:val="16"/>
          <w:szCs w:val="16"/>
          <w:b w:val="1"/>
          <w:bCs w:val="1"/>
          <w:color w:val="auto"/>
        </w:rPr>
        <w:t>A</w:t>
      </w:r>
      <w:r>
        <w:rPr>
          <w:rFonts w:ascii="Times New Roman" w:cs="Times New Roman" w:eastAsia="Times New Roman" w:hAnsi="Times New Roman"/>
          <w:sz w:val="10"/>
          <w:szCs w:val="10"/>
          <w:b w:val="1"/>
          <w:bCs w:val="1"/>
          <w:color w:val="auto"/>
        </w:rPr>
        <w:t>ccuray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NUMPAGES \* Arabic \* MERGEFORMAT 31</w:t>
      </w:r>
    </w:p>
    <w:p>
      <w:pPr>
        <w:spacing w:after="0" w:line="200" w:lineRule="exact"/>
        <w:rPr>
          <w:sz w:val="20"/>
          <w:szCs w:val="20"/>
          <w:color w:val="auto"/>
        </w:rPr>
      </w:pPr>
    </w:p>
    <w:p>
      <w:pPr>
        <w:spacing w:after="0" w:line="24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00171E"/>
        </w:rPr>
        <w:t>Agreement will renew automatically for additional three (3) year terms (each, an “</w:t>
      </w:r>
      <w:r>
        <w:rPr>
          <w:rFonts w:ascii="Times New Roman" w:cs="Times New Roman" w:eastAsia="Times New Roman" w:hAnsi="Times New Roman"/>
          <w:sz w:val="20"/>
          <w:szCs w:val="20"/>
          <w:u w:val="single" w:color="auto"/>
          <w:color w:val="00171E"/>
        </w:rPr>
        <w:t>Additional Term</w:t>
      </w:r>
      <w:r>
        <w:rPr>
          <w:rFonts w:ascii="Times New Roman" w:cs="Times New Roman" w:eastAsia="Times New Roman" w:hAnsi="Times New Roman"/>
          <w:sz w:val="20"/>
          <w:szCs w:val="20"/>
          <w:color w:val="00171E"/>
        </w:rPr>
        <w:t>” and together with the Initial Term, the “</w:t>
      </w:r>
      <w:r>
        <w:rPr>
          <w:rFonts w:ascii="Times New Roman" w:cs="Times New Roman" w:eastAsia="Times New Roman" w:hAnsi="Times New Roman"/>
          <w:sz w:val="20"/>
          <w:szCs w:val="20"/>
          <w:u w:val="single" w:color="auto"/>
          <w:color w:val="00171E"/>
        </w:rPr>
        <w:t>Term</w:t>
      </w:r>
      <w:r>
        <w:rPr>
          <w:rFonts w:ascii="Times New Roman" w:cs="Times New Roman" w:eastAsia="Times New Roman" w:hAnsi="Times New Roman"/>
          <w:sz w:val="20"/>
          <w:szCs w:val="20"/>
          <w:color w:val="00171E"/>
        </w:rPr>
        <w:t xml:space="preserve">”), unless either party provides the other party with written notice of non-renewal at least sixty (60) days prior to the date of automatic renewal; provided, however, that if the Company enters into a definitive agreement to be acquired and the transactions contemplated thereby would result in the occurrence of a Change in Control (as defined below) if consummated, then the Company will no longer be permitted to provide Executive with written notice to not renew this Agreement unless such definitive agreement is terminated without the Change in Control being consummated. If the Change in Control is consummated, the Agreement will continue in effect through the longer of the date that is twenty-four (24) months following the effective date of the Change in Control or the remainder of the Term then in effect (for purposes of clarification, it will be possible for the Term of the Agreement to automatically extend after the Company enters into the definitive agreement, but before the Change in Control is consummated). If the definitive agreement is terminated without the transactions contemplated thereby having been consummated and at the time of such termination there is at least twelve (12) months remaining in the Term, the Agreement will continue in effect for the remainder of the Term then in effect, but if there is less than twelve (12) months remaining in the Term then in effect, the Agreement will automatically extend for an additional three (3) years from the date the definitive agreement is terminated. If Executive becomes entitled to benefits under </w:t>
      </w:r>
      <w:r>
        <w:rPr>
          <w:rFonts w:ascii="Times New Roman" w:cs="Times New Roman" w:eastAsia="Times New Roman" w:hAnsi="Times New Roman"/>
          <w:sz w:val="20"/>
          <w:szCs w:val="20"/>
          <w:u w:val="single" w:color="auto"/>
          <w:color w:val="00171E"/>
        </w:rPr>
        <w:t>Section 5</w:t>
      </w:r>
      <w:r>
        <w:rPr>
          <w:rFonts w:ascii="Times New Roman" w:cs="Times New Roman" w:eastAsia="Times New Roman" w:hAnsi="Times New Roman"/>
          <w:sz w:val="20"/>
          <w:szCs w:val="20"/>
          <w:color w:val="00171E"/>
        </w:rPr>
        <w:t xml:space="preserve"> during the term of this Agreement, the Agreement will not terminate until all of the obligations of the parties hereto with respect to this Agreement have been satisfied.</w:t>
      </w:r>
    </w:p>
    <w:p>
      <w:pPr>
        <w:spacing w:after="0" w:line="196" w:lineRule="exact"/>
        <w:rPr>
          <w:sz w:val="20"/>
          <w:szCs w:val="20"/>
          <w:color w:val="auto"/>
        </w:rPr>
      </w:pPr>
    </w:p>
    <w:p>
      <w:pPr>
        <w:jc w:val="both"/>
        <w:ind w:firstLine="1505"/>
        <w:spacing w:after="0" w:line="246" w:lineRule="auto"/>
        <w:tabs>
          <w:tab w:leader="none" w:pos="2036" w:val="left"/>
        </w:tabs>
        <w:numPr>
          <w:ilvl w:val="1"/>
          <w:numId w:val="142"/>
        </w:numPr>
        <w:rPr>
          <w:rFonts w:ascii="Times New Roman" w:cs="Times New Roman" w:eastAsia="Times New Roman" w:hAnsi="Times New Roman"/>
          <w:sz w:val="20"/>
          <w:szCs w:val="20"/>
          <w:u w:val="single" w:color="auto"/>
          <w:color w:val="00171E"/>
        </w:rPr>
      </w:pPr>
      <w:r>
        <w:rPr>
          <w:rFonts w:ascii="Times New Roman" w:cs="Times New Roman" w:eastAsia="Times New Roman" w:hAnsi="Times New Roman"/>
          <w:sz w:val="20"/>
          <w:szCs w:val="20"/>
          <w:u w:val="single" w:color="auto"/>
          <w:color w:val="00171E"/>
        </w:rPr>
        <w:t>At-Will Employment</w:t>
      </w:r>
      <w:r>
        <w:rPr>
          <w:rFonts w:ascii="Times New Roman" w:cs="Times New Roman" w:eastAsia="Times New Roman" w:hAnsi="Times New Roman"/>
          <w:sz w:val="20"/>
          <w:szCs w:val="20"/>
          <w:color w:val="00171E"/>
        </w:rPr>
        <w:t xml:space="preserve">. The Company and Executive acknowledge that, notwithstanding the foregoing, Executive’s employment is and will continue to be at-will, as defined under applicable law. As an at-will employee, either the Company or the Executive may terminate the employment relationship and this Agreement at any time, with or without cause; provided, however, that in connection with such termination, the Company will provide Executive with any applicable benefits under </w:t>
      </w:r>
      <w:r>
        <w:rPr>
          <w:rFonts w:ascii="Times New Roman" w:cs="Times New Roman" w:eastAsia="Times New Roman" w:hAnsi="Times New Roman"/>
          <w:sz w:val="20"/>
          <w:szCs w:val="20"/>
          <w:u w:val="single" w:color="auto"/>
          <w:color w:val="00171E"/>
        </w:rPr>
        <w:t>Section 5</w:t>
      </w:r>
      <w:r>
        <w:rPr>
          <w:rFonts w:ascii="Times New Roman" w:cs="Times New Roman" w:eastAsia="Times New Roman" w:hAnsi="Times New Roman"/>
          <w:sz w:val="20"/>
          <w:szCs w:val="20"/>
          <w:color w:val="00171E"/>
        </w:rPr>
        <w:t xml:space="preserve"> to which Executive is entitled, all in accordance with the terms and conditions thereof.</w:t>
      </w:r>
    </w:p>
    <w:p>
      <w:pPr>
        <w:spacing w:after="0" w:line="180" w:lineRule="exact"/>
        <w:rPr>
          <w:rFonts w:ascii="Times New Roman" w:cs="Times New Roman" w:eastAsia="Times New Roman" w:hAnsi="Times New Roman"/>
          <w:sz w:val="20"/>
          <w:szCs w:val="20"/>
          <w:u w:val="single" w:color="auto"/>
          <w:color w:val="00171E"/>
        </w:rPr>
      </w:pPr>
    </w:p>
    <w:p>
      <w:pPr>
        <w:ind w:left="1020" w:hanging="263"/>
        <w:spacing w:after="0"/>
        <w:tabs>
          <w:tab w:leader="none" w:pos="1020" w:val="left"/>
        </w:tabs>
        <w:numPr>
          <w:ilvl w:val="0"/>
          <w:numId w:val="143"/>
        </w:numPr>
        <w:rPr>
          <w:rFonts w:ascii="Times New Roman" w:cs="Times New Roman" w:eastAsia="Times New Roman" w:hAnsi="Times New Roman"/>
          <w:sz w:val="20"/>
          <w:szCs w:val="20"/>
          <w:b w:val="1"/>
          <w:bCs w:val="1"/>
          <w:color w:val="00171E"/>
        </w:rPr>
      </w:pPr>
      <w:r>
        <w:rPr>
          <w:rFonts w:ascii="Times New Roman" w:cs="Times New Roman" w:eastAsia="Times New Roman" w:hAnsi="Times New Roman"/>
          <w:sz w:val="20"/>
          <w:szCs w:val="20"/>
          <w:b w:val="1"/>
          <w:bCs w:val="1"/>
          <w:color w:val="00171E"/>
        </w:rPr>
        <w:t>Compensation and Benefits.</w:t>
      </w:r>
    </w:p>
    <w:p>
      <w:pPr>
        <w:spacing w:after="0" w:line="219" w:lineRule="exact"/>
        <w:rPr>
          <w:rFonts w:ascii="Times New Roman" w:cs="Times New Roman" w:eastAsia="Times New Roman" w:hAnsi="Times New Roman"/>
          <w:sz w:val="20"/>
          <w:szCs w:val="20"/>
          <w:b w:val="1"/>
          <w:bCs w:val="1"/>
          <w:color w:val="00171E"/>
        </w:rPr>
      </w:pPr>
    </w:p>
    <w:p>
      <w:pPr>
        <w:jc w:val="both"/>
        <w:ind w:firstLine="1505"/>
        <w:spacing w:after="0" w:line="246" w:lineRule="auto"/>
        <w:tabs>
          <w:tab w:leader="none" w:pos="2036" w:val="left"/>
        </w:tabs>
        <w:numPr>
          <w:ilvl w:val="1"/>
          <w:numId w:val="143"/>
        </w:numPr>
        <w:rPr>
          <w:rFonts w:ascii="Times New Roman" w:cs="Times New Roman" w:eastAsia="Times New Roman" w:hAnsi="Times New Roman"/>
          <w:sz w:val="20"/>
          <w:szCs w:val="20"/>
          <w:u w:val="single" w:color="auto"/>
          <w:color w:val="00171E"/>
        </w:rPr>
      </w:pPr>
      <w:r>
        <w:rPr>
          <w:rFonts w:ascii="Times New Roman" w:cs="Times New Roman" w:eastAsia="Times New Roman" w:hAnsi="Times New Roman"/>
          <w:sz w:val="20"/>
          <w:szCs w:val="20"/>
          <w:u w:val="single" w:color="auto"/>
          <w:color w:val="00171E"/>
        </w:rPr>
        <w:t>Base Salary</w:t>
      </w:r>
      <w:r>
        <w:rPr>
          <w:rFonts w:ascii="Times New Roman" w:cs="Times New Roman" w:eastAsia="Times New Roman" w:hAnsi="Times New Roman"/>
          <w:sz w:val="20"/>
          <w:szCs w:val="20"/>
          <w:color w:val="00171E"/>
        </w:rPr>
        <w:t>. As an annual base salary (“</w:t>
      </w:r>
      <w:r>
        <w:rPr>
          <w:rFonts w:ascii="Times New Roman" w:cs="Times New Roman" w:eastAsia="Times New Roman" w:hAnsi="Times New Roman"/>
          <w:sz w:val="20"/>
          <w:szCs w:val="20"/>
          <w:u w:val="single" w:color="auto"/>
          <w:color w:val="00171E"/>
        </w:rPr>
        <w:t>Base Salary</w:t>
      </w:r>
      <w:r>
        <w:rPr>
          <w:rFonts w:ascii="Times New Roman" w:cs="Times New Roman" w:eastAsia="Times New Roman" w:hAnsi="Times New Roman"/>
          <w:sz w:val="20"/>
          <w:szCs w:val="20"/>
          <w:color w:val="00171E"/>
        </w:rPr>
        <w:t>”) for all services rendered pursuant to this Agreement, Executive will be paid an initial Base Salary in the gross amount of $475,904 calculated on an annualized basis, less necessary withholdings and authorized deductions, and payable pursuant to the Company’s regular payroll practices at the time. The Base Salary will be subject to review and adjustments will be made based upon the Company’s normal performance review practices as determined by the Company in its sole discretion.</w:t>
      </w:r>
    </w:p>
    <w:p>
      <w:pPr>
        <w:spacing w:after="0" w:line="184" w:lineRule="exact"/>
        <w:rPr>
          <w:rFonts w:ascii="Times New Roman" w:cs="Times New Roman" w:eastAsia="Times New Roman" w:hAnsi="Times New Roman"/>
          <w:sz w:val="20"/>
          <w:szCs w:val="20"/>
          <w:u w:val="single" w:color="auto"/>
          <w:color w:val="00171E"/>
        </w:rPr>
      </w:pPr>
    </w:p>
    <w:p>
      <w:pPr>
        <w:jc w:val="both"/>
        <w:ind w:firstLine="1505"/>
        <w:spacing w:after="0" w:line="242" w:lineRule="auto"/>
        <w:tabs>
          <w:tab w:leader="none" w:pos="2036" w:val="left"/>
        </w:tabs>
        <w:numPr>
          <w:ilvl w:val="1"/>
          <w:numId w:val="143"/>
        </w:numPr>
        <w:rPr>
          <w:rFonts w:ascii="Times New Roman" w:cs="Times New Roman" w:eastAsia="Times New Roman" w:hAnsi="Times New Roman"/>
          <w:sz w:val="20"/>
          <w:szCs w:val="20"/>
          <w:u w:val="single" w:color="auto"/>
          <w:color w:val="00171E"/>
        </w:rPr>
      </w:pPr>
      <w:r>
        <w:rPr>
          <w:rFonts w:ascii="Times New Roman" w:cs="Times New Roman" w:eastAsia="Times New Roman" w:hAnsi="Times New Roman"/>
          <w:sz w:val="20"/>
          <w:szCs w:val="20"/>
          <w:u w:val="single" w:color="auto"/>
          <w:color w:val="00171E"/>
        </w:rPr>
        <w:t>Bonus</w:t>
      </w:r>
      <w:r>
        <w:rPr>
          <w:rFonts w:ascii="Times New Roman" w:cs="Times New Roman" w:eastAsia="Times New Roman" w:hAnsi="Times New Roman"/>
          <w:sz w:val="20"/>
          <w:szCs w:val="20"/>
          <w:color w:val="00171E"/>
        </w:rPr>
        <w:t>. During Executive’s employment under this Agreement, Executive will be eligible for an annual bonus, subject to the terms and conditions of the Company’s bonus plan, as in effect from time to time (the “</w:t>
      </w:r>
      <w:r>
        <w:rPr>
          <w:rFonts w:ascii="Times New Roman" w:cs="Times New Roman" w:eastAsia="Times New Roman" w:hAnsi="Times New Roman"/>
          <w:sz w:val="20"/>
          <w:szCs w:val="20"/>
          <w:u w:val="single" w:color="auto"/>
          <w:color w:val="00171E"/>
        </w:rPr>
        <w:t>Bonus Plan</w:t>
      </w:r>
      <w:r>
        <w:rPr>
          <w:rFonts w:ascii="Times New Roman" w:cs="Times New Roman" w:eastAsia="Times New Roman" w:hAnsi="Times New Roman"/>
          <w:sz w:val="20"/>
          <w:szCs w:val="20"/>
          <w:color w:val="00171E"/>
        </w:rPr>
        <w:t xml:space="preserve">”), which is applicable to senior executives of the Company. The target amount of Executive’s annual bonus is 70% of Executive’s annual Base Salary (as defined in the Company’s Bonus Plan). However, the actual amount of each annual bonus (if any) will be conditioned on the Company’s achievement of corporate performance objectives approved by the Company and, if applicable, Executive’s achievement of individual performance metrics to be established annually and approved by the Company, all as established pursuant to the Company’s Bonus Plan, and the amount of an annual bonus may be zero. For the avoidance of doubt, an annual bonus will be payable only if the corporate and/or individual performance objectives approved by the Company are achieved as determined by the Company, subject to the Company’s right to exercise discretion in determining the amount of the annual bonus to be awarded, if any, as set forth in the Company’s Bonus Plan. To encourage continued tenure with the Company, Executive must be employed by the Company as of the payment date to earn and be eligible for an annual bonus for the year to which the annual bonus relates, unless otherwise provided in </w:t>
      </w:r>
      <w:r>
        <w:rPr>
          <w:rFonts w:ascii="Times New Roman" w:cs="Times New Roman" w:eastAsia="Times New Roman" w:hAnsi="Times New Roman"/>
          <w:sz w:val="20"/>
          <w:szCs w:val="20"/>
          <w:u w:val="single" w:color="auto"/>
          <w:color w:val="00171E"/>
        </w:rPr>
        <w:t>Section 5</w:t>
      </w:r>
      <w:r>
        <w:rPr>
          <w:rFonts w:ascii="Times New Roman" w:cs="Times New Roman" w:eastAsia="Times New Roman" w:hAnsi="Times New Roman"/>
          <w:sz w:val="20"/>
          <w:szCs w:val="20"/>
          <w:color w:val="00171E"/>
        </w:rPr>
        <w:t>. Bonuses will be paid out according to the terms of the Bonus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132320" cy="171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96"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6"/>
          <w:szCs w:val="16"/>
          <w:b w:val="1"/>
          <w:bCs w:val="1"/>
          <w:color w:val="auto"/>
        </w:rPr>
        <w:t>E</w:t>
      </w:r>
      <w:r>
        <w:rPr>
          <w:rFonts w:ascii="Times New Roman" w:cs="Times New Roman" w:eastAsia="Times New Roman" w:hAnsi="Times New Roman"/>
          <w:sz w:val="10"/>
          <w:szCs w:val="10"/>
          <w:b w:val="1"/>
          <w:bCs w:val="1"/>
          <w:color w:val="auto"/>
        </w:rPr>
        <w:t>xecutive</w:t>
      </w:r>
      <w:r>
        <w:rPr>
          <w:rFonts w:ascii="Times New Roman" w:cs="Times New Roman" w:eastAsia="Times New Roman" w:hAnsi="Times New Roman"/>
          <w:sz w:val="16"/>
          <w:szCs w:val="16"/>
          <w:b w:val="1"/>
          <w:bCs w:val="1"/>
          <w:color w:val="auto"/>
        </w:rPr>
        <w:t xml:space="preserve"> E</w:t>
      </w:r>
      <w:r>
        <w:rPr>
          <w:rFonts w:ascii="Times New Roman" w:cs="Times New Roman" w:eastAsia="Times New Roman" w:hAnsi="Times New Roman"/>
          <w:sz w:val="10"/>
          <w:szCs w:val="10"/>
          <w:b w:val="1"/>
          <w:bCs w:val="1"/>
          <w:color w:val="auto"/>
        </w:rPr>
        <w:t>mployment</w:t>
      </w:r>
      <w:r>
        <w:rPr>
          <w:rFonts w:ascii="Times New Roman" w:cs="Times New Roman" w:eastAsia="Times New Roman" w:hAnsi="Times New Roman"/>
          <w:sz w:val="16"/>
          <w:szCs w:val="16"/>
          <w:b w:val="1"/>
          <w:bCs w:val="1"/>
          <w:color w:val="auto"/>
        </w:rPr>
        <w:t xml:space="preserve"> A</w:t>
      </w:r>
      <w:r>
        <w:rPr>
          <w:rFonts w:ascii="Times New Roman" w:cs="Times New Roman" w:eastAsia="Times New Roman" w:hAnsi="Times New Roman"/>
          <w:sz w:val="10"/>
          <w:szCs w:val="10"/>
          <w:b w:val="1"/>
          <w:bCs w:val="1"/>
          <w:color w:val="auto"/>
        </w:rPr>
        <w:t>gmt</w:t>
      </w:r>
      <w:r>
        <w:rPr>
          <w:rFonts w:ascii="Times New Roman" w:cs="Times New Roman" w:eastAsia="Times New Roman" w:hAnsi="Times New Roman"/>
          <w:sz w:val="16"/>
          <w:szCs w:val="16"/>
          <w:b w:val="1"/>
          <w:bCs w:val="1"/>
          <w:color w:val="auto"/>
        </w:rPr>
        <w:t xml:space="preserve"> S</w:t>
      </w:r>
      <w:r>
        <w:rPr>
          <w:rFonts w:ascii="Times New Roman" w:cs="Times New Roman" w:eastAsia="Times New Roman" w:hAnsi="Times New Roman"/>
          <w:sz w:val="10"/>
          <w:szCs w:val="10"/>
          <w:b w:val="1"/>
          <w:bCs w:val="1"/>
          <w:color w:val="auto"/>
        </w:rPr>
        <w:t>td</w:t>
      </w:r>
      <w:r>
        <w:rPr>
          <w:rFonts w:ascii="Times New Roman" w:cs="Times New Roman" w:eastAsia="Times New Roman" w:hAnsi="Times New Roman"/>
          <w:sz w:val="16"/>
          <w:szCs w:val="16"/>
          <w:b w:val="1"/>
          <w:bCs w:val="1"/>
          <w:color w:val="auto"/>
        </w:rPr>
        <w:t xml:space="preserve"> 11.1.24</w:t>
      </w:r>
      <w:r>
        <w:rPr>
          <w:sz w:val="20"/>
          <w:szCs w:val="20"/>
          <w:color w:val="auto"/>
        </w:rPr>
        <w:tab/>
      </w:r>
      <w:r>
        <w:rPr>
          <w:rFonts w:ascii="Times New Roman" w:cs="Times New Roman" w:eastAsia="Times New Roman" w:hAnsi="Times New Roman"/>
          <w:sz w:val="16"/>
          <w:szCs w:val="16"/>
          <w:b w:val="1"/>
          <w:bCs w:val="1"/>
          <w:color w:val="auto"/>
        </w:rPr>
        <w:t>A</w:t>
      </w:r>
      <w:r>
        <w:rPr>
          <w:rFonts w:ascii="Times New Roman" w:cs="Times New Roman" w:eastAsia="Times New Roman" w:hAnsi="Times New Roman"/>
          <w:sz w:val="10"/>
          <w:szCs w:val="10"/>
          <w:b w:val="1"/>
          <w:bCs w:val="1"/>
          <w:color w:val="auto"/>
        </w:rPr>
        <w:t>ccuray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1" w:name="page142"/>
    <w:bookmarkEnd w:id="141"/>
    <w:p>
      <w:pPr>
        <w:ind w:left="6660"/>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3</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NUMPAGES \* Arabic \* MERGEFORMAT 31</w:t>
      </w:r>
    </w:p>
    <w:p>
      <w:pPr>
        <w:spacing w:after="0" w:line="200" w:lineRule="exact"/>
        <w:rPr>
          <w:sz w:val="20"/>
          <w:szCs w:val="20"/>
          <w:color w:val="auto"/>
        </w:rPr>
      </w:pPr>
    </w:p>
    <w:p>
      <w:pPr>
        <w:spacing w:after="0" w:line="241" w:lineRule="exact"/>
        <w:rPr>
          <w:sz w:val="20"/>
          <w:szCs w:val="20"/>
          <w:color w:val="auto"/>
        </w:rPr>
      </w:pPr>
    </w:p>
    <w:p>
      <w:pPr>
        <w:jc w:val="both"/>
        <w:ind w:firstLine="1505"/>
        <w:spacing w:after="0" w:line="246" w:lineRule="auto"/>
        <w:tabs>
          <w:tab w:leader="none" w:pos="2036" w:val="left"/>
        </w:tabs>
        <w:numPr>
          <w:ilvl w:val="1"/>
          <w:numId w:val="144"/>
        </w:numPr>
        <w:rPr>
          <w:rFonts w:ascii="Times New Roman" w:cs="Times New Roman" w:eastAsia="Times New Roman" w:hAnsi="Times New Roman"/>
          <w:sz w:val="20"/>
          <w:szCs w:val="20"/>
          <w:u w:val="single" w:color="auto"/>
          <w:color w:val="00171E"/>
        </w:rPr>
      </w:pPr>
      <w:r>
        <w:rPr>
          <w:rFonts w:ascii="Times New Roman" w:cs="Times New Roman" w:eastAsia="Times New Roman" w:hAnsi="Times New Roman"/>
          <w:sz w:val="20"/>
          <w:szCs w:val="20"/>
          <w:u w:val="single" w:color="auto"/>
          <w:color w:val="00171E"/>
        </w:rPr>
        <w:t>Equity Incentive Awards</w:t>
      </w:r>
      <w:r>
        <w:rPr>
          <w:rFonts w:ascii="Times New Roman" w:cs="Times New Roman" w:eastAsia="Times New Roman" w:hAnsi="Times New Roman"/>
          <w:sz w:val="20"/>
          <w:szCs w:val="20"/>
          <w:color w:val="00171E"/>
        </w:rPr>
        <w:t>. Executive will be eligible to receive awards of stock options, restricted stock units, performance stock units, or other equity awards pursuant to any plans or arrangements the Company may have in effect from time to time. The Company’s Board of Directors (the “</w:t>
      </w:r>
      <w:r>
        <w:rPr>
          <w:rFonts w:ascii="Times New Roman" w:cs="Times New Roman" w:eastAsia="Times New Roman" w:hAnsi="Times New Roman"/>
          <w:sz w:val="20"/>
          <w:szCs w:val="20"/>
          <w:u w:val="single" w:color="auto"/>
          <w:color w:val="00171E"/>
        </w:rPr>
        <w:t>Board</w:t>
      </w:r>
      <w:r>
        <w:rPr>
          <w:rFonts w:ascii="Times New Roman" w:cs="Times New Roman" w:eastAsia="Times New Roman" w:hAnsi="Times New Roman"/>
          <w:sz w:val="20"/>
          <w:szCs w:val="20"/>
          <w:color w:val="00171E"/>
        </w:rPr>
        <w:t>”) or its Compensation Committee will determine in its discretion whether Executive will be granted any such equity awards and the terms of any such award in accordance with the terms of any applicable plan or arrangement that may be in effect from time to time.</w:t>
      </w:r>
    </w:p>
    <w:p>
      <w:pPr>
        <w:spacing w:after="0" w:line="184" w:lineRule="exact"/>
        <w:rPr>
          <w:rFonts w:ascii="Times New Roman" w:cs="Times New Roman" w:eastAsia="Times New Roman" w:hAnsi="Times New Roman"/>
          <w:sz w:val="20"/>
          <w:szCs w:val="20"/>
          <w:u w:val="single" w:color="auto"/>
          <w:color w:val="00171E"/>
        </w:rPr>
      </w:pPr>
    </w:p>
    <w:p>
      <w:pPr>
        <w:jc w:val="both"/>
        <w:ind w:firstLine="1505"/>
        <w:spacing w:after="0" w:line="243" w:lineRule="auto"/>
        <w:tabs>
          <w:tab w:leader="none" w:pos="2036" w:val="left"/>
        </w:tabs>
        <w:numPr>
          <w:ilvl w:val="1"/>
          <w:numId w:val="144"/>
        </w:numPr>
        <w:rPr>
          <w:rFonts w:ascii="Times New Roman" w:cs="Times New Roman" w:eastAsia="Times New Roman" w:hAnsi="Times New Roman"/>
          <w:sz w:val="20"/>
          <w:szCs w:val="20"/>
          <w:u w:val="single" w:color="auto"/>
          <w:color w:val="00171E"/>
        </w:rPr>
      </w:pPr>
      <w:r>
        <w:rPr>
          <w:rFonts w:ascii="Times New Roman" w:cs="Times New Roman" w:eastAsia="Times New Roman" w:hAnsi="Times New Roman"/>
          <w:sz w:val="20"/>
          <w:szCs w:val="20"/>
          <w:u w:val="single" w:color="auto"/>
          <w:color w:val="00171E"/>
        </w:rPr>
        <w:t>Flexible Time Off and Benefits</w:t>
      </w:r>
      <w:r>
        <w:rPr>
          <w:rFonts w:ascii="Times New Roman" w:cs="Times New Roman" w:eastAsia="Times New Roman" w:hAnsi="Times New Roman"/>
          <w:sz w:val="20"/>
          <w:szCs w:val="20"/>
          <w:color w:val="00171E"/>
        </w:rPr>
        <w:t>. Executive will be allowed to use flexible time off for vacation, illness and holidays pursuant to the Company’s policies that apply to executive officers of the Company. In addition, Executive will be entitled to participate in any plans regarding benefits of employment, including pension, profit sharing, group health, disability insurance and other employee pension and welfare benefit plans now existing or hereafter established to the extent that Executive is then eligible under the terms of such plans and if the other executive officers of the Company generally are eligible to participate in such plan. The Company may, in its sole discretion and from time to time, establish additional senior management benefit plans as it deems appropriate. Executive understands that any such plans may be modified or eliminated in the Company’s sole discretion in accordance with applicable law, provided that no such plan modification or elimination shall result in Executive becoming unvested, or being required to revest, in any of Executive’s benefits that already are then vested.</w:t>
      </w:r>
    </w:p>
    <w:p>
      <w:pPr>
        <w:spacing w:after="0" w:line="185" w:lineRule="exact"/>
        <w:rPr>
          <w:rFonts w:ascii="Times New Roman" w:cs="Times New Roman" w:eastAsia="Times New Roman" w:hAnsi="Times New Roman"/>
          <w:sz w:val="20"/>
          <w:szCs w:val="20"/>
          <w:u w:val="single" w:color="auto"/>
          <w:color w:val="00171E"/>
        </w:rPr>
      </w:pPr>
    </w:p>
    <w:p>
      <w:pPr>
        <w:jc w:val="both"/>
        <w:ind w:firstLine="1505"/>
        <w:spacing w:after="0" w:line="249" w:lineRule="auto"/>
        <w:tabs>
          <w:tab w:leader="none" w:pos="2036" w:val="left"/>
        </w:tabs>
        <w:numPr>
          <w:ilvl w:val="1"/>
          <w:numId w:val="144"/>
        </w:numPr>
        <w:rPr>
          <w:rFonts w:ascii="Times New Roman" w:cs="Times New Roman" w:eastAsia="Times New Roman" w:hAnsi="Times New Roman"/>
          <w:sz w:val="20"/>
          <w:szCs w:val="20"/>
          <w:u w:val="single" w:color="auto"/>
          <w:color w:val="00171E"/>
        </w:rPr>
      </w:pPr>
      <w:r>
        <w:rPr>
          <w:rFonts w:ascii="Times New Roman" w:cs="Times New Roman" w:eastAsia="Times New Roman" w:hAnsi="Times New Roman"/>
          <w:sz w:val="20"/>
          <w:szCs w:val="20"/>
          <w:u w:val="single" w:color="auto"/>
          <w:color w:val="00171E"/>
        </w:rPr>
        <w:t>Reimbursement of Business Expenses</w:t>
      </w:r>
      <w:r>
        <w:rPr>
          <w:rFonts w:ascii="Times New Roman" w:cs="Times New Roman" w:eastAsia="Times New Roman" w:hAnsi="Times New Roman"/>
          <w:sz w:val="20"/>
          <w:szCs w:val="20"/>
          <w:color w:val="00171E"/>
        </w:rPr>
        <w:t>. The Company will promptly reimburse to Executive his/her reasonable, customary and documented out-of-pocket reasonable and necessary business expenses in connection with the performance of his/her duties under this Agreement, and in accordance with the policies and procedures established by the Company; provided that each reimbursement shall be requested within two (2) months after being incurred.</w:t>
      </w:r>
    </w:p>
    <w:p>
      <w:pPr>
        <w:spacing w:after="0" w:line="179" w:lineRule="exact"/>
        <w:rPr>
          <w:rFonts w:ascii="Times New Roman" w:cs="Times New Roman" w:eastAsia="Times New Roman" w:hAnsi="Times New Roman"/>
          <w:sz w:val="20"/>
          <w:szCs w:val="20"/>
          <w:u w:val="single" w:color="auto"/>
          <w:color w:val="00171E"/>
        </w:rPr>
      </w:pPr>
    </w:p>
    <w:p>
      <w:pPr>
        <w:jc w:val="both"/>
        <w:ind w:firstLine="1505"/>
        <w:spacing w:after="0" w:line="242" w:lineRule="auto"/>
        <w:tabs>
          <w:tab w:leader="none" w:pos="2036" w:val="left"/>
        </w:tabs>
        <w:numPr>
          <w:ilvl w:val="1"/>
          <w:numId w:val="144"/>
        </w:numPr>
        <w:rPr>
          <w:rFonts w:ascii="Times New Roman" w:cs="Times New Roman" w:eastAsia="Times New Roman" w:hAnsi="Times New Roman"/>
          <w:sz w:val="20"/>
          <w:szCs w:val="20"/>
          <w:u w:val="single" w:color="auto"/>
          <w:color w:val="00171E"/>
        </w:rPr>
      </w:pPr>
      <w:r>
        <w:rPr>
          <w:rFonts w:ascii="Times New Roman" w:cs="Times New Roman" w:eastAsia="Times New Roman" w:hAnsi="Times New Roman"/>
          <w:sz w:val="20"/>
          <w:szCs w:val="20"/>
          <w:u w:val="single" w:color="auto"/>
          <w:color w:val="00171E"/>
        </w:rPr>
        <w:t>Sarbanes-Oxley Act Loan Prohibition and Company Compensation-Related Polices</w:t>
      </w:r>
      <w:r>
        <w:rPr>
          <w:rFonts w:ascii="Times New Roman" w:cs="Times New Roman" w:eastAsia="Times New Roman" w:hAnsi="Times New Roman"/>
          <w:sz w:val="20"/>
          <w:szCs w:val="20"/>
          <w:color w:val="00171E"/>
        </w:rPr>
        <w:t>. To the extent that any Company benefit, program, practice, arrangement or this Agreement would or might otherwise result in Executive’s receipt of an illegal loan (the “</w:t>
      </w:r>
      <w:r>
        <w:rPr>
          <w:rFonts w:ascii="Times New Roman" w:cs="Times New Roman" w:eastAsia="Times New Roman" w:hAnsi="Times New Roman"/>
          <w:sz w:val="20"/>
          <w:szCs w:val="20"/>
          <w:u w:val="single" w:color="auto"/>
          <w:color w:val="00171E"/>
        </w:rPr>
        <w:t>Loan</w:t>
      </w:r>
      <w:r>
        <w:rPr>
          <w:rFonts w:ascii="Times New Roman" w:cs="Times New Roman" w:eastAsia="Times New Roman" w:hAnsi="Times New Roman"/>
          <w:sz w:val="20"/>
          <w:szCs w:val="20"/>
          <w:color w:val="00171E"/>
        </w:rPr>
        <w:t>”), the Company shall use commercially reasonable efforts to provide Executive with a substitute for the Loan that is lawful and of at least equal value to Executive. If this cannot be done, or if doing so would be significantly more expensive to the Company than making the Loan, in each case as determined by the Company in its sole discretion, the Company need not make the Loan to Executive or provide him/her a substitute for it. Further, Executive acknowledges that any bonus or equity award provided for in this Agreement or otherwise awarded to him/her shall be subject to the Company’s policies regarding recoupment and clawback and, pursuant to the Company’s Compensation Recovery Policy (the “</w:t>
      </w:r>
      <w:r>
        <w:rPr>
          <w:rFonts w:ascii="Times New Roman" w:cs="Times New Roman" w:eastAsia="Times New Roman" w:hAnsi="Times New Roman"/>
          <w:sz w:val="20"/>
          <w:szCs w:val="20"/>
          <w:u w:val="single" w:color="auto"/>
          <w:color w:val="00171E"/>
        </w:rPr>
        <w:t>Clawback Policy</w:t>
      </w:r>
      <w:r>
        <w:rPr>
          <w:rFonts w:ascii="Times New Roman" w:cs="Times New Roman" w:eastAsia="Times New Roman" w:hAnsi="Times New Roman"/>
          <w:sz w:val="20"/>
          <w:szCs w:val="20"/>
          <w:color w:val="00171E"/>
        </w:rPr>
        <w:t>”), any of Executive’s “Incentive-Based Compensation” as defined therein shall be subject to the Clawback Policy, in each case as such policies may be amended from time to time, and Executive agrees that he/she will be subject to, and shall comply with, the Company’s stock ownership requirements which are set forth in its Amended and Restated Corporate Governance Guidelines, as such requirements may be amended from time to time, and the Company’s Insider Trading Policy, as amended from time to time.</w:t>
      </w:r>
    </w:p>
    <w:p>
      <w:pPr>
        <w:spacing w:after="0" w:line="183" w:lineRule="exact"/>
        <w:rPr>
          <w:rFonts w:ascii="Times New Roman" w:cs="Times New Roman" w:eastAsia="Times New Roman" w:hAnsi="Times New Roman"/>
          <w:sz w:val="20"/>
          <w:szCs w:val="20"/>
          <w:u w:val="single" w:color="auto"/>
          <w:color w:val="00171E"/>
        </w:rPr>
      </w:pPr>
    </w:p>
    <w:p>
      <w:pPr>
        <w:ind w:left="1020" w:hanging="263"/>
        <w:spacing w:after="0"/>
        <w:tabs>
          <w:tab w:leader="none" w:pos="1020" w:val="left"/>
        </w:tabs>
        <w:numPr>
          <w:ilvl w:val="0"/>
          <w:numId w:val="145"/>
        </w:numPr>
        <w:rPr>
          <w:rFonts w:ascii="Times New Roman" w:cs="Times New Roman" w:eastAsia="Times New Roman" w:hAnsi="Times New Roman"/>
          <w:sz w:val="20"/>
          <w:szCs w:val="20"/>
          <w:b w:val="1"/>
          <w:bCs w:val="1"/>
          <w:color w:val="00171E"/>
        </w:rPr>
      </w:pPr>
      <w:r>
        <w:rPr>
          <w:rFonts w:ascii="Times New Roman" w:cs="Times New Roman" w:eastAsia="Times New Roman" w:hAnsi="Times New Roman"/>
          <w:sz w:val="20"/>
          <w:szCs w:val="20"/>
          <w:b w:val="1"/>
          <w:bCs w:val="1"/>
          <w:color w:val="00171E"/>
        </w:rPr>
        <w:t>Termination of Employment.</w:t>
      </w:r>
    </w:p>
    <w:p>
      <w:pPr>
        <w:spacing w:after="0" w:line="219" w:lineRule="exact"/>
        <w:rPr>
          <w:rFonts w:ascii="Times New Roman" w:cs="Times New Roman" w:eastAsia="Times New Roman" w:hAnsi="Times New Roman"/>
          <w:sz w:val="20"/>
          <w:szCs w:val="20"/>
          <w:b w:val="1"/>
          <w:bCs w:val="1"/>
          <w:color w:val="00171E"/>
        </w:rPr>
      </w:pPr>
    </w:p>
    <w:p>
      <w:pPr>
        <w:jc w:val="both"/>
        <w:ind w:firstLine="1505"/>
        <w:spacing w:after="0" w:line="246" w:lineRule="auto"/>
        <w:tabs>
          <w:tab w:leader="none" w:pos="2036" w:val="left"/>
        </w:tabs>
        <w:numPr>
          <w:ilvl w:val="1"/>
          <w:numId w:val="145"/>
        </w:numPr>
        <w:rPr>
          <w:rFonts w:ascii="Times New Roman" w:cs="Times New Roman" w:eastAsia="Times New Roman" w:hAnsi="Times New Roman"/>
          <w:sz w:val="20"/>
          <w:szCs w:val="20"/>
          <w:u w:val="single" w:color="auto"/>
          <w:color w:val="00171E"/>
        </w:rPr>
      </w:pPr>
      <w:r>
        <w:rPr>
          <w:rFonts w:ascii="Times New Roman" w:cs="Times New Roman" w:eastAsia="Times New Roman" w:hAnsi="Times New Roman"/>
          <w:sz w:val="20"/>
          <w:szCs w:val="20"/>
          <w:u w:val="single" w:color="auto"/>
          <w:color w:val="00171E"/>
        </w:rPr>
        <w:t>By Company Without Cause</w:t>
      </w:r>
      <w:r>
        <w:rPr>
          <w:rFonts w:ascii="Times New Roman" w:cs="Times New Roman" w:eastAsia="Times New Roman" w:hAnsi="Times New Roman"/>
          <w:sz w:val="20"/>
          <w:szCs w:val="20"/>
          <w:color w:val="00171E"/>
        </w:rPr>
        <w:t xml:space="preserve">. Subject to the last paragraph of this </w:t>
      </w:r>
      <w:r>
        <w:rPr>
          <w:rFonts w:ascii="Times New Roman" w:cs="Times New Roman" w:eastAsia="Times New Roman" w:hAnsi="Times New Roman"/>
          <w:sz w:val="20"/>
          <w:szCs w:val="20"/>
          <w:u w:val="single" w:color="auto"/>
          <w:color w:val="00171E"/>
        </w:rPr>
        <w:t>Section 5(a)</w:t>
      </w:r>
      <w:r>
        <w:rPr>
          <w:rFonts w:ascii="Times New Roman" w:cs="Times New Roman" w:eastAsia="Times New Roman" w:hAnsi="Times New Roman"/>
          <w:sz w:val="20"/>
          <w:szCs w:val="20"/>
          <w:color w:val="00171E"/>
        </w:rPr>
        <w:t>, the Company may terminate Executive’s employment without Cause (as defined below) (excluding due to Executive’s death or Incapacity (as defined below)) effective on thirty (30) days’ written notice (such thirty (30)-day period, the “</w:t>
      </w:r>
      <w:r>
        <w:rPr>
          <w:rFonts w:ascii="Times New Roman" w:cs="Times New Roman" w:eastAsia="Times New Roman" w:hAnsi="Times New Roman"/>
          <w:sz w:val="20"/>
          <w:szCs w:val="20"/>
          <w:u w:val="single" w:color="auto"/>
          <w:color w:val="00171E"/>
        </w:rPr>
        <w:t>Notice Period</w:t>
      </w:r>
      <w:r>
        <w:rPr>
          <w:rFonts w:ascii="Times New Roman" w:cs="Times New Roman" w:eastAsia="Times New Roman" w:hAnsi="Times New Roman"/>
          <w:sz w:val="20"/>
          <w:szCs w:val="20"/>
          <w:color w:val="00171E"/>
        </w:rPr>
        <w:t>”, and such notice, the “</w:t>
      </w:r>
      <w:r>
        <w:rPr>
          <w:rFonts w:ascii="Times New Roman" w:cs="Times New Roman" w:eastAsia="Times New Roman" w:hAnsi="Times New Roman"/>
          <w:sz w:val="20"/>
          <w:szCs w:val="20"/>
          <w:u w:val="single" w:color="auto"/>
          <w:color w:val="00171E"/>
        </w:rPr>
        <w:t>Termination Notice</w:t>
      </w:r>
      <w:r>
        <w:rPr>
          <w:rFonts w:ascii="Times New Roman" w:cs="Times New Roman" w:eastAsia="Times New Roman" w:hAnsi="Times New Roman"/>
          <w:sz w:val="20"/>
          <w:szCs w:val="20"/>
          <w:color w:val="00171E"/>
        </w:rPr>
        <w:t>”), during which notice period Executive may be relieved of his/her duties and placed on paid terminal leave. In such event and subject to the other provisions of this Agreement, Executive will be entitled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191770</wp:posOffset>
            </wp:positionV>
            <wp:extent cx="7132320" cy="171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93"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6"/>
          <w:szCs w:val="16"/>
          <w:b w:val="1"/>
          <w:bCs w:val="1"/>
          <w:color w:val="auto"/>
        </w:rPr>
        <w:t>E</w:t>
      </w:r>
      <w:r>
        <w:rPr>
          <w:rFonts w:ascii="Times New Roman" w:cs="Times New Roman" w:eastAsia="Times New Roman" w:hAnsi="Times New Roman"/>
          <w:sz w:val="10"/>
          <w:szCs w:val="10"/>
          <w:b w:val="1"/>
          <w:bCs w:val="1"/>
          <w:color w:val="auto"/>
        </w:rPr>
        <w:t>xecutive</w:t>
      </w:r>
      <w:r>
        <w:rPr>
          <w:rFonts w:ascii="Times New Roman" w:cs="Times New Roman" w:eastAsia="Times New Roman" w:hAnsi="Times New Roman"/>
          <w:sz w:val="16"/>
          <w:szCs w:val="16"/>
          <w:b w:val="1"/>
          <w:bCs w:val="1"/>
          <w:color w:val="auto"/>
        </w:rPr>
        <w:t xml:space="preserve"> E</w:t>
      </w:r>
      <w:r>
        <w:rPr>
          <w:rFonts w:ascii="Times New Roman" w:cs="Times New Roman" w:eastAsia="Times New Roman" w:hAnsi="Times New Roman"/>
          <w:sz w:val="10"/>
          <w:szCs w:val="10"/>
          <w:b w:val="1"/>
          <w:bCs w:val="1"/>
          <w:color w:val="auto"/>
        </w:rPr>
        <w:t>mployment</w:t>
      </w:r>
      <w:r>
        <w:rPr>
          <w:rFonts w:ascii="Times New Roman" w:cs="Times New Roman" w:eastAsia="Times New Roman" w:hAnsi="Times New Roman"/>
          <w:sz w:val="16"/>
          <w:szCs w:val="16"/>
          <w:b w:val="1"/>
          <w:bCs w:val="1"/>
          <w:color w:val="auto"/>
        </w:rPr>
        <w:t xml:space="preserve"> A</w:t>
      </w:r>
      <w:r>
        <w:rPr>
          <w:rFonts w:ascii="Times New Roman" w:cs="Times New Roman" w:eastAsia="Times New Roman" w:hAnsi="Times New Roman"/>
          <w:sz w:val="10"/>
          <w:szCs w:val="10"/>
          <w:b w:val="1"/>
          <w:bCs w:val="1"/>
          <w:color w:val="auto"/>
        </w:rPr>
        <w:t>gmt</w:t>
      </w:r>
      <w:r>
        <w:rPr>
          <w:rFonts w:ascii="Times New Roman" w:cs="Times New Roman" w:eastAsia="Times New Roman" w:hAnsi="Times New Roman"/>
          <w:sz w:val="16"/>
          <w:szCs w:val="16"/>
          <w:b w:val="1"/>
          <w:bCs w:val="1"/>
          <w:color w:val="auto"/>
        </w:rPr>
        <w:t xml:space="preserve"> S</w:t>
      </w:r>
      <w:r>
        <w:rPr>
          <w:rFonts w:ascii="Times New Roman" w:cs="Times New Roman" w:eastAsia="Times New Roman" w:hAnsi="Times New Roman"/>
          <w:sz w:val="10"/>
          <w:szCs w:val="10"/>
          <w:b w:val="1"/>
          <w:bCs w:val="1"/>
          <w:color w:val="auto"/>
        </w:rPr>
        <w:t>td</w:t>
      </w:r>
      <w:r>
        <w:rPr>
          <w:rFonts w:ascii="Times New Roman" w:cs="Times New Roman" w:eastAsia="Times New Roman" w:hAnsi="Times New Roman"/>
          <w:sz w:val="16"/>
          <w:szCs w:val="16"/>
          <w:b w:val="1"/>
          <w:bCs w:val="1"/>
          <w:color w:val="auto"/>
        </w:rPr>
        <w:t xml:space="preserve"> 11.1.24</w:t>
      </w:r>
      <w:r>
        <w:rPr>
          <w:sz w:val="20"/>
          <w:szCs w:val="20"/>
          <w:color w:val="auto"/>
        </w:rPr>
        <w:tab/>
      </w:r>
      <w:r>
        <w:rPr>
          <w:rFonts w:ascii="Times New Roman" w:cs="Times New Roman" w:eastAsia="Times New Roman" w:hAnsi="Times New Roman"/>
          <w:sz w:val="16"/>
          <w:szCs w:val="16"/>
          <w:b w:val="1"/>
          <w:bCs w:val="1"/>
          <w:color w:val="auto"/>
        </w:rPr>
        <w:t>A</w:t>
      </w:r>
      <w:r>
        <w:rPr>
          <w:rFonts w:ascii="Times New Roman" w:cs="Times New Roman" w:eastAsia="Times New Roman" w:hAnsi="Times New Roman"/>
          <w:sz w:val="10"/>
          <w:szCs w:val="10"/>
          <w:b w:val="1"/>
          <w:bCs w:val="1"/>
          <w:color w:val="auto"/>
        </w:rPr>
        <w:t>ccuray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2" w:name="page143"/>
    <w:bookmarkEnd w:id="142"/>
    <w:p>
      <w:pPr>
        <w:ind w:left="6660"/>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NUMPAGES \* Arabic \* MERGEFORMAT 31</w:t>
      </w:r>
    </w:p>
    <w:p>
      <w:pPr>
        <w:spacing w:after="0" w:line="200" w:lineRule="exact"/>
        <w:rPr>
          <w:sz w:val="20"/>
          <w:szCs w:val="20"/>
          <w:color w:val="auto"/>
        </w:rPr>
      </w:pPr>
    </w:p>
    <w:p>
      <w:pPr>
        <w:spacing w:after="0" w:line="241" w:lineRule="exact"/>
        <w:rPr>
          <w:sz w:val="20"/>
          <w:szCs w:val="20"/>
          <w:color w:val="auto"/>
        </w:rPr>
      </w:pPr>
    </w:p>
    <w:p>
      <w:pPr>
        <w:jc w:val="both"/>
        <w:ind w:firstLine="2254"/>
        <w:spacing w:after="0" w:line="254" w:lineRule="auto"/>
        <w:tabs>
          <w:tab w:leader="none" w:pos="2546" w:val="left"/>
        </w:tabs>
        <w:numPr>
          <w:ilvl w:val="0"/>
          <w:numId w:val="146"/>
        </w:numPr>
        <w:rPr>
          <w:rFonts w:ascii="Times New Roman" w:cs="Times New Roman" w:eastAsia="Times New Roman" w:hAnsi="Times New Roman"/>
          <w:sz w:val="20"/>
          <w:szCs w:val="20"/>
          <w:color w:val="00171E"/>
        </w:rPr>
      </w:pPr>
      <w:r>
        <w:rPr>
          <w:rFonts w:ascii="Times New Roman" w:cs="Times New Roman" w:eastAsia="Times New Roman" w:hAnsi="Times New Roman"/>
          <w:sz w:val="20"/>
          <w:szCs w:val="20"/>
          <w:color w:val="00171E"/>
        </w:rPr>
        <w:t>continued coverage under the Company’s insurance-based benefit plans through the termination date and such other benefits to which he/she may be entitled pursuant to the terms and conditions of the Company’s benefit plans, provided, however, that Executive shall not participate in any severance plan of the Company;</w:t>
      </w:r>
    </w:p>
    <w:p>
      <w:pPr>
        <w:spacing w:after="0" w:line="174" w:lineRule="exact"/>
        <w:rPr>
          <w:rFonts w:ascii="Times New Roman" w:cs="Times New Roman" w:eastAsia="Times New Roman" w:hAnsi="Times New Roman"/>
          <w:sz w:val="20"/>
          <w:szCs w:val="20"/>
          <w:color w:val="00171E"/>
        </w:rPr>
      </w:pPr>
    </w:p>
    <w:p>
      <w:pPr>
        <w:ind w:right="20" w:firstLine="2254"/>
        <w:spacing w:after="0" w:line="269" w:lineRule="auto"/>
        <w:tabs>
          <w:tab w:leader="none" w:pos="2546" w:val="left"/>
        </w:tabs>
        <w:numPr>
          <w:ilvl w:val="0"/>
          <w:numId w:val="146"/>
        </w:numPr>
        <w:rPr>
          <w:rFonts w:ascii="Times New Roman" w:cs="Times New Roman" w:eastAsia="Times New Roman" w:hAnsi="Times New Roman"/>
          <w:sz w:val="20"/>
          <w:szCs w:val="20"/>
          <w:color w:val="00171E"/>
        </w:rPr>
      </w:pPr>
      <w:r>
        <w:rPr>
          <w:rFonts w:ascii="Times New Roman" w:cs="Times New Roman" w:eastAsia="Times New Roman" w:hAnsi="Times New Roman"/>
          <w:sz w:val="20"/>
          <w:szCs w:val="20"/>
          <w:color w:val="00171E"/>
        </w:rPr>
        <w:t>payment of all earned but unpaid compensation (including any accrued unpaid vacation, as applicable) through the effective date of termination, payable on or before the termination date; and</w:t>
      </w:r>
    </w:p>
    <w:p>
      <w:pPr>
        <w:spacing w:after="0" w:line="159" w:lineRule="exact"/>
        <w:rPr>
          <w:sz w:val="20"/>
          <w:szCs w:val="20"/>
          <w:color w:val="auto"/>
        </w:rPr>
      </w:pPr>
    </w:p>
    <w:p>
      <w:pPr>
        <w:jc w:val="both"/>
        <w:ind w:firstLine="2246"/>
        <w:spacing w:after="0" w:line="269" w:lineRule="auto"/>
        <w:rPr>
          <w:sz w:val="20"/>
          <w:szCs w:val="20"/>
          <w:color w:val="auto"/>
        </w:rPr>
      </w:pPr>
      <w:r>
        <w:rPr>
          <w:rFonts w:ascii="Times New Roman" w:cs="Times New Roman" w:eastAsia="Times New Roman" w:hAnsi="Times New Roman"/>
          <w:sz w:val="20"/>
          <w:szCs w:val="20"/>
          <w:color w:val="00171E"/>
        </w:rPr>
        <w:t xml:space="preserve">(iii)reimbursement of expenses incurred on or before the termination date in accordance with </w:t>
      </w:r>
      <w:r>
        <w:rPr>
          <w:rFonts w:ascii="Times New Roman" w:cs="Times New Roman" w:eastAsia="Times New Roman" w:hAnsi="Times New Roman"/>
          <w:sz w:val="20"/>
          <w:szCs w:val="20"/>
          <w:u w:val="single" w:color="auto"/>
          <w:color w:val="00171E"/>
        </w:rPr>
        <w:t>Section 4(e)</w:t>
      </w:r>
      <w:r>
        <w:rPr>
          <w:rFonts w:ascii="Times New Roman" w:cs="Times New Roman" w:eastAsia="Times New Roman" w:hAnsi="Times New Roman"/>
          <w:sz w:val="20"/>
          <w:szCs w:val="20"/>
          <w:color w:val="00171E"/>
        </w:rPr>
        <w:t>, above, if a request for reimbursement of the expenses was timely submitted to the Company; plus</w:t>
      </w:r>
    </w:p>
    <w:p>
      <w:pPr>
        <w:spacing w:after="0" w:line="159" w:lineRule="exact"/>
        <w:rPr>
          <w:sz w:val="20"/>
          <w:szCs w:val="20"/>
          <w:color w:val="auto"/>
        </w:rPr>
      </w:pPr>
    </w:p>
    <w:p>
      <w:pPr>
        <w:jc w:val="both"/>
        <w:ind w:firstLine="2246"/>
        <w:spacing w:after="0" w:line="245" w:lineRule="auto"/>
        <w:rPr>
          <w:sz w:val="20"/>
          <w:szCs w:val="20"/>
          <w:color w:val="auto"/>
        </w:rPr>
      </w:pPr>
      <w:r>
        <w:rPr>
          <w:rFonts w:ascii="Times New Roman" w:cs="Times New Roman" w:eastAsia="Times New Roman" w:hAnsi="Times New Roman"/>
          <w:sz w:val="20"/>
          <w:szCs w:val="20"/>
          <w:color w:val="00171E"/>
        </w:rPr>
        <w:t>(iv)payment of the equivalent of the Base Salary, as then in effect (provided that if there has been any reduction in the Base Salary that would otherwise constitute Good Reason, then the rate in effect prior to such reduction), that he/she would have earned over the next twelve (12) months following the termination date (less necessary withholdings and authorized deductions) (the “</w:t>
      </w:r>
      <w:r>
        <w:rPr>
          <w:rFonts w:ascii="Times New Roman" w:cs="Times New Roman" w:eastAsia="Times New Roman" w:hAnsi="Times New Roman"/>
          <w:sz w:val="20"/>
          <w:szCs w:val="20"/>
          <w:u w:val="single" w:color="auto"/>
          <w:color w:val="00171E"/>
        </w:rPr>
        <w:t>Severance Payment</w:t>
      </w:r>
      <w:r>
        <w:rPr>
          <w:rFonts w:ascii="Times New Roman" w:cs="Times New Roman" w:eastAsia="Times New Roman" w:hAnsi="Times New Roman"/>
          <w:sz w:val="20"/>
          <w:szCs w:val="20"/>
          <w:color w:val="00171E"/>
        </w:rPr>
        <w:t>”), payable in a lump sum on the first regularly scheduled payroll date following the date the Release becomes effective and irrevocable (the “</w:t>
      </w:r>
      <w:r>
        <w:rPr>
          <w:rFonts w:ascii="Times New Roman" w:cs="Times New Roman" w:eastAsia="Times New Roman" w:hAnsi="Times New Roman"/>
          <w:sz w:val="20"/>
          <w:szCs w:val="20"/>
          <w:u w:val="single" w:color="auto"/>
          <w:color w:val="00171E"/>
        </w:rPr>
        <w:t>Release Effective Date</w:t>
      </w:r>
      <w:r>
        <w:rPr>
          <w:rFonts w:ascii="Times New Roman" w:cs="Times New Roman" w:eastAsia="Times New Roman" w:hAnsi="Times New Roman"/>
          <w:sz w:val="20"/>
          <w:szCs w:val="20"/>
          <w:color w:val="00171E"/>
        </w:rPr>
        <w:t xml:space="preserve">”), but (1) in any event within 30 days after the Release Effective Date and (2) subject to </w:t>
      </w:r>
      <w:r>
        <w:rPr>
          <w:rFonts w:ascii="Times New Roman" w:cs="Times New Roman" w:eastAsia="Times New Roman" w:hAnsi="Times New Roman"/>
          <w:sz w:val="20"/>
          <w:szCs w:val="20"/>
          <w:u w:val="single" w:color="auto"/>
          <w:color w:val="00171E"/>
        </w:rPr>
        <w:t>Section</w:t>
      </w:r>
      <w:r>
        <w:rPr>
          <w:rFonts w:ascii="Times New Roman" w:cs="Times New Roman" w:eastAsia="Times New Roman" w:hAnsi="Times New Roman"/>
          <w:sz w:val="20"/>
          <w:szCs w:val="20"/>
          <w:color w:val="00171E"/>
        </w:rPr>
        <w:t xml:space="preserve"> </w:t>
      </w:r>
      <w:r>
        <w:rPr>
          <w:rFonts w:ascii="Times New Roman" w:cs="Times New Roman" w:eastAsia="Times New Roman" w:hAnsi="Times New Roman"/>
          <w:sz w:val="20"/>
          <w:szCs w:val="20"/>
          <w:u w:val="single" w:color="auto"/>
          <w:color w:val="00171E"/>
        </w:rPr>
        <w:t>16</w:t>
      </w:r>
      <w:r>
        <w:rPr>
          <w:rFonts w:ascii="Times New Roman" w:cs="Times New Roman" w:eastAsia="Times New Roman" w:hAnsi="Times New Roman"/>
          <w:sz w:val="20"/>
          <w:szCs w:val="20"/>
          <w:color w:val="00171E"/>
        </w:rPr>
        <w:t>, below;</w:t>
      </w:r>
    </w:p>
    <w:p>
      <w:pPr>
        <w:spacing w:after="0" w:line="184" w:lineRule="exact"/>
        <w:rPr>
          <w:sz w:val="20"/>
          <w:szCs w:val="20"/>
          <w:color w:val="auto"/>
        </w:rPr>
      </w:pPr>
    </w:p>
    <w:p>
      <w:pPr>
        <w:jc w:val="both"/>
        <w:ind w:firstLine="2254"/>
        <w:spacing w:after="0" w:line="241" w:lineRule="auto"/>
        <w:tabs>
          <w:tab w:leader="none" w:pos="2546" w:val="left"/>
        </w:tabs>
        <w:numPr>
          <w:ilvl w:val="0"/>
          <w:numId w:val="147"/>
        </w:numPr>
        <w:rPr>
          <w:rFonts w:ascii="Times New Roman" w:cs="Times New Roman" w:eastAsia="Times New Roman" w:hAnsi="Times New Roman"/>
          <w:sz w:val="20"/>
          <w:szCs w:val="20"/>
          <w:color w:val="00171E"/>
        </w:rPr>
      </w:pPr>
      <w:r>
        <w:rPr>
          <w:rFonts w:ascii="Times New Roman" w:cs="Times New Roman" w:eastAsia="Times New Roman" w:hAnsi="Times New Roman"/>
          <w:sz w:val="20"/>
          <w:szCs w:val="20"/>
          <w:color w:val="00171E"/>
        </w:rPr>
        <w:t>either (1) if Executive’s termination date occurs on or following the date on which bonus payments to similarly situated executives are made under the Bonus Plan for the fiscal year prior to the fiscal year in which Executive’s termination occurs (the “</w:t>
      </w:r>
      <w:r>
        <w:rPr>
          <w:rFonts w:ascii="Times New Roman" w:cs="Times New Roman" w:eastAsia="Times New Roman" w:hAnsi="Times New Roman"/>
          <w:sz w:val="20"/>
          <w:szCs w:val="20"/>
          <w:u w:val="single" w:color="auto"/>
          <w:color w:val="00171E"/>
        </w:rPr>
        <w:t>Prior Fiscal Year</w:t>
      </w:r>
      <w:r>
        <w:rPr>
          <w:rFonts w:ascii="Times New Roman" w:cs="Times New Roman" w:eastAsia="Times New Roman" w:hAnsi="Times New Roman"/>
          <w:sz w:val="20"/>
          <w:szCs w:val="20"/>
          <w:color w:val="00171E"/>
        </w:rPr>
        <w:t>”), then payment of a prorated portion of the actual bonus Executive would have otherwise received for the fiscal year during which the termination occurs, as if Executive had remained employed by the Company through the date that would have otherwise been required to earn the bonus, but without the Board or any committee of the Board exercising any negative discretion to reduce the amount of the award, calculated by dividing the number of days from the start of the fiscal year through the termination date by 365 and multiplying the amount of such actual bonus Executive would have otherwise received by this percentage (but not by more than 100%), and paid at the same time as bonuses are paid to other Company executives that are similarly situated to Executive but in any case in the same calendar year in which the performance period ends; provided, however, that if the termination date is after the seventh month of the fiscal year, the actual bonus will not be prorated and Executive will receive 100% of such actual bonus Executive would have otherwise received for that fiscal year (without the Board or any committee of the Board exercising any negative discretion) at the same time as bonuses are paid to other Company executives that are similarly situated to Executive but in any case in the same calendar year in which the performance period ends, or (2) if Executive’s termination date occurs prior to the date on which bonus payments to similarly situated Company executives are made under the Bonus Plan for the Prior Fiscal Year, then payment of the actual bonus Executive would have otherwise received under the Bonus Plan for the Prior Fiscal Year, as if Executive had remained employed by the Company through the date that would have otherwise been required to earn the bonus, but without the Board or any committee of the Board exercising any negative discretion to reduce the amount of the award, paid at the same time as bonuses are paid to other Company executives that are similarly situated to Executive but in any case in the same calendar year in which the applicable fiscal year ends;</w:t>
      </w:r>
    </w:p>
    <w:p>
      <w:pPr>
        <w:spacing w:after="0" w:line="190" w:lineRule="exact"/>
        <w:rPr>
          <w:sz w:val="20"/>
          <w:szCs w:val="20"/>
          <w:color w:val="auto"/>
        </w:rPr>
      </w:pPr>
    </w:p>
    <w:p>
      <w:pPr>
        <w:jc w:val="both"/>
        <w:ind w:firstLine="2246"/>
        <w:spacing w:after="0" w:line="249" w:lineRule="auto"/>
        <w:rPr>
          <w:sz w:val="20"/>
          <w:szCs w:val="20"/>
          <w:color w:val="auto"/>
        </w:rPr>
      </w:pPr>
      <w:r>
        <w:rPr>
          <w:rFonts w:ascii="Times New Roman" w:cs="Times New Roman" w:eastAsia="Times New Roman" w:hAnsi="Times New Roman"/>
          <w:sz w:val="20"/>
          <w:szCs w:val="20"/>
          <w:color w:val="00171E"/>
        </w:rPr>
        <w:t xml:space="preserve">(vi)subject to </w:t>
      </w:r>
      <w:r>
        <w:rPr>
          <w:rFonts w:ascii="Times New Roman" w:cs="Times New Roman" w:eastAsia="Times New Roman" w:hAnsi="Times New Roman"/>
          <w:sz w:val="20"/>
          <w:szCs w:val="20"/>
          <w:u w:val="single" w:color="auto"/>
          <w:color w:val="00171E"/>
        </w:rPr>
        <w:t>Section 5(g)</w:t>
      </w:r>
      <w:r>
        <w:rPr>
          <w:rFonts w:ascii="Times New Roman" w:cs="Times New Roman" w:eastAsia="Times New Roman" w:hAnsi="Times New Roman"/>
          <w:sz w:val="20"/>
          <w:szCs w:val="20"/>
          <w:color w:val="00171E"/>
        </w:rPr>
        <w:t>, reimbursement of insurance premiums payable to retain group health coverage as of the termination date for himself/herself and his/her eligible dependents pursuant to the Consolidated Omnibus Budget Reconciliation Act of 1986, as amended (“</w:t>
      </w:r>
      <w:r>
        <w:rPr>
          <w:rFonts w:ascii="Times New Roman" w:cs="Times New Roman" w:eastAsia="Times New Roman" w:hAnsi="Times New Roman"/>
          <w:sz w:val="20"/>
          <w:szCs w:val="20"/>
          <w:u w:val="single" w:color="auto"/>
          <w:color w:val="00171E"/>
        </w:rPr>
        <w:t>COBRA</w:t>
      </w:r>
      <w:r>
        <w:rPr>
          <w:rFonts w:ascii="Times New Roman" w:cs="Times New Roman" w:eastAsia="Times New Roman" w:hAnsi="Times New Roman"/>
          <w:sz w:val="20"/>
          <w:szCs w:val="20"/>
          <w:color w:val="00171E"/>
        </w:rPr>
        <w:t>”), for twelve (12) months from the date Executive becomes COBRA eligible or the maximum period of COBRA coverage, whichever is less; provided that Executive must submit a reimbursement request in accordance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8"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6"/>
          <w:szCs w:val="16"/>
          <w:b w:val="1"/>
          <w:bCs w:val="1"/>
          <w:color w:val="auto"/>
        </w:rPr>
        <w:t>E</w:t>
      </w:r>
      <w:r>
        <w:rPr>
          <w:rFonts w:ascii="Times New Roman" w:cs="Times New Roman" w:eastAsia="Times New Roman" w:hAnsi="Times New Roman"/>
          <w:sz w:val="10"/>
          <w:szCs w:val="10"/>
          <w:b w:val="1"/>
          <w:bCs w:val="1"/>
          <w:color w:val="auto"/>
        </w:rPr>
        <w:t>xecutive</w:t>
      </w:r>
      <w:r>
        <w:rPr>
          <w:rFonts w:ascii="Times New Roman" w:cs="Times New Roman" w:eastAsia="Times New Roman" w:hAnsi="Times New Roman"/>
          <w:sz w:val="16"/>
          <w:szCs w:val="16"/>
          <w:b w:val="1"/>
          <w:bCs w:val="1"/>
          <w:color w:val="auto"/>
        </w:rPr>
        <w:t xml:space="preserve"> E</w:t>
      </w:r>
      <w:r>
        <w:rPr>
          <w:rFonts w:ascii="Times New Roman" w:cs="Times New Roman" w:eastAsia="Times New Roman" w:hAnsi="Times New Roman"/>
          <w:sz w:val="10"/>
          <w:szCs w:val="10"/>
          <w:b w:val="1"/>
          <w:bCs w:val="1"/>
          <w:color w:val="auto"/>
        </w:rPr>
        <w:t>mployment</w:t>
      </w:r>
      <w:r>
        <w:rPr>
          <w:rFonts w:ascii="Times New Roman" w:cs="Times New Roman" w:eastAsia="Times New Roman" w:hAnsi="Times New Roman"/>
          <w:sz w:val="16"/>
          <w:szCs w:val="16"/>
          <w:b w:val="1"/>
          <w:bCs w:val="1"/>
          <w:color w:val="auto"/>
        </w:rPr>
        <w:t xml:space="preserve"> A</w:t>
      </w:r>
      <w:r>
        <w:rPr>
          <w:rFonts w:ascii="Times New Roman" w:cs="Times New Roman" w:eastAsia="Times New Roman" w:hAnsi="Times New Roman"/>
          <w:sz w:val="10"/>
          <w:szCs w:val="10"/>
          <w:b w:val="1"/>
          <w:bCs w:val="1"/>
          <w:color w:val="auto"/>
        </w:rPr>
        <w:t>gmt</w:t>
      </w:r>
      <w:r>
        <w:rPr>
          <w:rFonts w:ascii="Times New Roman" w:cs="Times New Roman" w:eastAsia="Times New Roman" w:hAnsi="Times New Roman"/>
          <w:sz w:val="16"/>
          <w:szCs w:val="16"/>
          <w:b w:val="1"/>
          <w:bCs w:val="1"/>
          <w:color w:val="auto"/>
        </w:rPr>
        <w:t xml:space="preserve"> S</w:t>
      </w:r>
      <w:r>
        <w:rPr>
          <w:rFonts w:ascii="Times New Roman" w:cs="Times New Roman" w:eastAsia="Times New Roman" w:hAnsi="Times New Roman"/>
          <w:sz w:val="10"/>
          <w:szCs w:val="10"/>
          <w:b w:val="1"/>
          <w:bCs w:val="1"/>
          <w:color w:val="auto"/>
        </w:rPr>
        <w:t>td</w:t>
      </w:r>
      <w:r>
        <w:rPr>
          <w:rFonts w:ascii="Times New Roman" w:cs="Times New Roman" w:eastAsia="Times New Roman" w:hAnsi="Times New Roman"/>
          <w:sz w:val="16"/>
          <w:szCs w:val="16"/>
          <w:b w:val="1"/>
          <w:bCs w:val="1"/>
          <w:color w:val="auto"/>
        </w:rPr>
        <w:t xml:space="preserve"> 11.1.24</w:t>
      </w:r>
      <w:r>
        <w:rPr>
          <w:sz w:val="20"/>
          <w:szCs w:val="20"/>
          <w:color w:val="auto"/>
        </w:rPr>
        <w:tab/>
      </w:r>
      <w:r>
        <w:rPr>
          <w:rFonts w:ascii="Times New Roman" w:cs="Times New Roman" w:eastAsia="Times New Roman" w:hAnsi="Times New Roman"/>
          <w:sz w:val="16"/>
          <w:szCs w:val="16"/>
          <w:b w:val="1"/>
          <w:bCs w:val="1"/>
          <w:color w:val="auto"/>
        </w:rPr>
        <w:t>A</w:t>
      </w:r>
      <w:r>
        <w:rPr>
          <w:rFonts w:ascii="Times New Roman" w:cs="Times New Roman" w:eastAsia="Times New Roman" w:hAnsi="Times New Roman"/>
          <w:sz w:val="10"/>
          <w:szCs w:val="10"/>
          <w:b w:val="1"/>
          <w:bCs w:val="1"/>
          <w:color w:val="auto"/>
        </w:rPr>
        <w:t>ccuray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3" w:name="page144"/>
    <w:bookmarkEnd w:id="143"/>
    <w:p>
      <w:pPr>
        <w:ind w:left="6660"/>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5</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NUMPAGES \* Arabic \* MERGEFORMAT 31</w:t>
      </w:r>
    </w:p>
    <w:p>
      <w:pPr>
        <w:spacing w:after="0" w:line="200" w:lineRule="exact"/>
        <w:rPr>
          <w:sz w:val="20"/>
          <w:szCs w:val="20"/>
          <w:color w:val="auto"/>
        </w:rPr>
      </w:pPr>
    </w:p>
    <w:p>
      <w:pPr>
        <w:spacing w:after="0" w:line="24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00171E"/>
        </w:rPr>
        <w:t xml:space="preserve">with Company policy within thirty (30) days of paying such insurance premiums. The Company will reimburse Executive within thirty (30) days of receiving a properly submitted request. In addition, if Executive accepts other employment within such twelve (12) months, the Company’s obligation under this </w:t>
      </w:r>
      <w:r>
        <w:rPr>
          <w:rFonts w:ascii="Times New Roman" w:cs="Times New Roman" w:eastAsia="Times New Roman" w:hAnsi="Times New Roman"/>
          <w:sz w:val="20"/>
          <w:szCs w:val="20"/>
          <w:u w:val="single" w:color="auto"/>
          <w:color w:val="00171E"/>
        </w:rPr>
        <w:t>Section 5(a)(vi)</w:t>
      </w:r>
      <w:r>
        <w:rPr>
          <w:rFonts w:ascii="Times New Roman" w:cs="Times New Roman" w:eastAsia="Times New Roman" w:hAnsi="Times New Roman"/>
          <w:sz w:val="20"/>
          <w:szCs w:val="20"/>
          <w:color w:val="00171E"/>
        </w:rPr>
        <w:t xml:space="preserve"> will be extinguished as of the date Executive becomes eligible to be covered under the group health plan of Executive’s new employer; and</w:t>
      </w:r>
    </w:p>
    <w:p>
      <w:pPr>
        <w:spacing w:after="0" w:line="180" w:lineRule="exact"/>
        <w:rPr>
          <w:sz w:val="20"/>
          <w:szCs w:val="20"/>
          <w:color w:val="auto"/>
        </w:rPr>
      </w:pPr>
    </w:p>
    <w:p>
      <w:pPr>
        <w:jc w:val="both"/>
        <w:ind w:firstLine="2246"/>
        <w:spacing w:after="0" w:line="254" w:lineRule="auto"/>
        <w:rPr>
          <w:sz w:val="20"/>
          <w:szCs w:val="20"/>
          <w:color w:val="auto"/>
        </w:rPr>
      </w:pPr>
      <w:r>
        <w:rPr>
          <w:rFonts w:ascii="Times New Roman" w:cs="Times New Roman" w:eastAsia="Times New Roman" w:hAnsi="Times New Roman"/>
          <w:sz w:val="20"/>
          <w:szCs w:val="20"/>
          <w:color w:val="00171E"/>
        </w:rPr>
        <w:t>(vii)payment for executive outplacement assistance services with the Company’s then current outplacement services vendor and in accordance with the Company’s then current policies and practices with respect to outplacement assistance for other executives of the Company for up to twelve (12) months after the termination date.</w:t>
      </w:r>
    </w:p>
    <w:p>
      <w:pPr>
        <w:spacing w:after="0" w:line="174"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00171E"/>
        </w:rPr>
        <w:t xml:space="preserve">The payments and benefits set forth in </w:t>
      </w:r>
      <w:r>
        <w:rPr>
          <w:rFonts w:ascii="Times New Roman" w:cs="Times New Roman" w:eastAsia="Times New Roman" w:hAnsi="Times New Roman"/>
          <w:sz w:val="20"/>
          <w:szCs w:val="20"/>
          <w:u w:val="single" w:color="auto"/>
          <w:color w:val="00171E"/>
        </w:rPr>
        <w:t>Sections 5(a)(i)-(iii)</w:t>
      </w:r>
      <w:r>
        <w:rPr>
          <w:rFonts w:ascii="Times New Roman" w:cs="Times New Roman" w:eastAsia="Times New Roman" w:hAnsi="Times New Roman"/>
          <w:sz w:val="20"/>
          <w:szCs w:val="20"/>
          <w:color w:val="00171E"/>
        </w:rPr>
        <w:t xml:space="preserve"> shall be referred to as the “</w:t>
      </w:r>
      <w:r>
        <w:rPr>
          <w:rFonts w:ascii="Times New Roman" w:cs="Times New Roman" w:eastAsia="Times New Roman" w:hAnsi="Times New Roman"/>
          <w:sz w:val="20"/>
          <w:szCs w:val="20"/>
          <w:u w:val="single" w:color="auto"/>
          <w:color w:val="00171E"/>
        </w:rPr>
        <w:t>Accrued Benefits</w:t>
      </w:r>
      <w:r>
        <w:rPr>
          <w:rFonts w:ascii="Times New Roman" w:cs="Times New Roman" w:eastAsia="Times New Roman" w:hAnsi="Times New Roman"/>
          <w:sz w:val="20"/>
          <w:szCs w:val="20"/>
          <w:color w:val="00171E"/>
        </w:rPr>
        <w:t xml:space="preserve">”, and the payments and benefits set forth in </w:t>
      </w:r>
      <w:r>
        <w:rPr>
          <w:rFonts w:ascii="Times New Roman" w:cs="Times New Roman" w:eastAsia="Times New Roman" w:hAnsi="Times New Roman"/>
          <w:sz w:val="20"/>
          <w:szCs w:val="20"/>
          <w:u w:val="single" w:color="auto"/>
          <w:color w:val="00171E"/>
        </w:rPr>
        <w:t>Sections 5(a)(iv)-(vii)</w:t>
      </w:r>
      <w:r>
        <w:rPr>
          <w:rFonts w:ascii="Times New Roman" w:cs="Times New Roman" w:eastAsia="Times New Roman" w:hAnsi="Times New Roman"/>
          <w:sz w:val="20"/>
          <w:szCs w:val="20"/>
          <w:color w:val="00171E"/>
        </w:rPr>
        <w:t xml:space="preserve"> shall be referred to as the “</w:t>
      </w:r>
      <w:r>
        <w:rPr>
          <w:rFonts w:ascii="Times New Roman" w:cs="Times New Roman" w:eastAsia="Times New Roman" w:hAnsi="Times New Roman"/>
          <w:sz w:val="20"/>
          <w:szCs w:val="20"/>
          <w:u w:val="single" w:color="auto"/>
          <w:color w:val="00171E"/>
        </w:rPr>
        <w:t>Severance Benefits</w:t>
      </w:r>
      <w:r>
        <w:rPr>
          <w:rFonts w:ascii="Times New Roman" w:cs="Times New Roman" w:eastAsia="Times New Roman" w:hAnsi="Times New Roman"/>
          <w:sz w:val="20"/>
          <w:szCs w:val="20"/>
          <w:color w:val="00171E"/>
        </w:rPr>
        <w:t xml:space="preserve">”. Executive shall not receive the Severance Benefits, the “Enhanced Severance Benefits” as provided in </w:t>
      </w:r>
      <w:r>
        <w:rPr>
          <w:rFonts w:ascii="Times New Roman" w:cs="Times New Roman" w:eastAsia="Times New Roman" w:hAnsi="Times New Roman"/>
          <w:sz w:val="20"/>
          <w:szCs w:val="20"/>
          <w:u w:val="single" w:color="auto"/>
          <w:color w:val="00171E"/>
        </w:rPr>
        <w:t>Section 5(e)</w:t>
      </w:r>
      <w:r>
        <w:rPr>
          <w:rFonts w:ascii="Times New Roman" w:cs="Times New Roman" w:eastAsia="Times New Roman" w:hAnsi="Times New Roman"/>
          <w:sz w:val="20"/>
          <w:szCs w:val="20"/>
          <w:color w:val="00171E"/>
        </w:rPr>
        <w:t>, or the Termination Notice Replacement Payment (as defined below) unless Executive executes a separation agreement and general release in a form reasonably acceptable to the Company (the “</w:t>
      </w:r>
      <w:r>
        <w:rPr>
          <w:rFonts w:ascii="Times New Roman" w:cs="Times New Roman" w:eastAsia="Times New Roman" w:hAnsi="Times New Roman"/>
          <w:sz w:val="20"/>
          <w:szCs w:val="20"/>
          <w:u w:val="single" w:color="auto"/>
          <w:color w:val="00171E"/>
        </w:rPr>
        <w:t>Release</w:t>
      </w:r>
      <w:r>
        <w:rPr>
          <w:rFonts w:ascii="Times New Roman" w:cs="Times New Roman" w:eastAsia="Times New Roman" w:hAnsi="Times New Roman"/>
          <w:sz w:val="20"/>
          <w:szCs w:val="20"/>
          <w:color w:val="00171E"/>
        </w:rPr>
        <w:t xml:space="preserve">”), and the same becomes effective and irrevocable pursuant to its terms within the 60-day period following the termination of his/her employment. Notwithstanding the foregoing paragraphs of this </w:t>
      </w:r>
      <w:r>
        <w:rPr>
          <w:rFonts w:ascii="Times New Roman" w:cs="Times New Roman" w:eastAsia="Times New Roman" w:hAnsi="Times New Roman"/>
          <w:sz w:val="20"/>
          <w:szCs w:val="20"/>
          <w:u w:val="single" w:color="auto"/>
          <w:color w:val="00171E"/>
        </w:rPr>
        <w:t>Section 5(a)</w:t>
      </w:r>
      <w:r>
        <w:rPr>
          <w:rFonts w:ascii="Times New Roman" w:cs="Times New Roman" w:eastAsia="Times New Roman" w:hAnsi="Times New Roman"/>
          <w:sz w:val="20"/>
          <w:szCs w:val="20"/>
          <w:color w:val="00171E"/>
        </w:rPr>
        <w:t>, the Company may terminate Executive’s employment prior to the expiration of the Notice Period, and in the case of such termination, the Company shall pay Executive the equivalent of the Base Salary he/she would have earned over the remainder of the Notice Period (less necessary withholdings and authorized deductions) at his/her then current Base Salary rate (the “</w:t>
      </w:r>
      <w:r>
        <w:rPr>
          <w:rFonts w:ascii="Times New Roman" w:cs="Times New Roman" w:eastAsia="Times New Roman" w:hAnsi="Times New Roman"/>
          <w:sz w:val="20"/>
          <w:szCs w:val="20"/>
          <w:u w:val="single" w:color="auto"/>
          <w:color w:val="00171E"/>
        </w:rPr>
        <w:t>Termination Notice Replacement Payment</w:t>
      </w:r>
      <w:r>
        <w:rPr>
          <w:rFonts w:ascii="Times New Roman" w:cs="Times New Roman" w:eastAsia="Times New Roman" w:hAnsi="Times New Roman"/>
          <w:sz w:val="20"/>
          <w:szCs w:val="20"/>
          <w:color w:val="00171E"/>
        </w:rPr>
        <w:t>”), subject to Executive satisfying the requirements of the previous sentence. Any such Termination Notice Replacement will be paid in a lump sum at the same time as the Severance Payment.</w:t>
      </w:r>
    </w:p>
    <w:p>
      <w:pPr>
        <w:spacing w:after="0" w:line="192" w:lineRule="exact"/>
        <w:rPr>
          <w:sz w:val="20"/>
          <w:szCs w:val="20"/>
          <w:color w:val="auto"/>
        </w:rPr>
      </w:pPr>
    </w:p>
    <w:p>
      <w:pPr>
        <w:jc w:val="both"/>
        <w:ind w:firstLine="1505"/>
        <w:spacing w:after="0" w:line="241" w:lineRule="auto"/>
        <w:tabs>
          <w:tab w:leader="none" w:pos="2036" w:val="left"/>
        </w:tabs>
        <w:numPr>
          <w:ilvl w:val="0"/>
          <w:numId w:val="148"/>
        </w:numPr>
        <w:rPr>
          <w:rFonts w:ascii="Times New Roman" w:cs="Times New Roman" w:eastAsia="Times New Roman" w:hAnsi="Times New Roman"/>
          <w:sz w:val="20"/>
          <w:szCs w:val="20"/>
          <w:u w:val="single" w:color="auto"/>
          <w:color w:val="00171E"/>
        </w:rPr>
      </w:pPr>
      <w:r>
        <w:rPr>
          <w:rFonts w:ascii="Times New Roman" w:cs="Times New Roman" w:eastAsia="Times New Roman" w:hAnsi="Times New Roman"/>
          <w:sz w:val="20"/>
          <w:szCs w:val="20"/>
          <w:u w:val="single" w:color="auto"/>
          <w:color w:val="00171E"/>
        </w:rPr>
        <w:t>By Company With Cause</w:t>
      </w:r>
      <w:r>
        <w:rPr>
          <w:rFonts w:ascii="Times New Roman" w:cs="Times New Roman" w:eastAsia="Times New Roman" w:hAnsi="Times New Roman"/>
          <w:sz w:val="20"/>
          <w:szCs w:val="20"/>
          <w:color w:val="00171E"/>
        </w:rPr>
        <w:t>. The Company may terminate Executive’s employment at any time and without prior notice, written or otherwise, for Cause. As used in this Agreement, “</w:t>
      </w:r>
      <w:r>
        <w:rPr>
          <w:rFonts w:ascii="Times New Roman" w:cs="Times New Roman" w:eastAsia="Times New Roman" w:hAnsi="Times New Roman"/>
          <w:sz w:val="20"/>
          <w:szCs w:val="20"/>
          <w:u w:val="single" w:color="auto"/>
          <w:color w:val="00171E"/>
        </w:rPr>
        <w:t>Cause</w:t>
      </w:r>
      <w:r>
        <w:rPr>
          <w:rFonts w:ascii="Times New Roman" w:cs="Times New Roman" w:eastAsia="Times New Roman" w:hAnsi="Times New Roman"/>
          <w:sz w:val="20"/>
          <w:szCs w:val="20"/>
          <w:color w:val="00171E"/>
        </w:rPr>
        <w:t xml:space="preserve">” shall mean any of the following conduct by Executive: (i) material breach of this Agreement, or a material violation of a Company policy or of a law, rule or regulation applicable to the Company or its operations; (ii) demonstrated and material neglect of duties, or failure or refusal to perform the material duties of his/her position, or the failure to follow the reasonable and lawful instructions of the Company; (iii) gross misconduct or dishonesty, self-dealing, fraud or similar conduct that the Company reasonably determines has caused, is causing or reasonably is likely to cause harm to the Company; or (iv) conviction of or plea of guilty or </w:t>
      </w:r>
      <w:r>
        <w:rPr>
          <w:rFonts w:ascii="Times New Roman" w:cs="Times New Roman" w:eastAsia="Times New Roman" w:hAnsi="Times New Roman"/>
          <w:sz w:val="20"/>
          <w:szCs w:val="20"/>
          <w:i w:val="1"/>
          <w:iCs w:val="1"/>
          <w:color w:val="00171E"/>
        </w:rPr>
        <w:t>nolo contendere</w:t>
      </w:r>
      <w:r>
        <w:rPr>
          <w:rFonts w:ascii="Times New Roman" w:cs="Times New Roman" w:eastAsia="Times New Roman" w:hAnsi="Times New Roman"/>
          <w:sz w:val="20"/>
          <w:szCs w:val="20"/>
          <w:color w:val="00171E"/>
        </w:rPr>
        <w:t xml:space="preserve"> to a felony (other than a traffic offense that is not punishable by a sentence of incarceration) or any crime involving fraud, embezzlement, or any other act of moral turpitude. A termination for Cause pursuant to </w:t>
      </w:r>
      <w:r>
        <w:rPr>
          <w:rFonts w:ascii="Times New Roman" w:cs="Times New Roman" w:eastAsia="Times New Roman" w:hAnsi="Times New Roman"/>
          <w:sz w:val="20"/>
          <w:szCs w:val="20"/>
          <w:u w:val="single" w:color="auto"/>
          <w:color w:val="00171E"/>
        </w:rPr>
        <w:t>Section</w:t>
      </w:r>
      <w:r>
        <w:rPr>
          <w:rFonts w:ascii="Times New Roman" w:cs="Times New Roman" w:eastAsia="Times New Roman" w:hAnsi="Times New Roman"/>
          <w:sz w:val="20"/>
          <w:szCs w:val="20"/>
          <w:color w:val="00171E"/>
        </w:rPr>
        <w:t xml:space="preserve"> </w:t>
      </w:r>
      <w:r>
        <w:rPr>
          <w:rFonts w:ascii="Times New Roman" w:cs="Times New Roman" w:eastAsia="Times New Roman" w:hAnsi="Times New Roman"/>
          <w:sz w:val="20"/>
          <w:szCs w:val="20"/>
          <w:u w:val="single" w:color="auto"/>
          <w:color w:val="00171E"/>
        </w:rPr>
        <w:t>5(b)(ii)</w:t>
      </w:r>
      <w:r>
        <w:rPr>
          <w:rFonts w:ascii="Times New Roman" w:cs="Times New Roman" w:eastAsia="Times New Roman" w:hAnsi="Times New Roman"/>
          <w:sz w:val="20"/>
          <w:szCs w:val="20"/>
          <w:color w:val="00171E"/>
        </w:rPr>
        <w:t xml:space="preserve"> shall be effective only if such failure continues after Executive has been given written notice thereof and fifteen (15) business days thereafter in which to present his/her position to the Company or to cure the same, unless the Company reasonably determines that the reason(s) for termination are not capable of being cured. In the event of termination for Cause, Executive will be entitled only to the Accrued Benefits through the termination date, which will be the date on which the notice is given, and the Company will have no further obligation to pay any compensation of any kind (including without limitation any bonus or portion of a bonus that otherwise may have become due and payable to Executive with respect to the year in which such termination date occurs but for Executive’s termination prior to the payment date), or severance payment of any kind nor to make any payment in lieu of notice.</w:t>
      </w:r>
    </w:p>
    <w:p>
      <w:pPr>
        <w:spacing w:after="0" w:line="194" w:lineRule="exact"/>
        <w:rPr>
          <w:rFonts w:ascii="Times New Roman" w:cs="Times New Roman" w:eastAsia="Times New Roman" w:hAnsi="Times New Roman"/>
          <w:sz w:val="20"/>
          <w:szCs w:val="20"/>
          <w:u w:val="single" w:color="auto"/>
          <w:color w:val="00171E"/>
        </w:rPr>
      </w:pPr>
    </w:p>
    <w:p>
      <w:pPr>
        <w:ind w:left="2040" w:hanging="535"/>
        <w:spacing w:after="0"/>
        <w:tabs>
          <w:tab w:leader="none" w:pos="2040" w:val="left"/>
        </w:tabs>
        <w:numPr>
          <w:ilvl w:val="0"/>
          <w:numId w:val="148"/>
        </w:numPr>
        <w:rPr>
          <w:rFonts w:ascii="Times New Roman" w:cs="Times New Roman" w:eastAsia="Times New Roman" w:hAnsi="Times New Roman"/>
          <w:sz w:val="20"/>
          <w:szCs w:val="20"/>
          <w:u w:val="single" w:color="auto"/>
          <w:color w:val="00171E"/>
        </w:rPr>
      </w:pPr>
      <w:r>
        <w:rPr>
          <w:rFonts w:ascii="Times New Roman" w:cs="Times New Roman" w:eastAsia="Times New Roman" w:hAnsi="Times New Roman"/>
          <w:sz w:val="20"/>
          <w:szCs w:val="20"/>
          <w:u w:val="single" w:color="auto"/>
          <w:color w:val="00171E"/>
        </w:rPr>
        <w:t>Incapacity or Death</w:t>
      </w:r>
      <w:r>
        <w:rPr>
          <w:rFonts w:ascii="Times New Roman" w:cs="Times New Roman" w:eastAsia="Times New Roman" w:hAnsi="Times New Roman"/>
          <w:sz w:val="20"/>
          <w:szCs w:val="20"/>
          <w:color w:val="00171E"/>
        </w:rPr>
        <w:t>.</w:t>
      </w:r>
    </w:p>
    <w:p>
      <w:pPr>
        <w:spacing w:after="0" w:line="215" w:lineRule="exact"/>
        <w:rPr>
          <w:rFonts w:ascii="Times New Roman" w:cs="Times New Roman" w:eastAsia="Times New Roman" w:hAnsi="Times New Roman"/>
          <w:sz w:val="20"/>
          <w:szCs w:val="20"/>
          <w:u w:val="single" w:color="auto"/>
          <w:color w:val="00171E"/>
        </w:rPr>
      </w:pPr>
    </w:p>
    <w:p>
      <w:pPr>
        <w:ind w:firstLine="2254"/>
        <w:spacing w:after="0" w:line="269" w:lineRule="auto"/>
        <w:tabs>
          <w:tab w:leader="none" w:pos="2546" w:val="left"/>
        </w:tabs>
        <w:numPr>
          <w:ilvl w:val="1"/>
          <w:numId w:val="148"/>
        </w:numPr>
        <w:rPr>
          <w:rFonts w:ascii="Times New Roman" w:cs="Times New Roman" w:eastAsia="Times New Roman" w:hAnsi="Times New Roman"/>
          <w:sz w:val="20"/>
          <w:szCs w:val="20"/>
          <w:color w:val="00171E"/>
        </w:rPr>
      </w:pPr>
      <w:r>
        <w:rPr>
          <w:rFonts w:ascii="Times New Roman" w:cs="Times New Roman" w:eastAsia="Times New Roman" w:hAnsi="Times New Roman"/>
          <w:sz w:val="20"/>
          <w:szCs w:val="20"/>
          <w:color w:val="00171E"/>
        </w:rPr>
        <w:t>If Executive becomes unable, due to physical or mental illness or injury, to perform the essential duties of his/her position for more than twelve (12) consecutive weeks in any twelve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171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8"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6"/>
          <w:szCs w:val="16"/>
          <w:b w:val="1"/>
          <w:bCs w:val="1"/>
          <w:color w:val="auto"/>
        </w:rPr>
        <w:t>E</w:t>
      </w:r>
      <w:r>
        <w:rPr>
          <w:rFonts w:ascii="Times New Roman" w:cs="Times New Roman" w:eastAsia="Times New Roman" w:hAnsi="Times New Roman"/>
          <w:sz w:val="10"/>
          <w:szCs w:val="10"/>
          <w:b w:val="1"/>
          <w:bCs w:val="1"/>
          <w:color w:val="auto"/>
        </w:rPr>
        <w:t>xecutive</w:t>
      </w:r>
      <w:r>
        <w:rPr>
          <w:rFonts w:ascii="Times New Roman" w:cs="Times New Roman" w:eastAsia="Times New Roman" w:hAnsi="Times New Roman"/>
          <w:sz w:val="16"/>
          <w:szCs w:val="16"/>
          <w:b w:val="1"/>
          <w:bCs w:val="1"/>
          <w:color w:val="auto"/>
        </w:rPr>
        <w:t xml:space="preserve"> E</w:t>
      </w:r>
      <w:r>
        <w:rPr>
          <w:rFonts w:ascii="Times New Roman" w:cs="Times New Roman" w:eastAsia="Times New Roman" w:hAnsi="Times New Roman"/>
          <w:sz w:val="10"/>
          <w:szCs w:val="10"/>
          <w:b w:val="1"/>
          <w:bCs w:val="1"/>
          <w:color w:val="auto"/>
        </w:rPr>
        <w:t>mployment</w:t>
      </w:r>
      <w:r>
        <w:rPr>
          <w:rFonts w:ascii="Times New Roman" w:cs="Times New Roman" w:eastAsia="Times New Roman" w:hAnsi="Times New Roman"/>
          <w:sz w:val="16"/>
          <w:szCs w:val="16"/>
          <w:b w:val="1"/>
          <w:bCs w:val="1"/>
          <w:color w:val="auto"/>
        </w:rPr>
        <w:t xml:space="preserve"> A</w:t>
      </w:r>
      <w:r>
        <w:rPr>
          <w:rFonts w:ascii="Times New Roman" w:cs="Times New Roman" w:eastAsia="Times New Roman" w:hAnsi="Times New Roman"/>
          <w:sz w:val="10"/>
          <w:szCs w:val="10"/>
          <w:b w:val="1"/>
          <w:bCs w:val="1"/>
          <w:color w:val="auto"/>
        </w:rPr>
        <w:t>gmt</w:t>
      </w:r>
      <w:r>
        <w:rPr>
          <w:rFonts w:ascii="Times New Roman" w:cs="Times New Roman" w:eastAsia="Times New Roman" w:hAnsi="Times New Roman"/>
          <w:sz w:val="16"/>
          <w:szCs w:val="16"/>
          <w:b w:val="1"/>
          <w:bCs w:val="1"/>
          <w:color w:val="auto"/>
        </w:rPr>
        <w:t xml:space="preserve"> S</w:t>
      </w:r>
      <w:r>
        <w:rPr>
          <w:rFonts w:ascii="Times New Roman" w:cs="Times New Roman" w:eastAsia="Times New Roman" w:hAnsi="Times New Roman"/>
          <w:sz w:val="10"/>
          <w:szCs w:val="10"/>
          <w:b w:val="1"/>
          <w:bCs w:val="1"/>
          <w:color w:val="auto"/>
        </w:rPr>
        <w:t>td</w:t>
      </w:r>
      <w:r>
        <w:rPr>
          <w:rFonts w:ascii="Times New Roman" w:cs="Times New Roman" w:eastAsia="Times New Roman" w:hAnsi="Times New Roman"/>
          <w:sz w:val="16"/>
          <w:szCs w:val="16"/>
          <w:b w:val="1"/>
          <w:bCs w:val="1"/>
          <w:color w:val="auto"/>
        </w:rPr>
        <w:t xml:space="preserve"> 11.1.24</w:t>
      </w:r>
      <w:r>
        <w:rPr>
          <w:sz w:val="20"/>
          <w:szCs w:val="20"/>
          <w:color w:val="auto"/>
        </w:rPr>
        <w:tab/>
      </w:r>
      <w:r>
        <w:rPr>
          <w:rFonts w:ascii="Times New Roman" w:cs="Times New Roman" w:eastAsia="Times New Roman" w:hAnsi="Times New Roman"/>
          <w:sz w:val="16"/>
          <w:szCs w:val="16"/>
          <w:b w:val="1"/>
          <w:bCs w:val="1"/>
          <w:color w:val="auto"/>
        </w:rPr>
        <w:t>A</w:t>
      </w:r>
      <w:r>
        <w:rPr>
          <w:rFonts w:ascii="Times New Roman" w:cs="Times New Roman" w:eastAsia="Times New Roman" w:hAnsi="Times New Roman"/>
          <w:sz w:val="10"/>
          <w:szCs w:val="10"/>
          <w:b w:val="1"/>
          <w:bCs w:val="1"/>
          <w:color w:val="auto"/>
        </w:rPr>
        <w:t>ccuray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6</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NUMPAGES \* Arabic \* MERGEFORMAT 31</w:t>
      </w:r>
    </w:p>
    <w:p>
      <w:pPr>
        <w:spacing w:after="0" w:line="200" w:lineRule="exact"/>
        <w:rPr>
          <w:sz w:val="20"/>
          <w:szCs w:val="20"/>
          <w:color w:val="auto"/>
        </w:rPr>
      </w:pPr>
    </w:p>
    <w:p>
      <w:pPr>
        <w:spacing w:after="0" w:line="241" w:lineRule="exact"/>
        <w:rPr>
          <w:sz w:val="20"/>
          <w:szCs w:val="20"/>
          <w:color w:val="auto"/>
        </w:rPr>
      </w:pPr>
    </w:p>
    <w:p>
      <w:pPr>
        <w:jc w:val="both"/>
        <w:ind w:firstLine="8"/>
        <w:spacing w:after="0" w:line="254" w:lineRule="auto"/>
        <w:tabs>
          <w:tab w:leader="none" w:pos="385" w:val="left"/>
        </w:tabs>
        <w:numPr>
          <w:ilvl w:val="0"/>
          <w:numId w:val="149"/>
        </w:numPr>
        <w:rPr>
          <w:rFonts w:ascii="Times New Roman" w:cs="Times New Roman" w:eastAsia="Times New Roman" w:hAnsi="Times New Roman"/>
          <w:sz w:val="20"/>
          <w:szCs w:val="20"/>
          <w:color w:val="00171E"/>
        </w:rPr>
      </w:pPr>
      <w:r>
        <w:rPr>
          <w:rFonts w:ascii="Times New Roman" w:cs="Times New Roman" w:eastAsia="Times New Roman" w:hAnsi="Times New Roman"/>
          <w:sz w:val="20"/>
          <w:szCs w:val="20"/>
          <w:color w:val="00171E"/>
        </w:rPr>
        <w:t>month period during this Agreement with or without reasonable accommodation (“</w:t>
      </w:r>
      <w:r>
        <w:rPr>
          <w:rFonts w:ascii="Times New Roman" w:cs="Times New Roman" w:eastAsia="Times New Roman" w:hAnsi="Times New Roman"/>
          <w:sz w:val="20"/>
          <w:szCs w:val="20"/>
          <w:u w:val="single" w:color="auto"/>
          <w:color w:val="00171E"/>
        </w:rPr>
        <w:t>Incapacity</w:t>
      </w:r>
      <w:r>
        <w:rPr>
          <w:rFonts w:ascii="Times New Roman" w:cs="Times New Roman" w:eastAsia="Times New Roman" w:hAnsi="Times New Roman"/>
          <w:sz w:val="20"/>
          <w:szCs w:val="20"/>
          <w:color w:val="00171E"/>
        </w:rPr>
        <w:t>”), the Company has the right to terminate Executive’s employment on fifteen (15) days’ written notice. Further, Executive’s employment pursuant to this Agreement shall be immediately terminated without notice by the Company upon the death of Executive.</w:t>
      </w:r>
    </w:p>
    <w:p>
      <w:pPr>
        <w:spacing w:after="0" w:line="174" w:lineRule="exact"/>
        <w:rPr>
          <w:rFonts w:ascii="Times New Roman" w:cs="Times New Roman" w:eastAsia="Times New Roman" w:hAnsi="Times New Roman"/>
          <w:sz w:val="20"/>
          <w:szCs w:val="20"/>
          <w:color w:val="00171E"/>
        </w:rPr>
      </w:pPr>
    </w:p>
    <w:p>
      <w:pPr>
        <w:jc w:val="both"/>
        <w:ind w:firstLine="2254"/>
        <w:spacing w:after="0" w:line="255" w:lineRule="auto"/>
        <w:tabs>
          <w:tab w:leader="none" w:pos="2546" w:val="left"/>
        </w:tabs>
        <w:numPr>
          <w:ilvl w:val="2"/>
          <w:numId w:val="149"/>
        </w:numPr>
        <w:rPr>
          <w:rFonts w:ascii="Times New Roman" w:cs="Times New Roman" w:eastAsia="Times New Roman" w:hAnsi="Times New Roman"/>
          <w:sz w:val="19"/>
          <w:szCs w:val="19"/>
          <w:color w:val="00171E"/>
        </w:rPr>
      </w:pPr>
      <w:r>
        <w:rPr>
          <w:rFonts w:ascii="Times New Roman" w:cs="Times New Roman" w:eastAsia="Times New Roman" w:hAnsi="Times New Roman"/>
          <w:sz w:val="19"/>
          <w:szCs w:val="19"/>
          <w:color w:val="00171E"/>
        </w:rPr>
        <w:t>In the event of termination for Incapacity or if Executive dies while actively employed pursuant to this Agreement, (i) Executive will be entitled to receive the Accrued Benefits, (ii) any unvested equity awards previously granted to Executive that are scheduled to vest based solely on the achievement of service-based conditions (“</w:t>
      </w:r>
      <w:r>
        <w:rPr>
          <w:rFonts w:ascii="Times New Roman" w:cs="Times New Roman" w:eastAsia="Times New Roman" w:hAnsi="Times New Roman"/>
          <w:sz w:val="19"/>
          <w:szCs w:val="19"/>
          <w:u w:val="single" w:color="auto"/>
          <w:color w:val="00171E"/>
        </w:rPr>
        <w:t>Time-based Equity Awards</w:t>
      </w:r>
      <w:r>
        <w:rPr>
          <w:rFonts w:ascii="Times New Roman" w:cs="Times New Roman" w:eastAsia="Times New Roman" w:hAnsi="Times New Roman"/>
          <w:sz w:val="19"/>
          <w:szCs w:val="19"/>
          <w:color w:val="00171E"/>
        </w:rPr>
        <w:t xml:space="preserve">”) shall become immediately vested to the extent that such Time-based Equity Awards would have vested within six (6) months after the date of termination had such Time-based Equity Awards had vesting schedules that provided for pro-rata vesting on a monthly basis over the entirety of the vesting schedule (and, for clarity, any reference to the vesting date for purposes of settlement timing applicable to any restricted stock units or similar full-value awards that accelerate vesting under this </w:t>
      </w:r>
      <w:r>
        <w:rPr>
          <w:rFonts w:ascii="Times New Roman" w:cs="Times New Roman" w:eastAsia="Times New Roman" w:hAnsi="Times New Roman"/>
          <w:sz w:val="19"/>
          <w:szCs w:val="19"/>
          <w:u w:val="single" w:color="auto"/>
          <w:color w:val="00171E"/>
        </w:rPr>
        <w:t>Section 5(c)(ii)</w:t>
      </w:r>
      <w:r>
        <w:rPr>
          <w:rFonts w:ascii="Times New Roman" w:cs="Times New Roman" w:eastAsia="Times New Roman" w:hAnsi="Times New Roman"/>
          <w:sz w:val="19"/>
          <w:szCs w:val="19"/>
          <w:color w:val="00171E"/>
        </w:rPr>
        <w:t xml:space="preserve"> refers to the date that such award no longer is subject to a substantial risk of forfeiture), and (iii) with respect to any equity awards that are scheduled to vest based on the achievement of performance-based conditions (which may include additional service-based conditions) (“</w:t>
      </w:r>
      <w:r>
        <w:rPr>
          <w:rFonts w:ascii="Times New Roman" w:cs="Times New Roman" w:eastAsia="Times New Roman" w:hAnsi="Times New Roman"/>
          <w:sz w:val="19"/>
          <w:szCs w:val="19"/>
          <w:u w:val="single" w:color="auto"/>
          <w:color w:val="00171E"/>
        </w:rPr>
        <w:t>Performance-based Equity Awards</w:t>
      </w:r>
      <w:r>
        <w:rPr>
          <w:rFonts w:ascii="Times New Roman" w:cs="Times New Roman" w:eastAsia="Times New Roman" w:hAnsi="Times New Roman"/>
          <w:sz w:val="19"/>
          <w:szCs w:val="19"/>
          <w:color w:val="00171E"/>
        </w:rPr>
        <w:t>”) for which the performance period is scheduled to end within six (6) months after the date of termination, each such Performance-based Equity Award will remain outstanding until the date the Board or Compensation Committee of the Board (the “</w:t>
      </w:r>
      <w:r>
        <w:rPr>
          <w:rFonts w:ascii="Times New Roman" w:cs="Times New Roman" w:eastAsia="Times New Roman" w:hAnsi="Times New Roman"/>
          <w:sz w:val="19"/>
          <w:szCs w:val="19"/>
          <w:u w:val="single" w:color="auto"/>
          <w:color w:val="00171E"/>
        </w:rPr>
        <w:t>Compensation Committee</w:t>
      </w:r>
      <w:r>
        <w:rPr>
          <w:rFonts w:ascii="Times New Roman" w:cs="Times New Roman" w:eastAsia="Times New Roman" w:hAnsi="Times New Roman"/>
          <w:sz w:val="19"/>
          <w:szCs w:val="19"/>
          <w:color w:val="00171E"/>
        </w:rPr>
        <w:t>”) determines whether the applicable performance condition is achieved (provided that in no event will such Performance-based Equity Award remain outstanding beyond the Performance-based Equity Award’s maximum term to expiration), will vest in accordance with its terms to the extent such performance condition is achieved, and will be settled in the same calendar year as the calendar year in which the performance period ends.</w:t>
      </w:r>
    </w:p>
    <w:p>
      <w:pPr>
        <w:spacing w:after="0" w:line="179" w:lineRule="exact"/>
        <w:rPr>
          <w:rFonts w:ascii="Times New Roman" w:cs="Times New Roman" w:eastAsia="Times New Roman" w:hAnsi="Times New Roman"/>
          <w:sz w:val="19"/>
          <w:szCs w:val="19"/>
          <w:color w:val="00171E"/>
        </w:rPr>
      </w:pPr>
    </w:p>
    <w:p>
      <w:pPr>
        <w:jc w:val="both"/>
        <w:ind w:firstLine="1505"/>
        <w:spacing w:after="0" w:line="253" w:lineRule="auto"/>
        <w:tabs>
          <w:tab w:leader="none" w:pos="2036" w:val="left"/>
        </w:tabs>
        <w:numPr>
          <w:ilvl w:val="1"/>
          <w:numId w:val="149"/>
        </w:numPr>
        <w:rPr>
          <w:rFonts w:ascii="Times New Roman" w:cs="Times New Roman" w:eastAsia="Times New Roman" w:hAnsi="Times New Roman"/>
          <w:sz w:val="19"/>
          <w:szCs w:val="19"/>
          <w:u w:val="single" w:color="auto"/>
          <w:color w:val="00171E"/>
        </w:rPr>
      </w:pPr>
      <w:r>
        <w:rPr>
          <w:rFonts w:ascii="Times New Roman" w:cs="Times New Roman" w:eastAsia="Times New Roman" w:hAnsi="Times New Roman"/>
          <w:sz w:val="19"/>
          <w:szCs w:val="19"/>
          <w:u w:val="single" w:color="auto"/>
          <w:color w:val="00171E"/>
        </w:rPr>
        <w:t>Resignation for Good Reason</w:t>
      </w:r>
      <w:r>
        <w:rPr>
          <w:rFonts w:ascii="Times New Roman" w:cs="Times New Roman" w:eastAsia="Times New Roman" w:hAnsi="Times New Roman"/>
          <w:sz w:val="19"/>
          <w:szCs w:val="19"/>
          <w:color w:val="00171E"/>
        </w:rPr>
        <w:t>. Executive may terminate this Agreement for Good Reason (as defined below) by giving written notice to the Company of such termination, subject to Executive complying with the notice, cure period and other requirements set forth within the definition of Good Reason below. As used in this Agreement, “</w:t>
      </w:r>
      <w:r>
        <w:rPr>
          <w:rFonts w:ascii="Times New Roman" w:cs="Times New Roman" w:eastAsia="Times New Roman" w:hAnsi="Times New Roman"/>
          <w:sz w:val="19"/>
          <w:szCs w:val="19"/>
          <w:u w:val="single" w:color="auto"/>
          <w:color w:val="00171E"/>
        </w:rPr>
        <w:t>Good Reason</w:t>
      </w:r>
      <w:r>
        <w:rPr>
          <w:rFonts w:ascii="Times New Roman" w:cs="Times New Roman" w:eastAsia="Times New Roman" w:hAnsi="Times New Roman"/>
          <w:sz w:val="19"/>
          <w:szCs w:val="19"/>
          <w:color w:val="00171E"/>
        </w:rPr>
        <w:t xml:space="preserve">” shall mean the occurrence of any one of the following without Executive’s written consent: (i) a material reduction in Executive’s base compensation (which includes Base Salary, the Executive’s target annual bonus and any other base compensation), (ii) any action or inaction that constitutes a material breach by the Company of this Agreement; (iii) during the Change in Control Period, a material diminution in Executive’s authority, duties or responsibilities such that they are materially inconsistent with Executive’s then position or, outside of the Change in Control Period, a material diminution in Executive’s duties or responsibilities such that they are materially inconsistent with the position for which Executive originally was appointed (as Senior Vice President, Chief Legal Officer and Corporate Secretary of the Company); and (iv) a relocation of the Executive’s primary work location to a location that increases Executive’s commute by thirty (30) miles or more, provided that no termination for Good Reason shall be effective until Executive has given the Company written notice (pursuant to </w:t>
      </w:r>
      <w:r>
        <w:rPr>
          <w:rFonts w:ascii="Times New Roman" w:cs="Times New Roman" w:eastAsia="Times New Roman" w:hAnsi="Times New Roman"/>
          <w:sz w:val="19"/>
          <w:szCs w:val="19"/>
          <w:u w:val="single" w:color="auto"/>
          <w:color w:val="00171E"/>
        </w:rPr>
        <w:t>Section 11</w:t>
      </w:r>
      <w:r>
        <w:rPr>
          <w:rFonts w:ascii="Times New Roman" w:cs="Times New Roman" w:eastAsia="Times New Roman" w:hAnsi="Times New Roman"/>
          <w:sz w:val="19"/>
          <w:szCs w:val="19"/>
          <w:color w:val="00171E"/>
        </w:rPr>
        <w:t xml:space="preserve"> below) within sixty (60) days after Executive becomes aware of the initial occurrence of any of the foregoing specifying the event or condition constituting the Good Reason and the specific reasonable cure requested by Executive, and the Company has failed to cure the occurrence within thirty</w:t>
      </w:r>
    </w:p>
    <w:p>
      <w:pPr>
        <w:spacing w:after="0" w:line="11" w:lineRule="exact"/>
        <w:rPr>
          <w:rFonts w:ascii="Times New Roman" w:cs="Times New Roman" w:eastAsia="Times New Roman" w:hAnsi="Times New Roman"/>
          <w:sz w:val="19"/>
          <w:szCs w:val="19"/>
          <w:u w:val="single" w:color="auto"/>
          <w:color w:val="00171E"/>
        </w:rPr>
      </w:pPr>
    </w:p>
    <w:p>
      <w:pPr>
        <w:jc w:val="both"/>
        <w:ind w:firstLine="8"/>
        <w:spacing w:after="0"/>
        <w:tabs>
          <w:tab w:leader="none" w:pos="402" w:val="left"/>
        </w:tabs>
        <w:numPr>
          <w:ilvl w:val="0"/>
          <w:numId w:val="150"/>
        </w:numPr>
        <w:rPr>
          <w:rFonts w:ascii="Times New Roman" w:cs="Times New Roman" w:eastAsia="Times New Roman" w:hAnsi="Times New Roman"/>
          <w:sz w:val="20"/>
          <w:szCs w:val="20"/>
          <w:color w:val="00171E"/>
        </w:rPr>
      </w:pPr>
      <w:r>
        <w:rPr>
          <w:rFonts w:ascii="Times New Roman" w:cs="Times New Roman" w:eastAsia="Times New Roman" w:hAnsi="Times New Roman"/>
          <w:sz w:val="20"/>
          <w:szCs w:val="20"/>
          <w:color w:val="00171E"/>
        </w:rPr>
        <w:t>days of receiving written notice from Executive, and Executive resigns within six (6) months after Executive becomes aware of the initial occurrence. To the extent Executive’s principal work location is not the Company’s offices or facilities due to a shelter-in-place order, quarantine order, or similar work-from-home requirement that applies to Executive, Executive’s principal work location, from which a change in location under the foregoing clause (iv) will be measured, will be considered the Company’s office or facility location where Executive’s employment with the Company primarily was or would have been based immediately prior to the commencement of such shelter-in-place order, quarantine order, or similar work-from-home requirement. In the event of a termination for Good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195580</wp:posOffset>
            </wp:positionV>
            <wp:extent cx="7132320" cy="171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0"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6"/>
          <w:szCs w:val="16"/>
          <w:b w:val="1"/>
          <w:bCs w:val="1"/>
          <w:color w:val="auto"/>
        </w:rPr>
        <w:t>E</w:t>
      </w:r>
      <w:r>
        <w:rPr>
          <w:rFonts w:ascii="Times New Roman" w:cs="Times New Roman" w:eastAsia="Times New Roman" w:hAnsi="Times New Roman"/>
          <w:sz w:val="10"/>
          <w:szCs w:val="10"/>
          <w:b w:val="1"/>
          <w:bCs w:val="1"/>
          <w:color w:val="auto"/>
        </w:rPr>
        <w:t>xecutive</w:t>
      </w:r>
      <w:r>
        <w:rPr>
          <w:rFonts w:ascii="Times New Roman" w:cs="Times New Roman" w:eastAsia="Times New Roman" w:hAnsi="Times New Roman"/>
          <w:sz w:val="16"/>
          <w:szCs w:val="16"/>
          <w:b w:val="1"/>
          <w:bCs w:val="1"/>
          <w:color w:val="auto"/>
        </w:rPr>
        <w:t xml:space="preserve"> E</w:t>
      </w:r>
      <w:r>
        <w:rPr>
          <w:rFonts w:ascii="Times New Roman" w:cs="Times New Roman" w:eastAsia="Times New Roman" w:hAnsi="Times New Roman"/>
          <w:sz w:val="10"/>
          <w:szCs w:val="10"/>
          <w:b w:val="1"/>
          <w:bCs w:val="1"/>
          <w:color w:val="auto"/>
        </w:rPr>
        <w:t>mployment</w:t>
      </w:r>
      <w:r>
        <w:rPr>
          <w:rFonts w:ascii="Times New Roman" w:cs="Times New Roman" w:eastAsia="Times New Roman" w:hAnsi="Times New Roman"/>
          <w:sz w:val="16"/>
          <w:szCs w:val="16"/>
          <w:b w:val="1"/>
          <w:bCs w:val="1"/>
          <w:color w:val="auto"/>
        </w:rPr>
        <w:t xml:space="preserve"> A</w:t>
      </w:r>
      <w:r>
        <w:rPr>
          <w:rFonts w:ascii="Times New Roman" w:cs="Times New Roman" w:eastAsia="Times New Roman" w:hAnsi="Times New Roman"/>
          <w:sz w:val="10"/>
          <w:szCs w:val="10"/>
          <w:b w:val="1"/>
          <w:bCs w:val="1"/>
          <w:color w:val="auto"/>
        </w:rPr>
        <w:t>gmt</w:t>
      </w:r>
      <w:r>
        <w:rPr>
          <w:rFonts w:ascii="Times New Roman" w:cs="Times New Roman" w:eastAsia="Times New Roman" w:hAnsi="Times New Roman"/>
          <w:sz w:val="16"/>
          <w:szCs w:val="16"/>
          <w:b w:val="1"/>
          <w:bCs w:val="1"/>
          <w:color w:val="auto"/>
        </w:rPr>
        <w:t xml:space="preserve"> S</w:t>
      </w:r>
      <w:r>
        <w:rPr>
          <w:rFonts w:ascii="Times New Roman" w:cs="Times New Roman" w:eastAsia="Times New Roman" w:hAnsi="Times New Roman"/>
          <w:sz w:val="10"/>
          <w:szCs w:val="10"/>
          <w:b w:val="1"/>
          <w:bCs w:val="1"/>
          <w:color w:val="auto"/>
        </w:rPr>
        <w:t>td</w:t>
      </w:r>
      <w:r>
        <w:rPr>
          <w:rFonts w:ascii="Times New Roman" w:cs="Times New Roman" w:eastAsia="Times New Roman" w:hAnsi="Times New Roman"/>
          <w:sz w:val="16"/>
          <w:szCs w:val="16"/>
          <w:b w:val="1"/>
          <w:bCs w:val="1"/>
          <w:color w:val="auto"/>
        </w:rPr>
        <w:t xml:space="preserve"> 11.1.24</w:t>
      </w:r>
      <w:r>
        <w:rPr>
          <w:sz w:val="20"/>
          <w:szCs w:val="20"/>
          <w:color w:val="auto"/>
        </w:rPr>
        <w:tab/>
      </w:r>
      <w:r>
        <w:rPr>
          <w:rFonts w:ascii="Times New Roman" w:cs="Times New Roman" w:eastAsia="Times New Roman" w:hAnsi="Times New Roman"/>
          <w:sz w:val="16"/>
          <w:szCs w:val="16"/>
          <w:b w:val="1"/>
          <w:bCs w:val="1"/>
          <w:color w:val="auto"/>
        </w:rPr>
        <w:t>A</w:t>
      </w:r>
      <w:r>
        <w:rPr>
          <w:rFonts w:ascii="Times New Roman" w:cs="Times New Roman" w:eastAsia="Times New Roman" w:hAnsi="Times New Roman"/>
          <w:sz w:val="10"/>
          <w:szCs w:val="10"/>
          <w:b w:val="1"/>
          <w:bCs w:val="1"/>
          <w:color w:val="auto"/>
        </w:rPr>
        <w:t>ccuray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7</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NUMPAGES \* Arabic \* MERGEFORMAT 31</w:t>
      </w:r>
    </w:p>
    <w:p>
      <w:pPr>
        <w:spacing w:after="0" w:line="200" w:lineRule="exact"/>
        <w:rPr>
          <w:sz w:val="20"/>
          <w:szCs w:val="20"/>
          <w:color w:val="auto"/>
        </w:rPr>
      </w:pPr>
    </w:p>
    <w:p>
      <w:pPr>
        <w:spacing w:after="0" w:line="24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00171E"/>
        </w:rPr>
        <w:t xml:space="preserve">Reason, Executive will be entitled to the Accrued Benefits and the Severance Benefits, on the same conditions, form of payment and timing as set forth in </w:t>
      </w:r>
      <w:r>
        <w:rPr>
          <w:rFonts w:ascii="Times New Roman" w:cs="Times New Roman" w:eastAsia="Times New Roman" w:hAnsi="Times New Roman"/>
          <w:sz w:val="20"/>
          <w:szCs w:val="20"/>
          <w:u w:val="single" w:color="auto"/>
          <w:color w:val="00171E"/>
        </w:rPr>
        <w:t>Section 5(a)</w:t>
      </w:r>
      <w:r>
        <w:rPr>
          <w:rFonts w:ascii="Times New Roman" w:cs="Times New Roman" w:eastAsia="Times New Roman" w:hAnsi="Times New Roman"/>
          <w:sz w:val="20"/>
          <w:szCs w:val="20"/>
          <w:color w:val="00171E"/>
        </w:rPr>
        <w:t>.</w:t>
      </w:r>
    </w:p>
    <w:p>
      <w:pPr>
        <w:spacing w:after="0" w:line="159" w:lineRule="exact"/>
        <w:rPr>
          <w:sz w:val="20"/>
          <w:szCs w:val="20"/>
          <w:color w:val="auto"/>
        </w:rPr>
      </w:pPr>
    </w:p>
    <w:p>
      <w:pPr>
        <w:jc w:val="both"/>
        <w:ind w:firstLine="1505"/>
        <w:spacing w:after="0" w:line="254" w:lineRule="auto"/>
        <w:tabs>
          <w:tab w:leader="none" w:pos="2036" w:val="left"/>
        </w:tabs>
        <w:numPr>
          <w:ilvl w:val="0"/>
          <w:numId w:val="151"/>
        </w:numPr>
        <w:rPr>
          <w:rFonts w:ascii="Times New Roman" w:cs="Times New Roman" w:eastAsia="Times New Roman" w:hAnsi="Times New Roman"/>
          <w:sz w:val="19"/>
          <w:szCs w:val="19"/>
          <w:u w:val="single" w:color="auto"/>
          <w:color w:val="00171E"/>
        </w:rPr>
      </w:pPr>
      <w:r>
        <w:rPr>
          <w:rFonts w:ascii="Times New Roman" w:cs="Times New Roman" w:eastAsia="Times New Roman" w:hAnsi="Times New Roman"/>
          <w:sz w:val="19"/>
          <w:szCs w:val="19"/>
          <w:u w:val="single" w:color="auto"/>
          <w:color w:val="00171E"/>
        </w:rPr>
        <w:t>Effect of Change in Control.</w:t>
      </w:r>
      <w:r>
        <w:rPr>
          <w:rFonts w:ascii="Times New Roman" w:cs="Times New Roman" w:eastAsia="Times New Roman" w:hAnsi="Times New Roman"/>
          <w:sz w:val="19"/>
          <w:szCs w:val="19"/>
          <w:color w:val="00171E"/>
        </w:rPr>
        <w:t xml:space="preserve"> If the Company terminates Executive’s employment with the Company without Cause (excluding due to Executive’s death or Incapacity) or if Executive resigns from such employment for Good Reason, and, in each case, such termination occurs during the Change in Control Period (as defined below), Executive will be entitled to the Accrued Benefits, and subject to the same conditions set forth in the final paragraph of </w:t>
      </w:r>
      <w:r>
        <w:rPr>
          <w:rFonts w:ascii="Times New Roman" w:cs="Times New Roman" w:eastAsia="Times New Roman" w:hAnsi="Times New Roman"/>
          <w:sz w:val="19"/>
          <w:szCs w:val="19"/>
          <w:u w:val="single" w:color="auto"/>
          <w:color w:val="00171E"/>
        </w:rPr>
        <w:t>Section 5(a)</w:t>
      </w:r>
      <w:r>
        <w:rPr>
          <w:rFonts w:ascii="Times New Roman" w:cs="Times New Roman" w:eastAsia="Times New Roman" w:hAnsi="Times New Roman"/>
          <w:sz w:val="19"/>
          <w:szCs w:val="19"/>
          <w:color w:val="00171E"/>
        </w:rPr>
        <w:t xml:space="preserve">: (i) two (2) times the Severance Payment set forth in </w:t>
      </w:r>
      <w:r>
        <w:rPr>
          <w:rFonts w:ascii="Times New Roman" w:cs="Times New Roman" w:eastAsia="Times New Roman" w:hAnsi="Times New Roman"/>
          <w:sz w:val="19"/>
          <w:szCs w:val="19"/>
          <w:u w:val="single" w:color="auto"/>
          <w:color w:val="00171E"/>
        </w:rPr>
        <w:t>Section 5(a)(iv)</w:t>
      </w:r>
      <w:r>
        <w:rPr>
          <w:rFonts w:ascii="Times New Roman" w:cs="Times New Roman" w:eastAsia="Times New Roman" w:hAnsi="Times New Roman"/>
          <w:sz w:val="19"/>
          <w:szCs w:val="19"/>
          <w:color w:val="00171E"/>
        </w:rPr>
        <w:t xml:space="preserve">, paid in the same form (i.e., a lump sum) and at the same time as the Severance Payments set forth in </w:t>
      </w:r>
      <w:r>
        <w:rPr>
          <w:rFonts w:ascii="Times New Roman" w:cs="Times New Roman" w:eastAsia="Times New Roman" w:hAnsi="Times New Roman"/>
          <w:sz w:val="19"/>
          <w:szCs w:val="19"/>
          <w:u w:val="single" w:color="auto"/>
          <w:color w:val="00171E"/>
        </w:rPr>
        <w:t>Section 5(a)(iv)</w:t>
      </w:r>
      <w:r>
        <w:rPr>
          <w:rFonts w:ascii="Times New Roman" w:cs="Times New Roman" w:eastAsia="Times New Roman" w:hAnsi="Times New Roman"/>
          <w:sz w:val="19"/>
          <w:szCs w:val="19"/>
          <w:color w:val="00171E"/>
        </w:rPr>
        <w:t xml:space="preserve">, (ii) subject to </w:t>
      </w:r>
      <w:r>
        <w:rPr>
          <w:rFonts w:ascii="Times New Roman" w:cs="Times New Roman" w:eastAsia="Times New Roman" w:hAnsi="Times New Roman"/>
          <w:sz w:val="19"/>
          <w:szCs w:val="19"/>
          <w:u w:val="single" w:color="auto"/>
          <w:color w:val="00171E"/>
        </w:rPr>
        <w:t>Section 5(g)</w:t>
      </w:r>
      <w:r>
        <w:rPr>
          <w:rFonts w:ascii="Times New Roman" w:cs="Times New Roman" w:eastAsia="Times New Roman" w:hAnsi="Times New Roman"/>
          <w:sz w:val="19"/>
          <w:szCs w:val="19"/>
          <w:color w:val="00171E"/>
        </w:rPr>
        <w:t xml:space="preserve">, the reimbursement of health insurance premiums payable to retain group health coverage as of the termination date for Executive and Executive’s eligible dependents for up to twelve (12) months in the same form and at the same time and under the same conditions as provided in </w:t>
      </w:r>
      <w:r>
        <w:rPr>
          <w:rFonts w:ascii="Times New Roman" w:cs="Times New Roman" w:eastAsia="Times New Roman" w:hAnsi="Times New Roman"/>
          <w:sz w:val="19"/>
          <w:szCs w:val="19"/>
          <w:u w:val="single" w:color="auto"/>
          <w:color w:val="00171E"/>
        </w:rPr>
        <w:t>Section 5(a)(vi)</w:t>
      </w:r>
      <w:r>
        <w:rPr>
          <w:rFonts w:ascii="Times New Roman" w:cs="Times New Roman" w:eastAsia="Times New Roman" w:hAnsi="Times New Roman"/>
          <w:sz w:val="19"/>
          <w:szCs w:val="19"/>
          <w:color w:val="00171E"/>
        </w:rPr>
        <w:t xml:space="preserve">, (iii) a taxable monthly payment (which may be used for any purpose) equal to the actual COBRA reimbursement payment that Executive receives under </w:t>
      </w:r>
      <w:r>
        <w:rPr>
          <w:rFonts w:ascii="Times New Roman" w:cs="Times New Roman" w:eastAsia="Times New Roman" w:hAnsi="Times New Roman"/>
          <w:sz w:val="19"/>
          <w:szCs w:val="19"/>
          <w:u w:val="single" w:color="auto"/>
          <w:color w:val="00171E"/>
        </w:rPr>
        <w:t>Section 5(e)(ii)</w:t>
      </w:r>
      <w:r>
        <w:rPr>
          <w:rFonts w:ascii="Times New Roman" w:cs="Times New Roman" w:eastAsia="Times New Roman" w:hAnsi="Times New Roman"/>
          <w:sz w:val="19"/>
          <w:szCs w:val="19"/>
          <w:color w:val="00171E"/>
        </w:rPr>
        <w:t xml:space="preserve"> for any particular month, (iv) two hundred percent (200%) of Executive’s target bonus for the fiscal year during which termination occurs, but no less than two hundred percent (200%) of the target bonus in effect for the fiscal year immediately prior to the Change in Control if the Change in Control occurs within the first three (3) months of the fiscal year, payable at the same time as the payment under clause (i) of this </w:t>
      </w:r>
      <w:r>
        <w:rPr>
          <w:rFonts w:ascii="Times New Roman" w:cs="Times New Roman" w:eastAsia="Times New Roman" w:hAnsi="Times New Roman"/>
          <w:sz w:val="19"/>
          <w:szCs w:val="19"/>
          <w:u w:val="single" w:color="auto"/>
          <w:color w:val="00171E"/>
        </w:rPr>
        <w:t>Section 5(e)</w:t>
      </w:r>
      <w:r>
        <w:rPr>
          <w:rFonts w:ascii="Times New Roman" w:cs="Times New Roman" w:eastAsia="Times New Roman" w:hAnsi="Times New Roman"/>
          <w:sz w:val="19"/>
          <w:szCs w:val="19"/>
          <w:color w:val="00171E"/>
        </w:rPr>
        <w:t xml:space="preserve">, (v) all outstanding unvested equity awards previously granted to Executive shall become immediately vested, with Performance-based Equity Awards vesting at target unless otherwise specified in the applicable Performance-based Equity Award’s award agreement (and, for clarity, any reference to the vesting date for purposes of settlement timing applicable to any restricted stock units or similar full-value awards that accelerate vesting under this </w:t>
      </w:r>
      <w:r>
        <w:rPr>
          <w:rFonts w:ascii="Times New Roman" w:cs="Times New Roman" w:eastAsia="Times New Roman" w:hAnsi="Times New Roman"/>
          <w:sz w:val="19"/>
          <w:szCs w:val="19"/>
          <w:u w:val="single" w:color="auto"/>
          <w:color w:val="00171E"/>
        </w:rPr>
        <w:t>Section</w:t>
      </w:r>
      <w:r>
        <w:rPr>
          <w:rFonts w:ascii="Times New Roman" w:cs="Times New Roman" w:eastAsia="Times New Roman" w:hAnsi="Times New Roman"/>
          <w:sz w:val="19"/>
          <w:szCs w:val="19"/>
          <w:color w:val="00171E"/>
        </w:rPr>
        <w:t xml:space="preserve"> </w:t>
      </w:r>
      <w:r>
        <w:rPr>
          <w:rFonts w:ascii="Times New Roman" w:cs="Times New Roman" w:eastAsia="Times New Roman" w:hAnsi="Times New Roman"/>
          <w:sz w:val="19"/>
          <w:szCs w:val="19"/>
          <w:u w:val="single" w:color="auto"/>
          <w:color w:val="00171E"/>
        </w:rPr>
        <w:t>5(e)(v)</w:t>
      </w:r>
      <w:r>
        <w:rPr>
          <w:rFonts w:ascii="Times New Roman" w:cs="Times New Roman" w:eastAsia="Times New Roman" w:hAnsi="Times New Roman"/>
          <w:sz w:val="19"/>
          <w:szCs w:val="19"/>
          <w:color w:val="00171E"/>
        </w:rPr>
        <w:t xml:space="preserve"> refers to the date that such award no longer is subject to a substantial risk of forfeiture) and (vi) payment for executive outplacement assistance services with the Company’s then current outplacement services vendor and in accordance with the Company’s then current policies and practices with respect to outplacement assistance for other executives of the Company for up to twelve (12) months after the termination date (the payments and benefits set forth in </w:t>
      </w:r>
      <w:r>
        <w:rPr>
          <w:rFonts w:ascii="Times New Roman" w:cs="Times New Roman" w:eastAsia="Times New Roman" w:hAnsi="Times New Roman"/>
          <w:sz w:val="19"/>
          <w:szCs w:val="19"/>
          <w:u w:val="single" w:color="auto"/>
          <w:color w:val="00171E"/>
        </w:rPr>
        <w:t>Sections 5(e)(i)-(vi)</w:t>
      </w:r>
      <w:r>
        <w:rPr>
          <w:rFonts w:ascii="Times New Roman" w:cs="Times New Roman" w:eastAsia="Times New Roman" w:hAnsi="Times New Roman"/>
          <w:sz w:val="19"/>
          <w:szCs w:val="19"/>
          <w:color w:val="00171E"/>
        </w:rPr>
        <w:t xml:space="preserve"> shall be referred to as the “</w:t>
      </w:r>
      <w:r>
        <w:rPr>
          <w:rFonts w:ascii="Times New Roman" w:cs="Times New Roman" w:eastAsia="Times New Roman" w:hAnsi="Times New Roman"/>
          <w:sz w:val="19"/>
          <w:szCs w:val="19"/>
          <w:u w:val="single" w:color="auto"/>
          <w:color w:val="00171E"/>
        </w:rPr>
        <w:t>Enhanced Severance Benefits</w:t>
      </w:r>
      <w:r>
        <w:rPr>
          <w:rFonts w:ascii="Times New Roman" w:cs="Times New Roman" w:eastAsia="Times New Roman" w:hAnsi="Times New Roman"/>
          <w:sz w:val="19"/>
          <w:szCs w:val="19"/>
          <w:color w:val="00171E"/>
        </w:rPr>
        <w:t>”).</w:t>
      </w:r>
    </w:p>
    <w:p>
      <w:pPr>
        <w:spacing w:after="0" w:line="183" w:lineRule="exact"/>
        <w:rPr>
          <w:sz w:val="20"/>
          <w:szCs w:val="20"/>
          <w:color w:val="auto"/>
        </w:rPr>
      </w:pPr>
    </w:p>
    <w:p>
      <w:pPr>
        <w:jc w:val="both"/>
        <w:ind w:firstLine="1497"/>
        <w:spacing w:after="0" w:line="255" w:lineRule="auto"/>
        <w:rPr>
          <w:sz w:val="20"/>
          <w:szCs w:val="20"/>
          <w:color w:val="auto"/>
        </w:rPr>
      </w:pPr>
      <w:r>
        <w:rPr>
          <w:rFonts w:ascii="Times New Roman" w:cs="Times New Roman" w:eastAsia="Times New Roman" w:hAnsi="Times New Roman"/>
          <w:sz w:val="19"/>
          <w:szCs w:val="19"/>
          <w:color w:val="00171E"/>
        </w:rPr>
        <w:t xml:space="preserve">For the avoidance of doubt, if Executive’s termination without Cause (excluding due to Executive’s death or Incapacity) or resignation for Good Reason occurs prior to a Change in Control, then any unvested portion of Executive’s outstanding equity awards will remain outstanding until the earlier of (i) the date that is three (3) months following the termination of Executive’s employment or (ii) the date that a Change in Control occurs (provided that in no event will any of Executive’s equity awards remain outstanding beyond the equity award’s maximum term to expiration). In the event that a Change in Control does not occur by the date that is three (3) months following the termination of Executive’s employment, any unvested portion of Executive’s equity awards automatically will be forfeited permanently without having vested. Further, for any Performance-based Equity Awards, the performance-based vesting component of the equity awards shall not be deemed to be automatically achieved as a result of the application of </w:t>
      </w:r>
      <w:r>
        <w:rPr>
          <w:rFonts w:ascii="Times New Roman" w:cs="Times New Roman" w:eastAsia="Times New Roman" w:hAnsi="Times New Roman"/>
          <w:sz w:val="19"/>
          <w:szCs w:val="19"/>
          <w:u w:val="single" w:color="auto"/>
          <w:color w:val="00171E"/>
        </w:rPr>
        <w:t>Section 5(e)(v)</w:t>
      </w:r>
      <w:r>
        <w:rPr>
          <w:rFonts w:ascii="Times New Roman" w:cs="Times New Roman" w:eastAsia="Times New Roman" w:hAnsi="Times New Roman"/>
          <w:sz w:val="19"/>
          <w:szCs w:val="19"/>
          <w:color w:val="00171E"/>
        </w:rPr>
        <w:t xml:space="preserve"> but will remain outstanding during the three</w:t>
      </w:r>
    </w:p>
    <w:p>
      <w:pPr>
        <w:spacing w:after="0" w:line="1" w:lineRule="exact"/>
        <w:rPr>
          <w:sz w:val="20"/>
          <w:szCs w:val="20"/>
          <w:color w:val="auto"/>
        </w:rPr>
      </w:pPr>
    </w:p>
    <w:p>
      <w:pPr>
        <w:jc w:val="both"/>
        <w:ind w:firstLine="8"/>
        <w:spacing w:after="0"/>
        <w:tabs>
          <w:tab w:leader="none" w:pos="306" w:val="left"/>
        </w:tabs>
        <w:numPr>
          <w:ilvl w:val="0"/>
          <w:numId w:val="152"/>
        </w:numPr>
        <w:rPr>
          <w:rFonts w:ascii="Times New Roman" w:cs="Times New Roman" w:eastAsia="Times New Roman" w:hAnsi="Times New Roman"/>
          <w:sz w:val="20"/>
          <w:szCs w:val="20"/>
          <w:color w:val="00171E"/>
        </w:rPr>
      </w:pPr>
      <w:r>
        <w:rPr>
          <w:rFonts w:ascii="Times New Roman" w:cs="Times New Roman" w:eastAsia="Times New Roman" w:hAnsi="Times New Roman"/>
          <w:sz w:val="20"/>
          <w:szCs w:val="20"/>
          <w:color w:val="00171E"/>
        </w:rPr>
        <w:t xml:space="preserve">month period following Executive’s termination or through the date of the Change in Control, as applicable, to determine whether a Change in Control would have occurred within three (3) months of the termination of Executive’s employment and, if so, the extent to which the performance condition is achieved, such determination to be made in accordance with the procedures set forth in the applicable award agreement. If the performance condition is satisfied and that would cause the award to become eligible to vest based on continued service, then clause (v) of this </w:t>
      </w:r>
      <w:r>
        <w:rPr>
          <w:rFonts w:ascii="Times New Roman" w:cs="Times New Roman" w:eastAsia="Times New Roman" w:hAnsi="Times New Roman"/>
          <w:sz w:val="20"/>
          <w:szCs w:val="20"/>
          <w:u w:val="single" w:color="auto"/>
          <w:color w:val="00171E"/>
        </w:rPr>
        <w:t>Section 5(e)</w:t>
      </w:r>
      <w:r>
        <w:rPr>
          <w:rFonts w:ascii="Times New Roman" w:cs="Times New Roman" w:eastAsia="Times New Roman" w:hAnsi="Times New Roman"/>
          <w:sz w:val="20"/>
          <w:szCs w:val="20"/>
          <w:color w:val="00171E"/>
        </w:rPr>
        <w:t xml:space="preserve"> will cause the service-based vesting component to be deemed satisfied and the vesting of the equity award will be accelerated as to the portion of the award that became eligible to vest. For clarity, if there is no service-based condition that applies with respect to any portion of such equity award upon such satisfaction of the performance condition, such portion of the equity award will immediately vest upon such satisfaction of the performance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132320" cy="171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83"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6"/>
          <w:szCs w:val="16"/>
          <w:b w:val="1"/>
          <w:bCs w:val="1"/>
          <w:color w:val="auto"/>
        </w:rPr>
        <w:t>E</w:t>
      </w:r>
      <w:r>
        <w:rPr>
          <w:rFonts w:ascii="Times New Roman" w:cs="Times New Roman" w:eastAsia="Times New Roman" w:hAnsi="Times New Roman"/>
          <w:sz w:val="10"/>
          <w:szCs w:val="10"/>
          <w:b w:val="1"/>
          <w:bCs w:val="1"/>
          <w:color w:val="auto"/>
        </w:rPr>
        <w:t>xecutive</w:t>
      </w:r>
      <w:r>
        <w:rPr>
          <w:rFonts w:ascii="Times New Roman" w:cs="Times New Roman" w:eastAsia="Times New Roman" w:hAnsi="Times New Roman"/>
          <w:sz w:val="16"/>
          <w:szCs w:val="16"/>
          <w:b w:val="1"/>
          <w:bCs w:val="1"/>
          <w:color w:val="auto"/>
        </w:rPr>
        <w:t xml:space="preserve"> E</w:t>
      </w:r>
      <w:r>
        <w:rPr>
          <w:rFonts w:ascii="Times New Roman" w:cs="Times New Roman" w:eastAsia="Times New Roman" w:hAnsi="Times New Roman"/>
          <w:sz w:val="10"/>
          <w:szCs w:val="10"/>
          <w:b w:val="1"/>
          <w:bCs w:val="1"/>
          <w:color w:val="auto"/>
        </w:rPr>
        <w:t>mployment</w:t>
      </w:r>
      <w:r>
        <w:rPr>
          <w:rFonts w:ascii="Times New Roman" w:cs="Times New Roman" w:eastAsia="Times New Roman" w:hAnsi="Times New Roman"/>
          <w:sz w:val="16"/>
          <w:szCs w:val="16"/>
          <w:b w:val="1"/>
          <w:bCs w:val="1"/>
          <w:color w:val="auto"/>
        </w:rPr>
        <w:t xml:space="preserve"> A</w:t>
      </w:r>
      <w:r>
        <w:rPr>
          <w:rFonts w:ascii="Times New Roman" w:cs="Times New Roman" w:eastAsia="Times New Roman" w:hAnsi="Times New Roman"/>
          <w:sz w:val="10"/>
          <w:szCs w:val="10"/>
          <w:b w:val="1"/>
          <w:bCs w:val="1"/>
          <w:color w:val="auto"/>
        </w:rPr>
        <w:t>gmt</w:t>
      </w:r>
      <w:r>
        <w:rPr>
          <w:rFonts w:ascii="Times New Roman" w:cs="Times New Roman" w:eastAsia="Times New Roman" w:hAnsi="Times New Roman"/>
          <w:sz w:val="16"/>
          <w:szCs w:val="16"/>
          <w:b w:val="1"/>
          <w:bCs w:val="1"/>
          <w:color w:val="auto"/>
        </w:rPr>
        <w:t xml:space="preserve"> S</w:t>
      </w:r>
      <w:r>
        <w:rPr>
          <w:rFonts w:ascii="Times New Roman" w:cs="Times New Roman" w:eastAsia="Times New Roman" w:hAnsi="Times New Roman"/>
          <w:sz w:val="10"/>
          <w:szCs w:val="10"/>
          <w:b w:val="1"/>
          <w:bCs w:val="1"/>
          <w:color w:val="auto"/>
        </w:rPr>
        <w:t>td</w:t>
      </w:r>
      <w:r>
        <w:rPr>
          <w:rFonts w:ascii="Times New Roman" w:cs="Times New Roman" w:eastAsia="Times New Roman" w:hAnsi="Times New Roman"/>
          <w:sz w:val="16"/>
          <w:szCs w:val="16"/>
          <w:b w:val="1"/>
          <w:bCs w:val="1"/>
          <w:color w:val="auto"/>
        </w:rPr>
        <w:t xml:space="preserve"> 11.1.24</w:t>
      </w:r>
      <w:r>
        <w:rPr>
          <w:sz w:val="20"/>
          <w:szCs w:val="20"/>
          <w:color w:val="auto"/>
        </w:rPr>
        <w:tab/>
      </w:r>
      <w:r>
        <w:rPr>
          <w:rFonts w:ascii="Times New Roman" w:cs="Times New Roman" w:eastAsia="Times New Roman" w:hAnsi="Times New Roman"/>
          <w:sz w:val="16"/>
          <w:szCs w:val="16"/>
          <w:b w:val="1"/>
          <w:bCs w:val="1"/>
          <w:color w:val="auto"/>
        </w:rPr>
        <w:t>A</w:t>
      </w:r>
      <w:r>
        <w:rPr>
          <w:rFonts w:ascii="Times New Roman" w:cs="Times New Roman" w:eastAsia="Times New Roman" w:hAnsi="Times New Roman"/>
          <w:sz w:val="10"/>
          <w:szCs w:val="10"/>
          <w:b w:val="1"/>
          <w:bCs w:val="1"/>
          <w:color w:val="auto"/>
        </w:rPr>
        <w:t>ccuray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8</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NUMPAGES \* Arabic \* MERGEFORMAT 31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1497"/>
        <w:spacing w:after="0" w:line="249" w:lineRule="auto"/>
        <w:rPr>
          <w:sz w:val="20"/>
          <w:szCs w:val="20"/>
          <w:color w:val="auto"/>
        </w:rPr>
      </w:pPr>
      <w:r>
        <w:rPr>
          <w:rFonts w:ascii="Times New Roman" w:cs="Times New Roman" w:eastAsia="Times New Roman" w:hAnsi="Times New Roman"/>
          <w:sz w:val="20"/>
          <w:szCs w:val="20"/>
          <w:color w:val="00171E"/>
        </w:rPr>
        <w:t xml:space="preserve">For the sake of clarity, if any payments or benefits are payable under this </w:t>
      </w:r>
      <w:r>
        <w:rPr>
          <w:rFonts w:ascii="Times New Roman" w:cs="Times New Roman" w:eastAsia="Times New Roman" w:hAnsi="Times New Roman"/>
          <w:sz w:val="20"/>
          <w:szCs w:val="20"/>
          <w:u w:val="single" w:color="auto"/>
          <w:color w:val="00171E"/>
        </w:rPr>
        <w:t>Section 5(e)</w:t>
      </w:r>
      <w:r>
        <w:rPr>
          <w:rFonts w:ascii="Times New Roman" w:cs="Times New Roman" w:eastAsia="Times New Roman" w:hAnsi="Times New Roman"/>
          <w:sz w:val="20"/>
          <w:szCs w:val="20"/>
          <w:color w:val="00171E"/>
        </w:rPr>
        <w:t xml:space="preserve">, no payments or benefits shall be made under any other subsection of this </w:t>
      </w:r>
      <w:r>
        <w:rPr>
          <w:rFonts w:ascii="Times New Roman" w:cs="Times New Roman" w:eastAsia="Times New Roman" w:hAnsi="Times New Roman"/>
          <w:sz w:val="20"/>
          <w:szCs w:val="20"/>
          <w:u w:val="single" w:color="auto"/>
          <w:color w:val="00171E"/>
        </w:rPr>
        <w:t>Section 5</w:t>
      </w:r>
      <w:r>
        <w:rPr>
          <w:rFonts w:ascii="Times New Roman" w:cs="Times New Roman" w:eastAsia="Times New Roman" w:hAnsi="Times New Roman"/>
          <w:sz w:val="20"/>
          <w:szCs w:val="20"/>
          <w:color w:val="00171E"/>
        </w:rPr>
        <w:t xml:space="preserve">, including </w:t>
      </w:r>
      <w:r>
        <w:rPr>
          <w:rFonts w:ascii="Times New Roman" w:cs="Times New Roman" w:eastAsia="Times New Roman" w:hAnsi="Times New Roman"/>
          <w:sz w:val="20"/>
          <w:szCs w:val="20"/>
          <w:u w:val="single" w:color="auto"/>
          <w:color w:val="00171E"/>
        </w:rPr>
        <w:t>Section 5(a)</w:t>
      </w:r>
      <w:r>
        <w:rPr>
          <w:rFonts w:ascii="Times New Roman" w:cs="Times New Roman" w:eastAsia="Times New Roman" w:hAnsi="Times New Roman"/>
          <w:sz w:val="20"/>
          <w:szCs w:val="20"/>
          <w:color w:val="00171E"/>
        </w:rPr>
        <w:t xml:space="preserve"> and </w:t>
      </w:r>
      <w:r>
        <w:rPr>
          <w:rFonts w:ascii="Times New Roman" w:cs="Times New Roman" w:eastAsia="Times New Roman" w:hAnsi="Times New Roman"/>
          <w:sz w:val="20"/>
          <w:szCs w:val="20"/>
          <w:u w:val="single" w:color="auto"/>
          <w:color w:val="00171E"/>
        </w:rPr>
        <w:t>Section 5(d)</w:t>
      </w:r>
      <w:r>
        <w:rPr>
          <w:rFonts w:ascii="Times New Roman" w:cs="Times New Roman" w:eastAsia="Times New Roman" w:hAnsi="Times New Roman"/>
          <w:sz w:val="20"/>
          <w:szCs w:val="20"/>
          <w:color w:val="00171E"/>
        </w:rPr>
        <w:t>, and any Enhanced Severance Benefits will be reduced by any Severance Benefits that may have been paid or provided with respect to any termination triggering Severance Benefits that occurs during the three-month period prior to a Change in Control (this provision, the “</w:t>
      </w:r>
      <w:r>
        <w:rPr>
          <w:rFonts w:ascii="Times New Roman" w:cs="Times New Roman" w:eastAsia="Times New Roman" w:hAnsi="Times New Roman"/>
          <w:sz w:val="20"/>
          <w:szCs w:val="20"/>
          <w:u w:val="single" w:color="auto"/>
          <w:color w:val="00171E"/>
        </w:rPr>
        <w:t>Non-duplication Provision</w:t>
      </w:r>
      <w:r>
        <w:rPr>
          <w:rFonts w:ascii="Times New Roman" w:cs="Times New Roman" w:eastAsia="Times New Roman" w:hAnsi="Times New Roman"/>
          <w:sz w:val="20"/>
          <w:szCs w:val="20"/>
          <w:color w:val="00171E"/>
        </w:rPr>
        <w:t>”).</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00171E"/>
        </w:rPr>
        <w:t>As used in this Agreement, a “</w:t>
      </w:r>
      <w:r>
        <w:rPr>
          <w:rFonts w:ascii="Times New Roman" w:cs="Times New Roman" w:eastAsia="Times New Roman" w:hAnsi="Times New Roman"/>
          <w:sz w:val="20"/>
          <w:szCs w:val="20"/>
          <w:u w:val="single" w:color="auto"/>
          <w:color w:val="00171E"/>
        </w:rPr>
        <w:t>Change in Control</w:t>
      </w:r>
      <w:r>
        <w:rPr>
          <w:rFonts w:ascii="Times New Roman" w:cs="Times New Roman" w:eastAsia="Times New Roman" w:hAnsi="Times New Roman"/>
          <w:sz w:val="20"/>
          <w:szCs w:val="20"/>
          <w:color w:val="00171E"/>
        </w:rPr>
        <w:t>” shall mean any of the following events:</w:t>
      </w:r>
    </w:p>
    <w:p>
      <w:pPr>
        <w:spacing w:after="0" w:line="216" w:lineRule="exact"/>
        <w:rPr>
          <w:sz w:val="20"/>
          <w:szCs w:val="20"/>
          <w:color w:val="auto"/>
        </w:rPr>
      </w:pPr>
    </w:p>
    <w:p>
      <w:pPr>
        <w:jc w:val="both"/>
        <w:ind w:firstLine="2254"/>
        <w:spacing w:after="0" w:line="256" w:lineRule="auto"/>
        <w:tabs>
          <w:tab w:leader="none" w:pos="2546" w:val="left"/>
        </w:tabs>
        <w:numPr>
          <w:ilvl w:val="0"/>
          <w:numId w:val="153"/>
        </w:numPr>
        <w:rPr>
          <w:rFonts w:ascii="Times New Roman" w:cs="Times New Roman" w:eastAsia="Times New Roman" w:hAnsi="Times New Roman"/>
          <w:sz w:val="19"/>
          <w:szCs w:val="19"/>
          <w:color w:val="00171E"/>
        </w:rPr>
      </w:pPr>
      <w:r>
        <w:rPr>
          <w:rFonts w:ascii="Times New Roman" w:cs="Times New Roman" w:eastAsia="Times New Roman" w:hAnsi="Times New Roman"/>
          <w:sz w:val="19"/>
          <w:szCs w:val="19"/>
          <w:color w:val="00171E"/>
        </w:rPr>
        <w:t>A change in the ownership of the Company which occurs on the date that any one person, or more than one person acting as a group (“</w:t>
      </w:r>
      <w:r>
        <w:rPr>
          <w:rFonts w:ascii="Times New Roman" w:cs="Times New Roman" w:eastAsia="Times New Roman" w:hAnsi="Times New Roman"/>
          <w:sz w:val="19"/>
          <w:szCs w:val="19"/>
          <w:u w:val="single" w:color="auto"/>
          <w:color w:val="00171E"/>
        </w:rPr>
        <w:t>Person</w:t>
      </w:r>
      <w:r>
        <w:rPr>
          <w:rFonts w:ascii="Times New Roman" w:cs="Times New Roman" w:eastAsia="Times New Roman" w:hAnsi="Times New Roman"/>
          <w:sz w:val="19"/>
          <w:szCs w:val="19"/>
          <w:color w:val="00171E"/>
        </w:rPr>
        <w:t>”), acquires ownership of the stock of the Company that, together with the stock held by such Person, constitutes more than fifty percent (50%) of the total voting power of the stock of the Company; provided, however, that for purposes of this clause (i), the acquisition of additional stock by any one Person, who is considered to own more than fifty percent (50%) of the total voting power of the stock of the Company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 Company, such event shall not be considered a Change in Control under this clause (i). For this purpose, indirect beneficial ownership shall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spacing w:after="0" w:line="177" w:lineRule="exact"/>
        <w:rPr>
          <w:rFonts w:ascii="Times New Roman" w:cs="Times New Roman" w:eastAsia="Times New Roman" w:hAnsi="Times New Roman"/>
          <w:sz w:val="19"/>
          <w:szCs w:val="19"/>
          <w:color w:val="00171E"/>
        </w:rPr>
      </w:pPr>
    </w:p>
    <w:p>
      <w:pPr>
        <w:jc w:val="both"/>
        <w:ind w:firstLine="2254"/>
        <w:spacing w:after="0" w:line="246" w:lineRule="auto"/>
        <w:tabs>
          <w:tab w:leader="none" w:pos="2546" w:val="left"/>
        </w:tabs>
        <w:numPr>
          <w:ilvl w:val="0"/>
          <w:numId w:val="153"/>
        </w:numPr>
        <w:rPr>
          <w:rFonts w:ascii="Times New Roman" w:cs="Times New Roman" w:eastAsia="Times New Roman" w:hAnsi="Times New Roman"/>
          <w:sz w:val="20"/>
          <w:szCs w:val="20"/>
          <w:color w:val="00171E"/>
        </w:rPr>
      </w:pPr>
      <w:r>
        <w:rPr>
          <w:rFonts w:ascii="Times New Roman" w:cs="Times New Roman" w:eastAsia="Times New Roman" w:hAnsi="Times New Roman"/>
          <w:sz w:val="20"/>
          <w:szCs w:val="20"/>
          <w:color w:val="00171E"/>
        </w:rPr>
        <w:t>A change in the effective control of the Company which occurs on the date that a majority of members of the Board is replaced during any twelve (12)-month period by members of the Board whose appointment or election is not endorsed by a majority of the members of the Board prior to the date of the appointment or election. For purposes of this clause (ii), if any Person is considered to be in effective control of the Company, the acquisition of additional control of the Company by the same Person will not be considered a Change in Control; or</w:t>
      </w:r>
    </w:p>
    <w:p>
      <w:pPr>
        <w:spacing w:after="0" w:line="185" w:lineRule="exact"/>
        <w:rPr>
          <w:sz w:val="20"/>
          <w:szCs w:val="20"/>
          <w:color w:val="auto"/>
        </w:rPr>
      </w:pPr>
    </w:p>
    <w:p>
      <w:pPr>
        <w:jc w:val="both"/>
        <w:ind w:firstLine="2246"/>
        <w:spacing w:after="0" w:line="256" w:lineRule="auto"/>
        <w:rPr>
          <w:sz w:val="20"/>
          <w:szCs w:val="20"/>
          <w:color w:val="auto"/>
        </w:rPr>
      </w:pPr>
      <w:r>
        <w:rPr>
          <w:rFonts w:ascii="Times New Roman" w:cs="Times New Roman" w:eastAsia="Times New Roman" w:hAnsi="Times New Roman"/>
          <w:sz w:val="19"/>
          <w:szCs w:val="19"/>
          <w:color w:val="00171E"/>
        </w:rPr>
        <w:t>(iii)A change in the ownership of a substantial portion of the Company’s assets which occurs on the date that any Person acquires (or has acquired during the twelve (12)-month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clause (iii),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fifty percent (50%) or more of the total value or voting power of which is owned, directly or indirectly, by the Company, (3) a Person, that owns, directly or indirectly, fifty percent (50%) or more of the total value or voting power of all the outstanding stock of the Company, or (4) an entity, at least fifty percent (50%) of the total value or voting power of which is owned, directly or indirectly, by a Person described in this clause (iii)(B)(3). For purposes of this clause (iii), gross fair market value means the value of the assets of the Company, or the value of the assets being disposed of, determined without regard to any liabilities associated with such assets.</w:t>
      </w:r>
    </w:p>
    <w:p>
      <w:pPr>
        <w:spacing w:after="0" w:line="17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00171E"/>
        </w:rPr>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171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8"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6"/>
          <w:szCs w:val="16"/>
          <w:b w:val="1"/>
          <w:bCs w:val="1"/>
          <w:color w:val="auto"/>
        </w:rPr>
        <w:t>E</w:t>
      </w:r>
      <w:r>
        <w:rPr>
          <w:rFonts w:ascii="Times New Roman" w:cs="Times New Roman" w:eastAsia="Times New Roman" w:hAnsi="Times New Roman"/>
          <w:sz w:val="10"/>
          <w:szCs w:val="10"/>
          <w:b w:val="1"/>
          <w:bCs w:val="1"/>
          <w:color w:val="auto"/>
        </w:rPr>
        <w:t>xecutive</w:t>
      </w:r>
      <w:r>
        <w:rPr>
          <w:rFonts w:ascii="Times New Roman" w:cs="Times New Roman" w:eastAsia="Times New Roman" w:hAnsi="Times New Roman"/>
          <w:sz w:val="16"/>
          <w:szCs w:val="16"/>
          <w:b w:val="1"/>
          <w:bCs w:val="1"/>
          <w:color w:val="auto"/>
        </w:rPr>
        <w:t xml:space="preserve"> E</w:t>
      </w:r>
      <w:r>
        <w:rPr>
          <w:rFonts w:ascii="Times New Roman" w:cs="Times New Roman" w:eastAsia="Times New Roman" w:hAnsi="Times New Roman"/>
          <w:sz w:val="10"/>
          <w:szCs w:val="10"/>
          <w:b w:val="1"/>
          <w:bCs w:val="1"/>
          <w:color w:val="auto"/>
        </w:rPr>
        <w:t>mployment</w:t>
      </w:r>
      <w:r>
        <w:rPr>
          <w:rFonts w:ascii="Times New Roman" w:cs="Times New Roman" w:eastAsia="Times New Roman" w:hAnsi="Times New Roman"/>
          <w:sz w:val="16"/>
          <w:szCs w:val="16"/>
          <w:b w:val="1"/>
          <w:bCs w:val="1"/>
          <w:color w:val="auto"/>
        </w:rPr>
        <w:t xml:space="preserve"> A</w:t>
      </w:r>
      <w:r>
        <w:rPr>
          <w:rFonts w:ascii="Times New Roman" w:cs="Times New Roman" w:eastAsia="Times New Roman" w:hAnsi="Times New Roman"/>
          <w:sz w:val="10"/>
          <w:szCs w:val="10"/>
          <w:b w:val="1"/>
          <w:bCs w:val="1"/>
          <w:color w:val="auto"/>
        </w:rPr>
        <w:t>gmt</w:t>
      </w:r>
      <w:r>
        <w:rPr>
          <w:rFonts w:ascii="Times New Roman" w:cs="Times New Roman" w:eastAsia="Times New Roman" w:hAnsi="Times New Roman"/>
          <w:sz w:val="16"/>
          <w:szCs w:val="16"/>
          <w:b w:val="1"/>
          <w:bCs w:val="1"/>
          <w:color w:val="auto"/>
        </w:rPr>
        <w:t xml:space="preserve"> S</w:t>
      </w:r>
      <w:r>
        <w:rPr>
          <w:rFonts w:ascii="Times New Roman" w:cs="Times New Roman" w:eastAsia="Times New Roman" w:hAnsi="Times New Roman"/>
          <w:sz w:val="10"/>
          <w:szCs w:val="10"/>
          <w:b w:val="1"/>
          <w:bCs w:val="1"/>
          <w:color w:val="auto"/>
        </w:rPr>
        <w:t>td</w:t>
      </w:r>
      <w:r>
        <w:rPr>
          <w:rFonts w:ascii="Times New Roman" w:cs="Times New Roman" w:eastAsia="Times New Roman" w:hAnsi="Times New Roman"/>
          <w:sz w:val="16"/>
          <w:szCs w:val="16"/>
          <w:b w:val="1"/>
          <w:bCs w:val="1"/>
          <w:color w:val="auto"/>
        </w:rPr>
        <w:t xml:space="preserve"> 11.1.24</w:t>
      </w:r>
      <w:r>
        <w:rPr>
          <w:sz w:val="20"/>
          <w:szCs w:val="20"/>
          <w:color w:val="auto"/>
        </w:rPr>
        <w:tab/>
      </w:r>
      <w:r>
        <w:rPr>
          <w:rFonts w:ascii="Times New Roman" w:cs="Times New Roman" w:eastAsia="Times New Roman" w:hAnsi="Times New Roman"/>
          <w:sz w:val="16"/>
          <w:szCs w:val="16"/>
          <w:b w:val="1"/>
          <w:bCs w:val="1"/>
          <w:color w:val="auto"/>
        </w:rPr>
        <w:t>A</w:t>
      </w:r>
      <w:r>
        <w:rPr>
          <w:rFonts w:ascii="Times New Roman" w:cs="Times New Roman" w:eastAsia="Times New Roman" w:hAnsi="Times New Roman"/>
          <w:sz w:val="10"/>
          <w:szCs w:val="10"/>
          <w:b w:val="1"/>
          <w:bCs w:val="1"/>
          <w:color w:val="auto"/>
        </w:rPr>
        <w:t>ccuray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9</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NUMPAGES \* Arabic \* MERGEFORMAT 31</w:t>
      </w:r>
    </w:p>
    <w:p>
      <w:pPr>
        <w:spacing w:after="0" w:line="200" w:lineRule="exact"/>
        <w:rPr>
          <w:sz w:val="20"/>
          <w:szCs w:val="20"/>
          <w:color w:val="auto"/>
        </w:rPr>
      </w:pPr>
    </w:p>
    <w:p>
      <w:pPr>
        <w:spacing w:after="0" w:line="24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00171E"/>
        </w:rPr>
        <w:t>Notwithstanding the foregoing, a transaction will not be deemed a Change in Control unless the transaction qualifies as a change in control event within the meaning of Code Section 409A, as it has been and may be amended from time to time, and any proposed or final Treasury Regulations and Internal Revenue Service guidance that has been promulgated or may be promulgated thereunder from time to time.</w:t>
      </w:r>
    </w:p>
    <w:p>
      <w:pPr>
        <w:spacing w:after="0" w:line="1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00171E"/>
        </w:rPr>
        <w:t>Further and for the avoidance of doubt, a transaction will not constitute a Change in Control if: (i) its sole purpose is to change the state of the Company’s incorporation, or (ii) its sole purpose is to create a holding company that will be owned in substantially the same proportions by the persons who held the Company’s securities immediately before such transaction.</w:t>
      </w:r>
    </w:p>
    <w:p>
      <w:pPr>
        <w:spacing w:after="0" w:line="174"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00171E"/>
        </w:rPr>
        <w:t>As used in this Agreement, a “</w:t>
      </w:r>
      <w:r>
        <w:rPr>
          <w:rFonts w:ascii="Times New Roman" w:cs="Times New Roman" w:eastAsia="Times New Roman" w:hAnsi="Times New Roman"/>
          <w:sz w:val="20"/>
          <w:szCs w:val="20"/>
          <w:u w:val="single" w:color="auto"/>
          <w:color w:val="00171E"/>
        </w:rPr>
        <w:t>Change in Control Period</w:t>
      </w:r>
      <w:r>
        <w:rPr>
          <w:rFonts w:ascii="Times New Roman" w:cs="Times New Roman" w:eastAsia="Times New Roman" w:hAnsi="Times New Roman"/>
          <w:sz w:val="20"/>
          <w:szCs w:val="20"/>
          <w:color w:val="00171E"/>
        </w:rPr>
        <w:t>” shall mean the period beginning three (3) months prior to, and ending twenty-four (24) months following, a Change in Control.</w:t>
      </w:r>
    </w:p>
    <w:p>
      <w:pPr>
        <w:spacing w:after="0" w:line="159" w:lineRule="exact"/>
        <w:rPr>
          <w:sz w:val="20"/>
          <w:szCs w:val="20"/>
          <w:color w:val="auto"/>
        </w:rPr>
      </w:pPr>
    </w:p>
    <w:p>
      <w:pPr>
        <w:jc w:val="both"/>
        <w:ind w:firstLine="1505"/>
        <w:spacing w:after="0" w:line="244" w:lineRule="auto"/>
        <w:tabs>
          <w:tab w:leader="none" w:pos="2036" w:val="left"/>
        </w:tabs>
        <w:numPr>
          <w:ilvl w:val="1"/>
          <w:numId w:val="154"/>
        </w:numPr>
        <w:rPr>
          <w:rFonts w:ascii="Times New Roman" w:cs="Times New Roman" w:eastAsia="Times New Roman" w:hAnsi="Times New Roman"/>
          <w:sz w:val="20"/>
          <w:szCs w:val="20"/>
          <w:u w:val="single" w:color="auto"/>
          <w:color w:val="00171E"/>
        </w:rPr>
      </w:pPr>
      <w:r>
        <w:rPr>
          <w:rFonts w:ascii="Times New Roman" w:cs="Times New Roman" w:eastAsia="Times New Roman" w:hAnsi="Times New Roman"/>
          <w:sz w:val="20"/>
          <w:szCs w:val="20"/>
          <w:u w:val="single" w:color="auto"/>
          <w:color w:val="00171E"/>
        </w:rPr>
        <w:t>Voluntary Resignation without Good Reason</w:t>
      </w:r>
      <w:r>
        <w:rPr>
          <w:rFonts w:ascii="Times New Roman" w:cs="Times New Roman" w:eastAsia="Times New Roman" w:hAnsi="Times New Roman"/>
          <w:sz w:val="20"/>
          <w:szCs w:val="20"/>
          <w:color w:val="00171E"/>
        </w:rPr>
        <w:t xml:space="preserve">. Executive may terminate this Agreement without Good Reason effective on sixty (60) day’s written notice, unless the Company in its sole discretion accepts the resignation earlier. In the event that Executive resigns without Good Reason as defined above in </w:t>
      </w:r>
      <w:r>
        <w:rPr>
          <w:rFonts w:ascii="Times New Roman" w:cs="Times New Roman" w:eastAsia="Times New Roman" w:hAnsi="Times New Roman"/>
          <w:sz w:val="20"/>
          <w:szCs w:val="20"/>
          <w:u w:val="single" w:color="auto"/>
          <w:color w:val="00171E"/>
        </w:rPr>
        <w:t>Section 5(d)</w:t>
      </w:r>
      <w:r>
        <w:rPr>
          <w:rFonts w:ascii="Times New Roman" w:cs="Times New Roman" w:eastAsia="Times New Roman" w:hAnsi="Times New Roman"/>
          <w:sz w:val="20"/>
          <w:szCs w:val="20"/>
          <w:color w:val="00171E"/>
        </w:rPr>
        <w:t>, Executive will be entitled only to the Accrued Benefits through the termination date. The Company will have no further obligation to pay any compensation of any kind (including without limitation any bonus or portion of a bonus that otherwise may have become due and payable to Executive with respect to the year in which such termination date occurs unless he/she remains employed with the Company as of the date bonuses are paid to other senior executives of the Company), or severance payments of any kind.</w:t>
      </w:r>
    </w:p>
    <w:p>
      <w:pPr>
        <w:spacing w:after="0" w:line="185" w:lineRule="exact"/>
        <w:rPr>
          <w:rFonts w:ascii="Times New Roman" w:cs="Times New Roman" w:eastAsia="Times New Roman" w:hAnsi="Times New Roman"/>
          <w:sz w:val="20"/>
          <w:szCs w:val="20"/>
          <w:u w:val="single" w:color="auto"/>
          <w:color w:val="00171E"/>
        </w:rPr>
      </w:pPr>
    </w:p>
    <w:p>
      <w:pPr>
        <w:jc w:val="both"/>
        <w:ind w:firstLine="1505"/>
        <w:spacing w:after="0" w:line="241" w:lineRule="auto"/>
        <w:tabs>
          <w:tab w:leader="none" w:pos="2036" w:val="left"/>
        </w:tabs>
        <w:numPr>
          <w:ilvl w:val="1"/>
          <w:numId w:val="154"/>
        </w:numPr>
        <w:rPr>
          <w:rFonts w:ascii="Times New Roman" w:cs="Times New Roman" w:eastAsia="Times New Roman" w:hAnsi="Times New Roman"/>
          <w:sz w:val="20"/>
          <w:szCs w:val="20"/>
          <w:u w:val="single" w:color="auto"/>
          <w:color w:val="00171E"/>
        </w:rPr>
      </w:pPr>
      <w:r>
        <w:rPr>
          <w:rFonts w:ascii="Times New Roman" w:cs="Times New Roman" w:eastAsia="Times New Roman" w:hAnsi="Times New Roman"/>
          <w:sz w:val="20"/>
          <w:szCs w:val="20"/>
          <w:color w:val="00171E"/>
        </w:rPr>
        <w:t xml:space="preserve">If the Company determines in its sole discretion that it cannot make the COBRA reimbursements under </w:t>
      </w:r>
      <w:r>
        <w:rPr>
          <w:rFonts w:ascii="Times New Roman" w:cs="Times New Roman" w:eastAsia="Times New Roman" w:hAnsi="Times New Roman"/>
          <w:sz w:val="20"/>
          <w:szCs w:val="20"/>
          <w:u w:val="single" w:color="auto"/>
          <w:color w:val="00171E"/>
        </w:rPr>
        <w:t>Section</w:t>
      </w:r>
      <w:r>
        <w:rPr>
          <w:rFonts w:ascii="Times New Roman" w:cs="Times New Roman" w:eastAsia="Times New Roman" w:hAnsi="Times New Roman"/>
          <w:sz w:val="20"/>
          <w:szCs w:val="20"/>
          <w:color w:val="00171E"/>
        </w:rPr>
        <w:t xml:space="preserve"> </w:t>
      </w:r>
      <w:r>
        <w:rPr>
          <w:rFonts w:ascii="Times New Roman" w:cs="Times New Roman" w:eastAsia="Times New Roman" w:hAnsi="Times New Roman"/>
          <w:sz w:val="20"/>
          <w:szCs w:val="20"/>
          <w:u w:val="single" w:color="auto"/>
          <w:color w:val="00171E"/>
        </w:rPr>
        <w:t>5(a)(vi)</w:t>
      </w:r>
      <w:r>
        <w:rPr>
          <w:rFonts w:ascii="Times New Roman" w:cs="Times New Roman" w:eastAsia="Times New Roman" w:hAnsi="Times New Roman"/>
          <w:sz w:val="20"/>
          <w:szCs w:val="20"/>
          <w:color w:val="00171E"/>
        </w:rPr>
        <w:t xml:space="preserve"> or </w:t>
      </w:r>
      <w:r>
        <w:rPr>
          <w:rFonts w:ascii="Times New Roman" w:cs="Times New Roman" w:eastAsia="Times New Roman" w:hAnsi="Times New Roman"/>
          <w:sz w:val="20"/>
          <w:szCs w:val="20"/>
          <w:u w:val="single" w:color="auto"/>
          <w:color w:val="00171E"/>
        </w:rPr>
        <w:t>Section 5(e)(ii)</w:t>
      </w:r>
      <w:r>
        <w:rPr>
          <w:rFonts w:ascii="Times New Roman" w:cs="Times New Roman" w:eastAsia="Times New Roman" w:hAnsi="Times New Roman"/>
          <w:sz w:val="20"/>
          <w:szCs w:val="20"/>
          <w:color w:val="00171E"/>
        </w:rPr>
        <w:t xml:space="preserve"> (the “</w:t>
      </w:r>
      <w:r>
        <w:rPr>
          <w:rFonts w:ascii="Times New Roman" w:cs="Times New Roman" w:eastAsia="Times New Roman" w:hAnsi="Times New Roman"/>
          <w:sz w:val="20"/>
          <w:szCs w:val="20"/>
          <w:u w:val="single" w:color="auto"/>
          <w:color w:val="00171E"/>
        </w:rPr>
        <w:t>COBRA Reimbursements</w:t>
      </w:r>
      <w:r>
        <w:rPr>
          <w:rFonts w:ascii="Times New Roman" w:cs="Times New Roman" w:eastAsia="Times New Roman" w:hAnsi="Times New Roman"/>
          <w:sz w:val="20"/>
          <w:szCs w:val="20"/>
          <w:color w:val="00171E"/>
        </w:rPr>
        <w:t>”) without potentially violating applicable law (including, without limitation, Section 2716 of the Public Health Service Act), the Company will in lieu thereof provide to Executive a taxable monthly payment, payable on the last day of a given month, in an amount equal to the monthly COBRA premium that the Executive would be required to pay to continue the Executive’s group health coverage in effect on the termination of employment date (which amount will be based on the premium for the first month of COBRA continuation coverage), which payments will be made regardless of whether the Executive elects COBRA continuation coverage and will commence on the month following the Executive’s termination of employment and will end on the earlier of (x) the date upon which the Executive obtains other employment or (y) the date the Company has paid an amount equal to 12 payments. For the avoidance of doubt, such taxable payments in lieu of COBRA Reimbursements (the “</w:t>
      </w:r>
      <w:r>
        <w:rPr>
          <w:rFonts w:ascii="Times New Roman" w:cs="Times New Roman" w:eastAsia="Times New Roman" w:hAnsi="Times New Roman"/>
          <w:sz w:val="20"/>
          <w:szCs w:val="20"/>
          <w:u w:val="single" w:color="auto"/>
          <w:color w:val="00171E"/>
        </w:rPr>
        <w:t>COBRA Substitute Payments</w:t>
      </w:r>
      <w:r>
        <w:rPr>
          <w:rFonts w:ascii="Times New Roman" w:cs="Times New Roman" w:eastAsia="Times New Roman" w:hAnsi="Times New Roman"/>
          <w:sz w:val="20"/>
          <w:szCs w:val="20"/>
          <w:color w:val="00171E"/>
        </w:rPr>
        <w:t>”) may be used for any purpose, including, but not limited to continuation coverage under COBRA, and will be subject to all applicable tax withholding. Notwithstanding anything to the contrary under this Agreement, if at any time the Company determines in its sole discretion that it cannot provide the COBRA Substitute Payments without violating applicable law (including, without limitation, Section 2716 of the Public Health Service Act), Executive will not receive the COBRA Substitute Payments or any further COBRA Reimbursements.</w:t>
      </w:r>
    </w:p>
    <w:p>
      <w:pPr>
        <w:spacing w:after="0" w:line="193" w:lineRule="exact"/>
        <w:rPr>
          <w:rFonts w:ascii="Times New Roman" w:cs="Times New Roman" w:eastAsia="Times New Roman" w:hAnsi="Times New Roman"/>
          <w:sz w:val="20"/>
          <w:szCs w:val="20"/>
          <w:u w:val="single" w:color="auto"/>
          <w:color w:val="00171E"/>
        </w:rPr>
      </w:pPr>
    </w:p>
    <w:p>
      <w:pPr>
        <w:ind w:left="1020" w:hanging="263"/>
        <w:spacing w:after="0"/>
        <w:tabs>
          <w:tab w:leader="none" w:pos="1020" w:val="left"/>
        </w:tabs>
        <w:numPr>
          <w:ilvl w:val="0"/>
          <w:numId w:val="155"/>
        </w:numPr>
        <w:rPr>
          <w:rFonts w:ascii="Times New Roman" w:cs="Times New Roman" w:eastAsia="Times New Roman" w:hAnsi="Times New Roman"/>
          <w:sz w:val="20"/>
          <w:szCs w:val="20"/>
          <w:b w:val="1"/>
          <w:bCs w:val="1"/>
          <w:color w:val="00171E"/>
        </w:rPr>
      </w:pPr>
      <w:r>
        <w:rPr>
          <w:rFonts w:ascii="Times New Roman" w:cs="Times New Roman" w:eastAsia="Times New Roman" w:hAnsi="Times New Roman"/>
          <w:sz w:val="20"/>
          <w:szCs w:val="20"/>
          <w:b w:val="1"/>
          <w:bCs w:val="1"/>
          <w:color w:val="00171E"/>
        </w:rPr>
        <w:t>Proprietary Information Obligations.</w:t>
      </w:r>
    </w:p>
    <w:p>
      <w:pPr>
        <w:spacing w:after="0" w:line="219" w:lineRule="exact"/>
        <w:rPr>
          <w:rFonts w:ascii="Times New Roman" w:cs="Times New Roman" w:eastAsia="Times New Roman" w:hAnsi="Times New Roman"/>
          <w:sz w:val="20"/>
          <w:szCs w:val="20"/>
          <w:b w:val="1"/>
          <w:bCs w:val="1"/>
          <w:color w:val="00171E"/>
        </w:rPr>
      </w:pPr>
    </w:p>
    <w:p>
      <w:pPr>
        <w:jc w:val="both"/>
        <w:ind w:firstLine="1505"/>
        <w:spacing w:after="0" w:line="244" w:lineRule="auto"/>
        <w:tabs>
          <w:tab w:leader="none" w:pos="2036" w:val="left"/>
        </w:tabs>
        <w:numPr>
          <w:ilvl w:val="1"/>
          <w:numId w:val="155"/>
        </w:numPr>
        <w:rPr>
          <w:rFonts w:ascii="Times New Roman" w:cs="Times New Roman" w:eastAsia="Times New Roman" w:hAnsi="Times New Roman"/>
          <w:sz w:val="20"/>
          <w:szCs w:val="20"/>
          <w:u w:val="single" w:color="auto"/>
          <w:color w:val="00171E"/>
        </w:rPr>
      </w:pPr>
      <w:r>
        <w:rPr>
          <w:rFonts w:ascii="Times New Roman" w:cs="Times New Roman" w:eastAsia="Times New Roman" w:hAnsi="Times New Roman"/>
          <w:sz w:val="20"/>
          <w:szCs w:val="20"/>
          <w:u w:val="single" w:color="auto"/>
          <w:color w:val="00171E"/>
        </w:rPr>
        <w:t>Proprietary Information and Confidentiality</w:t>
      </w:r>
      <w:r>
        <w:rPr>
          <w:rFonts w:ascii="Times New Roman" w:cs="Times New Roman" w:eastAsia="Times New Roman" w:hAnsi="Times New Roman"/>
          <w:sz w:val="20"/>
          <w:szCs w:val="20"/>
          <w:color w:val="00171E"/>
        </w:rPr>
        <w:t>. Both before and during the term of Executive’s employment, Executive will have access to and become acquainted with Company confidential and proprietary information (together “</w:t>
      </w:r>
      <w:r>
        <w:rPr>
          <w:rFonts w:ascii="Times New Roman" w:cs="Times New Roman" w:eastAsia="Times New Roman" w:hAnsi="Times New Roman"/>
          <w:sz w:val="20"/>
          <w:szCs w:val="20"/>
          <w:u w:val="single" w:color="auto"/>
          <w:color w:val="00171E"/>
        </w:rPr>
        <w:t>Proprietary</w:t>
      </w:r>
      <w:r>
        <w:rPr>
          <w:rFonts w:ascii="Times New Roman" w:cs="Times New Roman" w:eastAsia="Times New Roman" w:hAnsi="Times New Roman"/>
          <w:sz w:val="20"/>
          <w:szCs w:val="20"/>
          <w:color w:val="00171E"/>
        </w:rPr>
        <w:t xml:space="preserve"> </w:t>
      </w:r>
      <w:r>
        <w:rPr>
          <w:rFonts w:ascii="Times New Roman" w:cs="Times New Roman" w:eastAsia="Times New Roman" w:hAnsi="Times New Roman"/>
          <w:sz w:val="20"/>
          <w:szCs w:val="20"/>
          <w:u w:val="single" w:color="auto"/>
          <w:color w:val="00171E"/>
        </w:rPr>
        <w:t>Information</w:t>
      </w:r>
      <w:r>
        <w:rPr>
          <w:rFonts w:ascii="Times New Roman" w:cs="Times New Roman" w:eastAsia="Times New Roman" w:hAnsi="Times New Roman"/>
          <w:sz w:val="20"/>
          <w:szCs w:val="20"/>
          <w:color w:val="00171E"/>
        </w:rPr>
        <w:t>”), including but not limited to information or plans concerning the Company’s products and technologies; customer relationships; sales, marketing and financial operations and methods; trade secrets; formulae and secret developments and inventions; processes; and other compilations of information, records, and specifications. Executive will not disclose any of the Proprietary Information directly or indirectly, or use it in any way, either during his/her employment pursuant to this Agreement or at any time thereafter, except as reasonably required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192405</wp:posOffset>
            </wp:positionV>
            <wp:extent cx="7132320" cy="171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94"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6"/>
          <w:szCs w:val="16"/>
          <w:b w:val="1"/>
          <w:bCs w:val="1"/>
          <w:color w:val="auto"/>
        </w:rPr>
        <w:t>E</w:t>
      </w:r>
      <w:r>
        <w:rPr>
          <w:rFonts w:ascii="Times New Roman" w:cs="Times New Roman" w:eastAsia="Times New Roman" w:hAnsi="Times New Roman"/>
          <w:sz w:val="10"/>
          <w:szCs w:val="10"/>
          <w:b w:val="1"/>
          <w:bCs w:val="1"/>
          <w:color w:val="auto"/>
        </w:rPr>
        <w:t>xecutive</w:t>
      </w:r>
      <w:r>
        <w:rPr>
          <w:rFonts w:ascii="Times New Roman" w:cs="Times New Roman" w:eastAsia="Times New Roman" w:hAnsi="Times New Roman"/>
          <w:sz w:val="16"/>
          <w:szCs w:val="16"/>
          <w:b w:val="1"/>
          <w:bCs w:val="1"/>
          <w:color w:val="auto"/>
        </w:rPr>
        <w:t xml:space="preserve"> E</w:t>
      </w:r>
      <w:r>
        <w:rPr>
          <w:rFonts w:ascii="Times New Roman" w:cs="Times New Roman" w:eastAsia="Times New Roman" w:hAnsi="Times New Roman"/>
          <w:sz w:val="10"/>
          <w:szCs w:val="10"/>
          <w:b w:val="1"/>
          <w:bCs w:val="1"/>
          <w:color w:val="auto"/>
        </w:rPr>
        <w:t>mployment</w:t>
      </w:r>
      <w:r>
        <w:rPr>
          <w:rFonts w:ascii="Times New Roman" w:cs="Times New Roman" w:eastAsia="Times New Roman" w:hAnsi="Times New Roman"/>
          <w:sz w:val="16"/>
          <w:szCs w:val="16"/>
          <w:b w:val="1"/>
          <w:bCs w:val="1"/>
          <w:color w:val="auto"/>
        </w:rPr>
        <w:t xml:space="preserve"> A</w:t>
      </w:r>
      <w:r>
        <w:rPr>
          <w:rFonts w:ascii="Times New Roman" w:cs="Times New Roman" w:eastAsia="Times New Roman" w:hAnsi="Times New Roman"/>
          <w:sz w:val="10"/>
          <w:szCs w:val="10"/>
          <w:b w:val="1"/>
          <w:bCs w:val="1"/>
          <w:color w:val="auto"/>
        </w:rPr>
        <w:t>gmt</w:t>
      </w:r>
      <w:r>
        <w:rPr>
          <w:rFonts w:ascii="Times New Roman" w:cs="Times New Roman" w:eastAsia="Times New Roman" w:hAnsi="Times New Roman"/>
          <w:sz w:val="16"/>
          <w:szCs w:val="16"/>
          <w:b w:val="1"/>
          <w:bCs w:val="1"/>
          <w:color w:val="auto"/>
        </w:rPr>
        <w:t xml:space="preserve"> S</w:t>
      </w:r>
      <w:r>
        <w:rPr>
          <w:rFonts w:ascii="Times New Roman" w:cs="Times New Roman" w:eastAsia="Times New Roman" w:hAnsi="Times New Roman"/>
          <w:sz w:val="10"/>
          <w:szCs w:val="10"/>
          <w:b w:val="1"/>
          <w:bCs w:val="1"/>
          <w:color w:val="auto"/>
        </w:rPr>
        <w:t>td</w:t>
      </w:r>
      <w:r>
        <w:rPr>
          <w:rFonts w:ascii="Times New Roman" w:cs="Times New Roman" w:eastAsia="Times New Roman" w:hAnsi="Times New Roman"/>
          <w:sz w:val="16"/>
          <w:szCs w:val="16"/>
          <w:b w:val="1"/>
          <w:bCs w:val="1"/>
          <w:color w:val="auto"/>
        </w:rPr>
        <w:t xml:space="preserve"> 11.1.24</w:t>
      </w:r>
      <w:r>
        <w:rPr>
          <w:sz w:val="20"/>
          <w:szCs w:val="20"/>
          <w:color w:val="auto"/>
        </w:rPr>
        <w:tab/>
      </w:r>
      <w:r>
        <w:rPr>
          <w:rFonts w:ascii="Times New Roman" w:cs="Times New Roman" w:eastAsia="Times New Roman" w:hAnsi="Times New Roman"/>
          <w:sz w:val="16"/>
          <w:szCs w:val="16"/>
          <w:b w:val="1"/>
          <w:bCs w:val="1"/>
          <w:color w:val="auto"/>
        </w:rPr>
        <w:t>A</w:t>
      </w:r>
      <w:r>
        <w:rPr>
          <w:rFonts w:ascii="Times New Roman" w:cs="Times New Roman" w:eastAsia="Times New Roman" w:hAnsi="Times New Roman"/>
          <w:sz w:val="10"/>
          <w:szCs w:val="10"/>
          <w:b w:val="1"/>
          <w:bCs w:val="1"/>
          <w:color w:val="auto"/>
        </w:rPr>
        <w:t>ccuray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8" w:name="page149"/>
    <w:bookmarkEnd w:id="148"/>
    <w:p>
      <w:pPr>
        <w:ind w:left="6560"/>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10</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NUMPAGES \* Arabic \* MERGEFORMAT 31</w:t>
      </w:r>
    </w:p>
    <w:p>
      <w:pPr>
        <w:spacing w:after="0" w:line="200" w:lineRule="exact"/>
        <w:rPr>
          <w:sz w:val="20"/>
          <w:szCs w:val="20"/>
          <w:color w:val="auto"/>
        </w:rPr>
      </w:pPr>
    </w:p>
    <w:p>
      <w:pPr>
        <w:spacing w:after="0" w:line="24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00171E"/>
        </w:rPr>
        <w:t>course of his/her employment with the Company or as authorized in writing by the Company. Notwithstanding the foregoing, Proprietary Information does not include information that is otherwise publicly known or available, provided it has not become public as a result of a breach of this Agreement or any other agreement Executive has to keep information confidential. Proprietary Information does not include general knowledge, skill, and experience Executive acquires during the course of or in connection with Executive’s employment with the Company or a former employer. It is not a breach of this Agreement for Executive to disclose Proprietary Information (i) pursuant to an order of a court or other governmental or legal body or (ii) in connection with Protected Activity (as defined below). Executive understands that nothing in this Agreement shall in any way limit or prohibit Executive from engaging in any Protected Activity. For purposes of this Agreement, “</w:t>
      </w:r>
      <w:r>
        <w:rPr>
          <w:rFonts w:ascii="Times New Roman" w:cs="Times New Roman" w:eastAsia="Times New Roman" w:hAnsi="Times New Roman"/>
          <w:sz w:val="20"/>
          <w:szCs w:val="20"/>
          <w:u w:val="single" w:color="auto"/>
          <w:color w:val="00171E"/>
        </w:rPr>
        <w:t>Protected Activity</w:t>
      </w:r>
      <w:r>
        <w:rPr>
          <w:rFonts w:ascii="Times New Roman" w:cs="Times New Roman" w:eastAsia="Times New Roman" w:hAnsi="Times New Roman"/>
          <w:sz w:val="20"/>
          <w:szCs w:val="20"/>
          <w:color w:val="00171E"/>
        </w:rPr>
        <w:t>” includes filing and/or pursuing a charge or complaint with, or otherwise communicating or cooperating with or participating in any investigation or proceeding that may be conducted by, any federal, state or local government agency or commission, including the Securities and Exchange Commission, the Equal Employment Opportunity Commission, the Occupational Safety and Health Administration, and the National Labor Relations Board (“</w:t>
      </w:r>
      <w:r>
        <w:rPr>
          <w:rFonts w:ascii="Times New Roman" w:cs="Times New Roman" w:eastAsia="Times New Roman" w:hAnsi="Times New Roman"/>
          <w:sz w:val="20"/>
          <w:szCs w:val="20"/>
          <w:u w:val="single" w:color="auto"/>
          <w:color w:val="00171E"/>
        </w:rPr>
        <w:t>Government Agencies</w:t>
      </w:r>
      <w:r>
        <w:rPr>
          <w:rFonts w:ascii="Times New Roman" w:cs="Times New Roman" w:eastAsia="Times New Roman" w:hAnsi="Times New Roman"/>
          <w:sz w:val="20"/>
          <w:szCs w:val="20"/>
          <w:color w:val="00171E"/>
        </w:rPr>
        <w:t>”), including disclosing documents or other information as permitted by law. In addition, nothing in this Agreement, including its definition of Proprietary Information, prevents Executive from discussing or disclosing information about unlawful acts in the workplace, such as harassment or discrimination or any other conduct that Executive has reason to believe is unlawful. Notwithstanding the preceding, Executive agrees to take all reasonable precautions to prevent any unauthorized use or disclosure of any Company trade secrets, proprietary information, or confidential information that does not involve unlawful acts in the workplace or the activity otherwise protected herein. Executive understands that Executive is not permitted to disclose the Company’s attorney-client privileged communications or attorney work product. In addition, I hereby acknowledge that the Company has provided me with notice in compliance with the Defend Trade Secrets Act of 2016 regarding immunity from liability for limited disclosures of trade secrets. The full text of the notice is attached in Exhibit A. Finally, Executive understands that nothing in this Agreement, including its definition of Proprietary Information, (i) limits employees’ rights to discuss or disclose wages, benefits, or terms and conditions of employment as protected by applicable law, including any rights under Section 7 of the National Labor Relations Act, or (ii) otherwise impairs employees from assisting other Company employees and/or former employees in the exercise of their rights under Section 7 of the National Labor Relations Act.</w:t>
      </w:r>
    </w:p>
    <w:p>
      <w:pPr>
        <w:spacing w:after="0" w:line="205" w:lineRule="exact"/>
        <w:rPr>
          <w:sz w:val="20"/>
          <w:szCs w:val="20"/>
          <w:color w:val="auto"/>
        </w:rPr>
      </w:pPr>
    </w:p>
    <w:p>
      <w:pPr>
        <w:ind w:left="2040" w:hanging="535"/>
        <w:spacing w:after="0"/>
        <w:tabs>
          <w:tab w:leader="none" w:pos="2040" w:val="left"/>
        </w:tabs>
        <w:numPr>
          <w:ilvl w:val="0"/>
          <w:numId w:val="156"/>
        </w:numPr>
        <w:rPr>
          <w:rFonts w:ascii="Times New Roman" w:cs="Times New Roman" w:eastAsia="Times New Roman" w:hAnsi="Times New Roman"/>
          <w:sz w:val="20"/>
          <w:szCs w:val="20"/>
          <w:u w:val="single" w:color="auto"/>
          <w:color w:val="00171E"/>
        </w:rPr>
      </w:pPr>
      <w:r>
        <w:rPr>
          <w:rFonts w:ascii="Times New Roman" w:cs="Times New Roman" w:eastAsia="Times New Roman" w:hAnsi="Times New Roman"/>
          <w:sz w:val="20"/>
          <w:szCs w:val="20"/>
          <w:u w:val="single" w:color="auto"/>
          <w:color w:val="00171E"/>
        </w:rPr>
        <w:t>Inventions Agreement and Assignment</w:t>
      </w:r>
      <w:r>
        <w:rPr>
          <w:rFonts w:ascii="Times New Roman" w:cs="Times New Roman" w:eastAsia="Times New Roman" w:hAnsi="Times New Roman"/>
          <w:sz w:val="20"/>
          <w:szCs w:val="20"/>
          <w:color w:val="00171E"/>
        </w:rPr>
        <w:t>.</w:t>
      </w:r>
    </w:p>
    <w:p>
      <w:pPr>
        <w:spacing w:after="0" w:line="215" w:lineRule="exact"/>
        <w:rPr>
          <w:rFonts w:ascii="Times New Roman" w:cs="Times New Roman" w:eastAsia="Times New Roman" w:hAnsi="Times New Roman"/>
          <w:sz w:val="20"/>
          <w:szCs w:val="20"/>
          <w:u w:val="single" w:color="auto"/>
          <w:color w:val="00171E"/>
        </w:rPr>
      </w:pPr>
    </w:p>
    <w:p>
      <w:pPr>
        <w:jc w:val="both"/>
        <w:ind w:firstLine="2254"/>
        <w:spacing w:after="0" w:line="245" w:lineRule="auto"/>
        <w:tabs>
          <w:tab w:leader="none" w:pos="2546" w:val="left"/>
        </w:tabs>
        <w:numPr>
          <w:ilvl w:val="1"/>
          <w:numId w:val="156"/>
        </w:numPr>
        <w:rPr>
          <w:rFonts w:ascii="Times New Roman" w:cs="Times New Roman" w:eastAsia="Times New Roman" w:hAnsi="Times New Roman"/>
          <w:sz w:val="20"/>
          <w:szCs w:val="20"/>
          <w:color w:val="00171E"/>
        </w:rPr>
      </w:pPr>
      <w:r>
        <w:rPr>
          <w:rFonts w:ascii="Times New Roman" w:cs="Times New Roman" w:eastAsia="Times New Roman" w:hAnsi="Times New Roman"/>
          <w:sz w:val="20"/>
          <w:szCs w:val="20"/>
          <w:color w:val="00171E"/>
        </w:rPr>
        <w:t>Executive hereby agrees to disclose promptly to the Company (or any persons designated by it) all developments, designs, creations, improvements, original works of authorship, formulas, processes, know-how, techniques and/or inventions (collectively, the “</w:t>
      </w:r>
      <w:r>
        <w:rPr>
          <w:rFonts w:ascii="Times New Roman" w:cs="Times New Roman" w:eastAsia="Times New Roman" w:hAnsi="Times New Roman"/>
          <w:sz w:val="20"/>
          <w:szCs w:val="20"/>
          <w:u w:val="single" w:color="auto"/>
          <w:color w:val="00171E"/>
        </w:rPr>
        <w:t>Inventions</w:t>
      </w:r>
      <w:r>
        <w:rPr>
          <w:rFonts w:ascii="Times New Roman" w:cs="Times New Roman" w:eastAsia="Times New Roman" w:hAnsi="Times New Roman"/>
          <w:sz w:val="20"/>
          <w:szCs w:val="20"/>
          <w:color w:val="00171E"/>
        </w:rPr>
        <w:t>”) (A) which are made or conceived or reduced to practice by Executive, either alone or jointly with others, in performing his/her duties during the period of Executive’s employment by the Company, that relate to or are useful in the business of the Company; or (B) which result from tasks assigned to Executive by the Company, or from Executive’s use of the premises or other resources owned, leased or contracted by the Company.</w:t>
      </w:r>
    </w:p>
    <w:p>
      <w:pPr>
        <w:spacing w:after="0" w:line="184" w:lineRule="exact"/>
        <w:rPr>
          <w:rFonts w:ascii="Times New Roman" w:cs="Times New Roman" w:eastAsia="Times New Roman" w:hAnsi="Times New Roman"/>
          <w:sz w:val="20"/>
          <w:szCs w:val="20"/>
          <w:color w:val="00171E"/>
        </w:rPr>
      </w:pPr>
    </w:p>
    <w:p>
      <w:pPr>
        <w:jc w:val="both"/>
        <w:ind w:firstLine="2254"/>
        <w:spacing w:after="0" w:line="243" w:lineRule="auto"/>
        <w:tabs>
          <w:tab w:leader="none" w:pos="2546" w:val="left"/>
        </w:tabs>
        <w:numPr>
          <w:ilvl w:val="1"/>
          <w:numId w:val="156"/>
        </w:numPr>
        <w:rPr>
          <w:rFonts w:ascii="Times New Roman" w:cs="Times New Roman" w:eastAsia="Times New Roman" w:hAnsi="Times New Roman"/>
          <w:sz w:val="20"/>
          <w:szCs w:val="20"/>
          <w:color w:val="00171E"/>
        </w:rPr>
      </w:pPr>
      <w:r>
        <w:rPr>
          <w:rFonts w:ascii="Times New Roman" w:cs="Times New Roman" w:eastAsia="Times New Roman" w:hAnsi="Times New Roman"/>
          <w:sz w:val="20"/>
          <w:szCs w:val="20"/>
          <w:color w:val="00171E"/>
        </w:rPr>
        <w:t>Executive agrees that all such Inventions which the Company in its discretion determines to be related to or useful in its business or its research or development, or which result from work performed by Executive for the Company, will be the sole and exclusive property of the Company and its assigns, and the Company and its assigns will have the right to use and/or to apply for patents, copyrights or other statutory or common law protections for such Inventions in any and all countries. Executive further agrees to assist the Company in every reasonable way (but at the Company’s expense) to obtain and from time to time enforce patents, copyrights and other statutory or common law protections for such Inventions in any and all countries. To that end, Executive will execute all documents for use in applying for and obtaining such patents, copyrights and other statutory or common law protections therefor and enforcing the same, as the Company may desire, together with any assignments thereof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171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98"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6"/>
          <w:szCs w:val="16"/>
          <w:b w:val="1"/>
          <w:bCs w:val="1"/>
          <w:color w:val="auto"/>
        </w:rPr>
        <w:t>E</w:t>
      </w:r>
      <w:r>
        <w:rPr>
          <w:rFonts w:ascii="Times New Roman" w:cs="Times New Roman" w:eastAsia="Times New Roman" w:hAnsi="Times New Roman"/>
          <w:sz w:val="10"/>
          <w:szCs w:val="10"/>
          <w:b w:val="1"/>
          <w:bCs w:val="1"/>
          <w:color w:val="auto"/>
        </w:rPr>
        <w:t>xecutive</w:t>
      </w:r>
      <w:r>
        <w:rPr>
          <w:rFonts w:ascii="Times New Roman" w:cs="Times New Roman" w:eastAsia="Times New Roman" w:hAnsi="Times New Roman"/>
          <w:sz w:val="16"/>
          <w:szCs w:val="16"/>
          <w:b w:val="1"/>
          <w:bCs w:val="1"/>
          <w:color w:val="auto"/>
        </w:rPr>
        <w:t xml:space="preserve"> E</w:t>
      </w:r>
      <w:r>
        <w:rPr>
          <w:rFonts w:ascii="Times New Roman" w:cs="Times New Roman" w:eastAsia="Times New Roman" w:hAnsi="Times New Roman"/>
          <w:sz w:val="10"/>
          <w:szCs w:val="10"/>
          <w:b w:val="1"/>
          <w:bCs w:val="1"/>
          <w:color w:val="auto"/>
        </w:rPr>
        <w:t>mployment</w:t>
      </w:r>
      <w:r>
        <w:rPr>
          <w:rFonts w:ascii="Times New Roman" w:cs="Times New Roman" w:eastAsia="Times New Roman" w:hAnsi="Times New Roman"/>
          <w:sz w:val="16"/>
          <w:szCs w:val="16"/>
          <w:b w:val="1"/>
          <w:bCs w:val="1"/>
          <w:color w:val="auto"/>
        </w:rPr>
        <w:t xml:space="preserve"> A</w:t>
      </w:r>
      <w:r>
        <w:rPr>
          <w:rFonts w:ascii="Times New Roman" w:cs="Times New Roman" w:eastAsia="Times New Roman" w:hAnsi="Times New Roman"/>
          <w:sz w:val="10"/>
          <w:szCs w:val="10"/>
          <w:b w:val="1"/>
          <w:bCs w:val="1"/>
          <w:color w:val="auto"/>
        </w:rPr>
        <w:t>gmt</w:t>
      </w:r>
      <w:r>
        <w:rPr>
          <w:rFonts w:ascii="Times New Roman" w:cs="Times New Roman" w:eastAsia="Times New Roman" w:hAnsi="Times New Roman"/>
          <w:sz w:val="16"/>
          <w:szCs w:val="16"/>
          <w:b w:val="1"/>
          <w:bCs w:val="1"/>
          <w:color w:val="auto"/>
        </w:rPr>
        <w:t xml:space="preserve"> S</w:t>
      </w:r>
      <w:r>
        <w:rPr>
          <w:rFonts w:ascii="Times New Roman" w:cs="Times New Roman" w:eastAsia="Times New Roman" w:hAnsi="Times New Roman"/>
          <w:sz w:val="10"/>
          <w:szCs w:val="10"/>
          <w:b w:val="1"/>
          <w:bCs w:val="1"/>
          <w:color w:val="auto"/>
        </w:rPr>
        <w:t>td</w:t>
      </w:r>
      <w:r>
        <w:rPr>
          <w:rFonts w:ascii="Times New Roman" w:cs="Times New Roman" w:eastAsia="Times New Roman" w:hAnsi="Times New Roman"/>
          <w:sz w:val="16"/>
          <w:szCs w:val="16"/>
          <w:b w:val="1"/>
          <w:bCs w:val="1"/>
          <w:color w:val="auto"/>
        </w:rPr>
        <w:t xml:space="preserve"> 11.1.24</w:t>
      </w:r>
      <w:r>
        <w:rPr>
          <w:sz w:val="20"/>
          <w:szCs w:val="20"/>
          <w:color w:val="auto"/>
        </w:rPr>
        <w:tab/>
      </w:r>
      <w:r>
        <w:rPr>
          <w:rFonts w:ascii="Times New Roman" w:cs="Times New Roman" w:eastAsia="Times New Roman" w:hAnsi="Times New Roman"/>
          <w:sz w:val="16"/>
          <w:szCs w:val="16"/>
          <w:b w:val="1"/>
          <w:bCs w:val="1"/>
          <w:color w:val="auto"/>
        </w:rPr>
        <w:t>A</w:t>
      </w:r>
      <w:r>
        <w:rPr>
          <w:rFonts w:ascii="Times New Roman" w:cs="Times New Roman" w:eastAsia="Times New Roman" w:hAnsi="Times New Roman"/>
          <w:sz w:val="10"/>
          <w:szCs w:val="10"/>
          <w:b w:val="1"/>
          <w:bCs w:val="1"/>
          <w:color w:val="auto"/>
        </w:rPr>
        <w:t>ccuray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11</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NUMPAGES \* Arabic \* MERGEFORMAT 31</w:t>
      </w:r>
    </w:p>
    <w:p>
      <w:pPr>
        <w:spacing w:after="0" w:line="200" w:lineRule="exact"/>
        <w:rPr>
          <w:sz w:val="20"/>
          <w:szCs w:val="20"/>
          <w:color w:val="auto"/>
        </w:rPr>
      </w:pPr>
    </w:p>
    <w:p>
      <w:pPr>
        <w:spacing w:after="0" w:line="24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00171E"/>
        </w:rPr>
        <w:t xml:space="preserve">Company or to persons or entities designated by the Company. Should the Company be unable to secure Executive’s signature on any document necessary to apply for, prosecute, obtain, or enforce any patent, copyright or other right or protection relating to any Invention, whether due to his/her mental or physical incapacity or any other cause, Executive hereby irrevocably designates and appoints the Company and each of its duly authorized officers and agents as Executive’s agent and attorney-in-fact, to act for and in his/her behalf and stead, to execute and file any such document, and to do all other lawfully permitted acts to further the prosecution, issuance, and enforcement of patents, copyrights or other rights or protections with the same force and effect as if executed and delivered by Executive. Executive’s obligations under this </w:t>
      </w:r>
      <w:r>
        <w:rPr>
          <w:rFonts w:ascii="Times New Roman" w:cs="Times New Roman" w:eastAsia="Times New Roman" w:hAnsi="Times New Roman"/>
          <w:sz w:val="20"/>
          <w:szCs w:val="20"/>
          <w:u w:val="single" w:color="auto"/>
          <w:color w:val="00171E"/>
        </w:rPr>
        <w:t>Section 6(b)(ii)</w:t>
      </w:r>
      <w:r>
        <w:rPr>
          <w:rFonts w:ascii="Times New Roman" w:cs="Times New Roman" w:eastAsia="Times New Roman" w:hAnsi="Times New Roman"/>
          <w:sz w:val="20"/>
          <w:szCs w:val="20"/>
          <w:color w:val="00171E"/>
        </w:rPr>
        <w:t xml:space="preserve"> will continue beyond the termination of Executive’s employment with the Company, but the Company will compensate Executive at a reasonable rate after such termination for time actually spent by Executive at the Company’s request in providing such assistance.</w:t>
      </w:r>
    </w:p>
    <w:p>
      <w:pPr>
        <w:spacing w:after="0" w:line="186" w:lineRule="exact"/>
        <w:rPr>
          <w:sz w:val="20"/>
          <w:szCs w:val="20"/>
          <w:color w:val="auto"/>
        </w:rPr>
      </w:pPr>
    </w:p>
    <w:p>
      <w:pPr>
        <w:jc w:val="both"/>
        <w:ind w:firstLine="2246"/>
        <w:spacing w:after="0" w:line="254" w:lineRule="auto"/>
        <w:rPr>
          <w:sz w:val="20"/>
          <w:szCs w:val="20"/>
          <w:color w:val="auto"/>
        </w:rPr>
      </w:pPr>
      <w:r>
        <w:rPr>
          <w:rFonts w:ascii="Times New Roman" w:cs="Times New Roman" w:eastAsia="Times New Roman" w:hAnsi="Times New Roman"/>
          <w:sz w:val="20"/>
          <w:szCs w:val="20"/>
          <w:color w:val="00171E"/>
        </w:rPr>
        <w:t>(iii)Executive hereby acknowledges that all original works of authorship which are made by Executive (solely or jointly with others) within the scope of Executive’s employment which are protectable by copyright are “works for hire,” as that term is defined in the United States Copyright Act (17 USCA, Section 101).</w:t>
      </w:r>
    </w:p>
    <w:p>
      <w:pPr>
        <w:spacing w:after="0" w:line="17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00171E"/>
        </w:rPr>
        <w:t>(iv)Any provision in this Agreement requiring Executive to assign Executive’s rights in any Invention to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171E"/>
        </w:rPr>
        <w:t>Company will not apply to any invention that is exempt under the provisions of California Labor Code section 2870, which provides:</w:t>
      </w:r>
    </w:p>
    <w:p>
      <w:pPr>
        <w:spacing w:after="0" w:line="86" w:lineRule="exact"/>
        <w:rPr>
          <w:sz w:val="20"/>
          <w:szCs w:val="20"/>
          <w:color w:val="auto"/>
        </w:rPr>
      </w:pPr>
    </w:p>
    <w:p>
      <w:pPr>
        <w:jc w:val="both"/>
        <w:ind w:left="1500" w:right="1500"/>
        <w:spacing w:after="0" w:line="242" w:lineRule="auto"/>
        <w:rPr>
          <w:sz w:val="20"/>
          <w:szCs w:val="20"/>
          <w:color w:val="auto"/>
        </w:rPr>
      </w:pPr>
      <w:r>
        <w:rPr>
          <w:rFonts w:ascii="Times New Roman" w:cs="Times New Roman" w:eastAsia="Times New Roman" w:hAnsi="Times New Roman"/>
          <w:sz w:val="20"/>
          <w:szCs w:val="20"/>
          <w:color w:val="00171E"/>
        </w:rPr>
        <w:t>“(a) Any provision in an employment agreement which provides that an employee shall assign, or offer to assign, any of his or her rights in an invention to his or her employer shall not apply to an invention that the employee developed entirely on his or her own time without using the employer’s equipment, supplies, facilities, or trade secret information except for those inventions that either: (1) relate at the time of conception or reduction to practice of the invention to the employer’s business, or actual or demonstrably anticipated research or development of the employer; or (2) result from any work performed by the employee for the employer. (b) To the extent a provision in an employment agreement purports to require an employee to assign an invention otherwise excluded from being required to be assigned under subdivision (a), the provision is against the public policy of this state and is unenforceable.”</w:t>
      </w:r>
    </w:p>
    <w:p>
      <w:pPr>
        <w:spacing w:after="0" w:line="84" w:lineRule="exact"/>
        <w:rPr>
          <w:sz w:val="20"/>
          <w:szCs w:val="20"/>
          <w:color w:val="auto"/>
        </w:rPr>
      </w:pPr>
    </w:p>
    <w:p>
      <w:pPr>
        <w:jc w:val="both"/>
        <w:ind w:firstLine="1505"/>
        <w:spacing w:after="0" w:line="242" w:lineRule="auto"/>
        <w:tabs>
          <w:tab w:leader="none" w:pos="2036" w:val="left"/>
        </w:tabs>
        <w:numPr>
          <w:ilvl w:val="0"/>
          <w:numId w:val="157"/>
        </w:numPr>
        <w:rPr>
          <w:rFonts w:ascii="Times New Roman" w:cs="Times New Roman" w:eastAsia="Times New Roman" w:hAnsi="Times New Roman"/>
          <w:sz w:val="20"/>
          <w:szCs w:val="20"/>
          <w:u w:val="single" w:color="auto"/>
          <w:color w:val="00171E"/>
        </w:rPr>
      </w:pPr>
      <w:r>
        <w:rPr>
          <w:rFonts w:ascii="Times New Roman" w:cs="Times New Roman" w:eastAsia="Times New Roman" w:hAnsi="Times New Roman"/>
          <w:sz w:val="20"/>
          <w:szCs w:val="20"/>
          <w:u w:val="single" w:color="auto"/>
          <w:color w:val="00171E"/>
        </w:rPr>
        <w:t>Non-Solicitation of Customers and Other Business Partners</w:t>
      </w:r>
      <w:r>
        <w:rPr>
          <w:rFonts w:ascii="Times New Roman" w:cs="Times New Roman" w:eastAsia="Times New Roman" w:hAnsi="Times New Roman"/>
          <w:sz w:val="20"/>
          <w:szCs w:val="20"/>
          <w:color w:val="00171E"/>
        </w:rPr>
        <w:t xml:space="preserve">. Executive recognizes that by virtue of his/her employment with the Company, he/she will be introduced to and involved in the solicitation and servicing of existing customers and other business partners of the Company and new customers and business partners obtained by the Company during his/her employment. Executive understands and agrees that all efforts expended in soliciting and servicing such customers and business partners shall be for the benefit of the Company. Executive further agrees that during his/her employment with the Company he/she will not engage in any conduct which could in any way jeopardize or disturb any of the customer and business partner relationships of the Company. In addition, to the extent permitted under applicable law, Executive agrees that, for a period beginning on the Effective Date and ending twelve (12) months after termination of Executive’s employment with the Company, regardless of the reason for such termination, Executive </w:t>
      </w:r>
      <w:r>
        <w:rPr>
          <w:rFonts w:ascii="Times New Roman" w:cs="Times New Roman" w:eastAsia="Times New Roman" w:hAnsi="Times New Roman"/>
          <w:sz w:val="20"/>
          <w:szCs w:val="20"/>
          <w:b w:val="1"/>
          <w:bCs w:val="1"/>
          <w:color w:val="00171E"/>
        </w:rPr>
        <w:t>shall not use any</w:t>
      </w:r>
      <w:r>
        <w:rPr>
          <w:rFonts w:ascii="Times New Roman" w:cs="Times New Roman" w:eastAsia="Times New Roman" w:hAnsi="Times New Roman"/>
          <w:sz w:val="20"/>
          <w:szCs w:val="20"/>
          <w:color w:val="00171E"/>
        </w:rPr>
        <w:t xml:space="preserve"> </w:t>
      </w:r>
      <w:r>
        <w:rPr>
          <w:rFonts w:ascii="Times New Roman" w:cs="Times New Roman" w:eastAsia="Times New Roman" w:hAnsi="Times New Roman"/>
          <w:sz w:val="20"/>
          <w:szCs w:val="20"/>
          <w:b w:val="1"/>
          <w:bCs w:val="1"/>
          <w:color w:val="00171E"/>
        </w:rPr>
        <w:t>Proprietary Information to</w:t>
      </w:r>
      <w:r>
        <w:rPr>
          <w:rFonts w:ascii="Times New Roman" w:cs="Times New Roman" w:eastAsia="Times New Roman" w:hAnsi="Times New Roman"/>
          <w:sz w:val="20"/>
          <w:szCs w:val="20"/>
          <w:color w:val="00171E"/>
        </w:rPr>
        <w:t>, directly or indirectly, solicit, direct, interfere with, or entice away from the Company any existing customer,</w:t>
      </w:r>
      <w:r>
        <w:rPr>
          <w:rFonts w:ascii="Times New Roman" w:cs="Times New Roman" w:eastAsia="Times New Roman" w:hAnsi="Times New Roman"/>
          <w:sz w:val="20"/>
          <w:szCs w:val="20"/>
          <w:b w:val="1"/>
          <w:bCs w:val="1"/>
          <w:color w:val="00171E"/>
        </w:rPr>
        <w:t xml:space="preserve"> </w:t>
      </w:r>
      <w:r>
        <w:rPr>
          <w:rFonts w:ascii="Times New Roman" w:cs="Times New Roman" w:eastAsia="Times New Roman" w:hAnsi="Times New Roman"/>
          <w:sz w:val="20"/>
          <w:szCs w:val="20"/>
          <w:color w:val="00171E"/>
        </w:rPr>
        <w:t>licensee, licensor, vendor, contractor or distributor of the Company or for the customer or other business partner to expand its business with a competitor, without the prior written consent of the Company.</w:t>
      </w:r>
    </w:p>
    <w:p>
      <w:pPr>
        <w:spacing w:after="0" w:line="189" w:lineRule="exact"/>
        <w:rPr>
          <w:rFonts w:ascii="Times New Roman" w:cs="Times New Roman" w:eastAsia="Times New Roman" w:hAnsi="Times New Roman"/>
          <w:sz w:val="20"/>
          <w:szCs w:val="20"/>
          <w:u w:val="single" w:color="auto"/>
          <w:color w:val="00171E"/>
        </w:rPr>
      </w:pPr>
    </w:p>
    <w:p>
      <w:pPr>
        <w:ind w:firstLine="1505"/>
        <w:spacing w:after="0" w:line="269" w:lineRule="auto"/>
        <w:tabs>
          <w:tab w:leader="none" w:pos="2036" w:val="left"/>
        </w:tabs>
        <w:numPr>
          <w:ilvl w:val="0"/>
          <w:numId w:val="157"/>
        </w:numPr>
        <w:rPr>
          <w:rFonts w:ascii="Times New Roman" w:cs="Times New Roman" w:eastAsia="Times New Roman" w:hAnsi="Times New Roman"/>
          <w:sz w:val="20"/>
          <w:szCs w:val="20"/>
          <w:u w:val="single" w:color="auto"/>
          <w:color w:val="00171E"/>
        </w:rPr>
      </w:pPr>
      <w:r>
        <w:rPr>
          <w:rFonts w:ascii="Times New Roman" w:cs="Times New Roman" w:eastAsia="Times New Roman" w:hAnsi="Times New Roman"/>
          <w:sz w:val="20"/>
          <w:szCs w:val="20"/>
          <w:u w:val="single" w:color="auto"/>
          <w:color w:val="00171E"/>
        </w:rPr>
        <w:t>Non-Solicitation of Employees</w:t>
      </w:r>
      <w:r>
        <w:rPr>
          <w:rFonts w:ascii="Times New Roman" w:cs="Times New Roman" w:eastAsia="Times New Roman" w:hAnsi="Times New Roman"/>
          <w:sz w:val="20"/>
          <w:szCs w:val="20"/>
          <w:color w:val="00171E"/>
        </w:rPr>
        <w:t>. Executive recognizes the substantial expenditure of time and effort which the Company devotes to the recruitment, hiring, orientation, training and retention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171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8"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6"/>
          <w:szCs w:val="16"/>
          <w:b w:val="1"/>
          <w:bCs w:val="1"/>
          <w:color w:val="auto"/>
        </w:rPr>
        <w:t>E</w:t>
      </w:r>
      <w:r>
        <w:rPr>
          <w:rFonts w:ascii="Times New Roman" w:cs="Times New Roman" w:eastAsia="Times New Roman" w:hAnsi="Times New Roman"/>
          <w:sz w:val="10"/>
          <w:szCs w:val="10"/>
          <w:b w:val="1"/>
          <w:bCs w:val="1"/>
          <w:color w:val="auto"/>
        </w:rPr>
        <w:t>xecutive</w:t>
      </w:r>
      <w:r>
        <w:rPr>
          <w:rFonts w:ascii="Times New Roman" w:cs="Times New Roman" w:eastAsia="Times New Roman" w:hAnsi="Times New Roman"/>
          <w:sz w:val="16"/>
          <w:szCs w:val="16"/>
          <w:b w:val="1"/>
          <w:bCs w:val="1"/>
          <w:color w:val="auto"/>
        </w:rPr>
        <w:t xml:space="preserve"> E</w:t>
      </w:r>
      <w:r>
        <w:rPr>
          <w:rFonts w:ascii="Times New Roman" w:cs="Times New Roman" w:eastAsia="Times New Roman" w:hAnsi="Times New Roman"/>
          <w:sz w:val="10"/>
          <w:szCs w:val="10"/>
          <w:b w:val="1"/>
          <w:bCs w:val="1"/>
          <w:color w:val="auto"/>
        </w:rPr>
        <w:t>mployment</w:t>
      </w:r>
      <w:r>
        <w:rPr>
          <w:rFonts w:ascii="Times New Roman" w:cs="Times New Roman" w:eastAsia="Times New Roman" w:hAnsi="Times New Roman"/>
          <w:sz w:val="16"/>
          <w:szCs w:val="16"/>
          <w:b w:val="1"/>
          <w:bCs w:val="1"/>
          <w:color w:val="auto"/>
        </w:rPr>
        <w:t xml:space="preserve"> A</w:t>
      </w:r>
      <w:r>
        <w:rPr>
          <w:rFonts w:ascii="Times New Roman" w:cs="Times New Roman" w:eastAsia="Times New Roman" w:hAnsi="Times New Roman"/>
          <w:sz w:val="10"/>
          <w:szCs w:val="10"/>
          <w:b w:val="1"/>
          <w:bCs w:val="1"/>
          <w:color w:val="auto"/>
        </w:rPr>
        <w:t>gmt</w:t>
      </w:r>
      <w:r>
        <w:rPr>
          <w:rFonts w:ascii="Times New Roman" w:cs="Times New Roman" w:eastAsia="Times New Roman" w:hAnsi="Times New Roman"/>
          <w:sz w:val="16"/>
          <w:szCs w:val="16"/>
          <w:b w:val="1"/>
          <w:bCs w:val="1"/>
          <w:color w:val="auto"/>
        </w:rPr>
        <w:t xml:space="preserve"> S</w:t>
      </w:r>
      <w:r>
        <w:rPr>
          <w:rFonts w:ascii="Times New Roman" w:cs="Times New Roman" w:eastAsia="Times New Roman" w:hAnsi="Times New Roman"/>
          <w:sz w:val="10"/>
          <w:szCs w:val="10"/>
          <w:b w:val="1"/>
          <w:bCs w:val="1"/>
          <w:color w:val="auto"/>
        </w:rPr>
        <w:t>td</w:t>
      </w:r>
      <w:r>
        <w:rPr>
          <w:rFonts w:ascii="Times New Roman" w:cs="Times New Roman" w:eastAsia="Times New Roman" w:hAnsi="Times New Roman"/>
          <w:sz w:val="16"/>
          <w:szCs w:val="16"/>
          <w:b w:val="1"/>
          <w:bCs w:val="1"/>
          <w:color w:val="auto"/>
        </w:rPr>
        <w:t xml:space="preserve"> 11.1.24</w:t>
      </w:r>
      <w:r>
        <w:rPr>
          <w:sz w:val="20"/>
          <w:szCs w:val="20"/>
          <w:color w:val="auto"/>
        </w:rPr>
        <w:tab/>
      </w:r>
      <w:r>
        <w:rPr>
          <w:rFonts w:ascii="Times New Roman" w:cs="Times New Roman" w:eastAsia="Times New Roman" w:hAnsi="Times New Roman"/>
          <w:sz w:val="16"/>
          <w:szCs w:val="16"/>
          <w:b w:val="1"/>
          <w:bCs w:val="1"/>
          <w:color w:val="auto"/>
        </w:rPr>
        <w:t>A</w:t>
      </w:r>
      <w:r>
        <w:rPr>
          <w:rFonts w:ascii="Times New Roman" w:cs="Times New Roman" w:eastAsia="Times New Roman" w:hAnsi="Times New Roman"/>
          <w:sz w:val="10"/>
          <w:szCs w:val="10"/>
          <w:b w:val="1"/>
          <w:bCs w:val="1"/>
          <w:color w:val="auto"/>
        </w:rPr>
        <w:t>ccuray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12</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NUMPAGES \* Arabic \* MERGEFORMAT 31</w:t>
      </w:r>
    </w:p>
    <w:p>
      <w:pPr>
        <w:spacing w:after="0" w:line="200" w:lineRule="exact"/>
        <w:rPr>
          <w:sz w:val="20"/>
          <w:szCs w:val="20"/>
          <w:color w:val="auto"/>
        </w:rPr>
      </w:pPr>
    </w:p>
    <w:p>
      <w:pPr>
        <w:spacing w:after="0" w:line="24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00171E"/>
        </w:rPr>
        <w:t xml:space="preserve">of its employees. Accordingly, Executive agrees that, for a period beginning on the Effective Date and ending twelve (12) months after termination of Executive’s employment with the Company, regardless of the reason for such termination, Executive </w:t>
      </w:r>
      <w:r>
        <w:rPr>
          <w:rFonts w:ascii="Times New Roman" w:cs="Times New Roman" w:eastAsia="Times New Roman" w:hAnsi="Times New Roman"/>
          <w:sz w:val="20"/>
          <w:szCs w:val="20"/>
          <w:b w:val="1"/>
          <w:bCs w:val="1"/>
          <w:color w:val="00171E"/>
        </w:rPr>
        <w:t>shall not use any</w:t>
      </w:r>
      <w:r>
        <w:rPr>
          <w:rFonts w:ascii="Times New Roman" w:cs="Times New Roman" w:eastAsia="Times New Roman" w:hAnsi="Times New Roman"/>
          <w:sz w:val="20"/>
          <w:szCs w:val="20"/>
          <w:color w:val="00171E"/>
        </w:rPr>
        <w:t xml:space="preserve"> </w:t>
      </w:r>
      <w:r>
        <w:rPr>
          <w:rFonts w:ascii="Times New Roman" w:cs="Times New Roman" w:eastAsia="Times New Roman" w:hAnsi="Times New Roman"/>
          <w:sz w:val="20"/>
          <w:szCs w:val="20"/>
          <w:b w:val="1"/>
          <w:bCs w:val="1"/>
          <w:color w:val="00171E"/>
        </w:rPr>
        <w:t>Proprietary Information to</w:t>
      </w:r>
      <w:r>
        <w:rPr>
          <w:rFonts w:ascii="Times New Roman" w:cs="Times New Roman" w:eastAsia="Times New Roman" w:hAnsi="Times New Roman"/>
          <w:sz w:val="20"/>
          <w:szCs w:val="20"/>
          <w:color w:val="00171E"/>
        </w:rPr>
        <w:t>, directly or indirectly, for himself or on behalf of any other person or entity, solicit, offer employment to, hire or</w:t>
      </w:r>
      <w:r>
        <w:rPr>
          <w:rFonts w:ascii="Times New Roman" w:cs="Times New Roman" w:eastAsia="Times New Roman" w:hAnsi="Times New Roman"/>
          <w:sz w:val="20"/>
          <w:szCs w:val="20"/>
          <w:b w:val="1"/>
          <w:bCs w:val="1"/>
          <w:color w:val="00171E"/>
        </w:rPr>
        <w:t xml:space="preserve"> </w:t>
      </w:r>
      <w:r>
        <w:rPr>
          <w:rFonts w:ascii="Times New Roman" w:cs="Times New Roman" w:eastAsia="Times New Roman" w:hAnsi="Times New Roman"/>
          <w:sz w:val="20"/>
          <w:szCs w:val="20"/>
          <w:color w:val="00171E"/>
        </w:rPr>
        <w:t>otherwise retain the services of any employee of the Company in a position classified as exempt from overtime pay requirements. For purposes of the foregoing, “employee of the Company” shall include any person who was an employee of the Company at any time within six (6) months prior to the prohibited conduct.</w:t>
      </w:r>
    </w:p>
    <w:p>
      <w:pPr>
        <w:spacing w:after="0" w:line="184" w:lineRule="exact"/>
        <w:rPr>
          <w:sz w:val="20"/>
          <w:szCs w:val="20"/>
          <w:color w:val="auto"/>
        </w:rPr>
      </w:pPr>
    </w:p>
    <w:p>
      <w:pPr>
        <w:ind w:left="2040" w:hanging="535"/>
        <w:spacing w:after="0"/>
        <w:tabs>
          <w:tab w:leader="none" w:pos="2040" w:val="left"/>
        </w:tabs>
        <w:numPr>
          <w:ilvl w:val="0"/>
          <w:numId w:val="158"/>
        </w:numPr>
        <w:rPr>
          <w:rFonts w:ascii="Times New Roman" w:cs="Times New Roman" w:eastAsia="Times New Roman" w:hAnsi="Times New Roman"/>
          <w:sz w:val="20"/>
          <w:szCs w:val="20"/>
          <w:u w:val="single" w:color="auto"/>
          <w:color w:val="00171E"/>
        </w:rPr>
      </w:pPr>
      <w:r>
        <w:rPr>
          <w:rFonts w:ascii="Times New Roman" w:cs="Times New Roman" w:eastAsia="Times New Roman" w:hAnsi="Times New Roman"/>
          <w:sz w:val="20"/>
          <w:szCs w:val="20"/>
          <w:u w:val="single" w:color="auto"/>
          <w:color w:val="00171E"/>
        </w:rPr>
        <w:t>Company Property and Materials</w:t>
      </w:r>
      <w:r>
        <w:rPr>
          <w:rFonts w:ascii="Times New Roman" w:cs="Times New Roman" w:eastAsia="Times New Roman" w:hAnsi="Times New Roman"/>
          <w:sz w:val="20"/>
          <w:szCs w:val="20"/>
          <w:color w:val="00171E"/>
        </w:rPr>
        <w:t>.</w:t>
      </w:r>
    </w:p>
    <w:p>
      <w:pPr>
        <w:spacing w:after="0" w:line="215" w:lineRule="exact"/>
        <w:rPr>
          <w:rFonts w:ascii="Times New Roman" w:cs="Times New Roman" w:eastAsia="Times New Roman" w:hAnsi="Times New Roman"/>
          <w:sz w:val="20"/>
          <w:szCs w:val="20"/>
          <w:u w:val="single" w:color="auto"/>
          <w:color w:val="00171E"/>
        </w:rPr>
      </w:pPr>
    </w:p>
    <w:p>
      <w:pPr>
        <w:jc w:val="both"/>
        <w:ind w:firstLine="2254"/>
        <w:spacing w:after="0" w:line="249" w:lineRule="auto"/>
        <w:tabs>
          <w:tab w:leader="none" w:pos="2546" w:val="left"/>
        </w:tabs>
        <w:numPr>
          <w:ilvl w:val="1"/>
          <w:numId w:val="158"/>
        </w:numPr>
        <w:rPr>
          <w:rFonts w:ascii="Times New Roman" w:cs="Times New Roman" w:eastAsia="Times New Roman" w:hAnsi="Times New Roman"/>
          <w:sz w:val="20"/>
          <w:szCs w:val="20"/>
          <w:color w:val="00171E"/>
        </w:rPr>
      </w:pPr>
      <w:r>
        <w:rPr>
          <w:rFonts w:ascii="Times New Roman" w:cs="Times New Roman" w:eastAsia="Times New Roman" w:hAnsi="Times New Roman"/>
          <w:sz w:val="20"/>
          <w:szCs w:val="20"/>
          <w:color w:val="00171E"/>
        </w:rPr>
        <w:t>All files, records, documents, computer-recorded or electronic information, drawings, specifications, equipment, and similar items relating to Company business, whether prepared by Executive or otherwise coming into his/her possession, will remain the Company’s exclusive property and will not be removed from Company premises under any circumstances whatsoever without the Company’s prior written consent, except when, and only for the period, necessary to carry out Executive’s duties hereunder</w:t>
      </w:r>
    </w:p>
    <w:p>
      <w:pPr>
        <w:spacing w:after="0" w:line="179" w:lineRule="exact"/>
        <w:rPr>
          <w:rFonts w:ascii="Times New Roman" w:cs="Times New Roman" w:eastAsia="Times New Roman" w:hAnsi="Times New Roman"/>
          <w:sz w:val="20"/>
          <w:szCs w:val="20"/>
          <w:color w:val="00171E"/>
        </w:rPr>
      </w:pPr>
    </w:p>
    <w:p>
      <w:pPr>
        <w:jc w:val="both"/>
        <w:ind w:firstLine="2254"/>
        <w:spacing w:after="0" w:line="243" w:lineRule="auto"/>
        <w:tabs>
          <w:tab w:leader="none" w:pos="2546" w:val="left"/>
        </w:tabs>
        <w:numPr>
          <w:ilvl w:val="1"/>
          <w:numId w:val="158"/>
        </w:numPr>
        <w:rPr>
          <w:rFonts w:ascii="Times New Roman" w:cs="Times New Roman" w:eastAsia="Times New Roman" w:hAnsi="Times New Roman"/>
          <w:sz w:val="20"/>
          <w:szCs w:val="20"/>
          <w:color w:val="00171E"/>
        </w:rPr>
      </w:pPr>
      <w:r>
        <w:rPr>
          <w:rFonts w:ascii="Times New Roman" w:cs="Times New Roman" w:eastAsia="Times New Roman" w:hAnsi="Times New Roman"/>
          <w:sz w:val="20"/>
          <w:szCs w:val="20"/>
          <w:color w:val="00171E"/>
        </w:rPr>
        <w:t>In the event of termination of Executive’s employment for any reason, Executive will promptly deliver to the Company all Company equipment (including, without limitation, any cellular phones, beeper/pagers, computer hardware and software, fax machines and other tools of the trade) and all originals and copies of all documents, including without limitation, all books, customer lists, forms, documents supplied by customers, records, product lists, writings, manuals, reports, financial documents and other documents or property in Executive’s possession or control, which relate to the Company’s business in any way whatsoever, and in particular to customers of the Company, or which may be considered to constitute or contain Proprietary Information as defined above, and Executive will neither retain, reproduce, nor distribute copies thereof (other than copies of Executive’s electronic or hardcopy address and telephone contact data base or directories). Notwithstanding the foregoing, Executive shall be allowed to retain a copy of the Employee Handbook and personnel records relating to Executive’s employment.</w:t>
      </w:r>
    </w:p>
    <w:p>
      <w:pPr>
        <w:spacing w:after="0" w:line="185" w:lineRule="exact"/>
        <w:rPr>
          <w:rFonts w:ascii="Times New Roman" w:cs="Times New Roman" w:eastAsia="Times New Roman" w:hAnsi="Times New Roman"/>
          <w:sz w:val="20"/>
          <w:szCs w:val="20"/>
          <w:color w:val="00171E"/>
        </w:rPr>
      </w:pPr>
    </w:p>
    <w:p>
      <w:pPr>
        <w:jc w:val="both"/>
        <w:ind w:firstLine="1505"/>
        <w:spacing w:after="0" w:line="241" w:lineRule="auto"/>
        <w:tabs>
          <w:tab w:leader="none" w:pos="2036" w:val="left"/>
        </w:tabs>
        <w:numPr>
          <w:ilvl w:val="0"/>
          <w:numId w:val="158"/>
        </w:numPr>
        <w:rPr>
          <w:rFonts w:ascii="Times New Roman" w:cs="Times New Roman" w:eastAsia="Times New Roman" w:hAnsi="Times New Roman"/>
          <w:sz w:val="20"/>
          <w:szCs w:val="20"/>
          <w:u w:val="single" w:color="auto"/>
          <w:color w:val="00171E"/>
        </w:rPr>
      </w:pPr>
      <w:r>
        <w:rPr>
          <w:rFonts w:ascii="Times New Roman" w:cs="Times New Roman" w:eastAsia="Times New Roman" w:hAnsi="Times New Roman"/>
          <w:sz w:val="20"/>
          <w:szCs w:val="20"/>
          <w:u w:val="single" w:color="auto"/>
          <w:color w:val="00171E"/>
        </w:rPr>
        <w:t>Remedies for Breach</w:t>
      </w:r>
      <w:r>
        <w:rPr>
          <w:rFonts w:ascii="Times New Roman" w:cs="Times New Roman" w:eastAsia="Times New Roman" w:hAnsi="Times New Roman"/>
          <w:sz w:val="20"/>
          <w:szCs w:val="20"/>
          <w:color w:val="00171E"/>
        </w:rPr>
        <w:t xml:space="preserve">. Executive acknowledges that any breach by Executive of this </w:t>
      </w:r>
      <w:r>
        <w:rPr>
          <w:rFonts w:ascii="Times New Roman" w:cs="Times New Roman" w:eastAsia="Times New Roman" w:hAnsi="Times New Roman"/>
          <w:sz w:val="20"/>
          <w:szCs w:val="20"/>
          <w:u w:val="single" w:color="auto"/>
          <w:color w:val="00171E"/>
        </w:rPr>
        <w:t>Section 6</w:t>
      </w:r>
      <w:r>
        <w:rPr>
          <w:rFonts w:ascii="Times New Roman" w:cs="Times New Roman" w:eastAsia="Times New Roman" w:hAnsi="Times New Roman"/>
          <w:sz w:val="20"/>
          <w:szCs w:val="20"/>
          <w:color w:val="00171E"/>
        </w:rPr>
        <w:t xml:space="preserve"> would cause the Company irreparable injury and damage for which monetary damages are inadequate. Accordingly, in the event of a breach or a threatened breach of this </w:t>
      </w:r>
      <w:r>
        <w:rPr>
          <w:rFonts w:ascii="Times New Roman" w:cs="Times New Roman" w:eastAsia="Times New Roman" w:hAnsi="Times New Roman"/>
          <w:sz w:val="20"/>
          <w:szCs w:val="20"/>
          <w:u w:val="single" w:color="auto"/>
          <w:color w:val="00171E"/>
        </w:rPr>
        <w:t>Section 6</w:t>
      </w:r>
      <w:r>
        <w:rPr>
          <w:rFonts w:ascii="Times New Roman" w:cs="Times New Roman" w:eastAsia="Times New Roman" w:hAnsi="Times New Roman"/>
          <w:sz w:val="20"/>
          <w:szCs w:val="20"/>
          <w:color w:val="00171E"/>
        </w:rPr>
        <w:t xml:space="preserve">, the Company will be entitled to seek an injunction restraining such breach. In addition, in the event of a breach of this </w:t>
      </w:r>
      <w:r>
        <w:rPr>
          <w:rFonts w:ascii="Times New Roman" w:cs="Times New Roman" w:eastAsia="Times New Roman" w:hAnsi="Times New Roman"/>
          <w:sz w:val="20"/>
          <w:szCs w:val="20"/>
          <w:u w:val="single" w:color="auto"/>
          <w:color w:val="00171E"/>
        </w:rPr>
        <w:t>Section 6</w:t>
      </w:r>
      <w:r>
        <w:rPr>
          <w:rFonts w:ascii="Times New Roman" w:cs="Times New Roman" w:eastAsia="Times New Roman" w:hAnsi="Times New Roman"/>
          <w:sz w:val="20"/>
          <w:szCs w:val="20"/>
          <w:color w:val="00171E"/>
        </w:rPr>
        <w:t xml:space="preserve">, the Company’s obligation to pay any unpaid portion of the Severance Benefits, the Enhanced Severance Benefits, or the Termination Notice Replacement Payments of this Agreement will be extinguished. Nothing contained herein will be construed as prohibiting the Company from pursuing any other remedy available to the Company for such breach or such threatened breach. Executive has carefully read and considered these restrictions and agrees they are fair and reasonable restrictions on Executive and are reasonably required for the protection of the interests of the Company. Executive agrees not to circumvent the spirit of these restrictions by attempting to accomplish indirectly what Executive is otherwise restricted from doing directly. Executive agrees that the restrictions in this </w:t>
      </w:r>
      <w:r>
        <w:rPr>
          <w:rFonts w:ascii="Times New Roman" w:cs="Times New Roman" w:eastAsia="Times New Roman" w:hAnsi="Times New Roman"/>
          <w:sz w:val="20"/>
          <w:szCs w:val="20"/>
          <w:u w:val="single" w:color="auto"/>
          <w:color w:val="00171E"/>
        </w:rPr>
        <w:t>Section 6</w:t>
      </w:r>
      <w:r>
        <w:rPr>
          <w:rFonts w:ascii="Times New Roman" w:cs="Times New Roman" w:eastAsia="Times New Roman" w:hAnsi="Times New Roman"/>
          <w:sz w:val="20"/>
          <w:szCs w:val="20"/>
          <w:color w:val="00171E"/>
        </w:rPr>
        <w:t xml:space="preserve"> are reasonable and necessary to protect the Company’s Proprietary Information, and they do not prevent Executive from working in the medical device industry. Executive agrees that the covenants and agreements by Executive contained in this </w:t>
      </w:r>
      <w:r>
        <w:rPr>
          <w:rFonts w:ascii="Times New Roman" w:cs="Times New Roman" w:eastAsia="Times New Roman" w:hAnsi="Times New Roman"/>
          <w:sz w:val="20"/>
          <w:szCs w:val="20"/>
          <w:u w:val="single" w:color="auto"/>
          <w:color w:val="00171E"/>
        </w:rPr>
        <w:t>Section 6</w:t>
      </w:r>
      <w:r>
        <w:rPr>
          <w:rFonts w:ascii="Times New Roman" w:cs="Times New Roman" w:eastAsia="Times New Roman" w:hAnsi="Times New Roman"/>
          <w:sz w:val="20"/>
          <w:szCs w:val="20"/>
          <w:color w:val="00171E"/>
        </w:rPr>
        <w:t xml:space="preserve"> shall be in addition to any other agreements and covenants Executive may have agreed to in any other employee proprietary information, confidentiality, non-disclosure or other similar agreement and that this </w:t>
      </w:r>
      <w:r>
        <w:rPr>
          <w:rFonts w:ascii="Times New Roman" w:cs="Times New Roman" w:eastAsia="Times New Roman" w:hAnsi="Times New Roman"/>
          <w:sz w:val="20"/>
          <w:szCs w:val="20"/>
          <w:u w:val="single" w:color="auto"/>
          <w:color w:val="00171E"/>
        </w:rPr>
        <w:t>Section 6</w:t>
      </w:r>
      <w:r>
        <w:rPr>
          <w:rFonts w:ascii="Times New Roman" w:cs="Times New Roman" w:eastAsia="Times New Roman" w:hAnsi="Times New Roman"/>
          <w:sz w:val="20"/>
          <w:szCs w:val="20"/>
          <w:color w:val="00171E"/>
        </w:rPr>
        <w:t xml:space="preserve"> shall not be deemed to limit such other covenants and agreements, all of which shall continue to survive the termination of this Agreement in accordance with their respective terms. A breach by Executive of the terms of such other agreements and covenants shall be deemed to be a breach by Executive of this </w:t>
      </w:r>
      <w:r>
        <w:rPr>
          <w:rFonts w:ascii="Times New Roman" w:cs="Times New Roman" w:eastAsia="Times New Roman" w:hAnsi="Times New Roman"/>
          <w:sz w:val="20"/>
          <w:szCs w:val="20"/>
          <w:u w:val="single" w:color="auto"/>
          <w:color w:val="00171E"/>
        </w:rPr>
        <w:t>Section 6</w:t>
      </w:r>
      <w:r>
        <w:rPr>
          <w:rFonts w:ascii="Times New Roman" w:cs="Times New Roman" w:eastAsia="Times New Roman" w:hAnsi="Times New Roman"/>
          <w:sz w:val="20"/>
          <w:szCs w:val="20"/>
          <w:color w:val="00171E"/>
        </w:rPr>
        <w:t xml:space="preserve"> and of this Agreement.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198120</wp:posOffset>
            </wp:positionV>
            <wp:extent cx="7132320" cy="171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3"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6"/>
          <w:szCs w:val="16"/>
          <w:b w:val="1"/>
          <w:bCs w:val="1"/>
          <w:color w:val="auto"/>
        </w:rPr>
        <w:t>E</w:t>
      </w:r>
      <w:r>
        <w:rPr>
          <w:rFonts w:ascii="Times New Roman" w:cs="Times New Roman" w:eastAsia="Times New Roman" w:hAnsi="Times New Roman"/>
          <w:sz w:val="10"/>
          <w:szCs w:val="10"/>
          <w:b w:val="1"/>
          <w:bCs w:val="1"/>
          <w:color w:val="auto"/>
        </w:rPr>
        <w:t>xecutive</w:t>
      </w:r>
      <w:r>
        <w:rPr>
          <w:rFonts w:ascii="Times New Roman" w:cs="Times New Roman" w:eastAsia="Times New Roman" w:hAnsi="Times New Roman"/>
          <w:sz w:val="16"/>
          <w:szCs w:val="16"/>
          <w:b w:val="1"/>
          <w:bCs w:val="1"/>
          <w:color w:val="auto"/>
        </w:rPr>
        <w:t xml:space="preserve"> E</w:t>
      </w:r>
      <w:r>
        <w:rPr>
          <w:rFonts w:ascii="Times New Roman" w:cs="Times New Roman" w:eastAsia="Times New Roman" w:hAnsi="Times New Roman"/>
          <w:sz w:val="10"/>
          <w:szCs w:val="10"/>
          <w:b w:val="1"/>
          <w:bCs w:val="1"/>
          <w:color w:val="auto"/>
        </w:rPr>
        <w:t>mployment</w:t>
      </w:r>
      <w:r>
        <w:rPr>
          <w:rFonts w:ascii="Times New Roman" w:cs="Times New Roman" w:eastAsia="Times New Roman" w:hAnsi="Times New Roman"/>
          <w:sz w:val="16"/>
          <w:szCs w:val="16"/>
          <w:b w:val="1"/>
          <w:bCs w:val="1"/>
          <w:color w:val="auto"/>
        </w:rPr>
        <w:t xml:space="preserve"> A</w:t>
      </w:r>
      <w:r>
        <w:rPr>
          <w:rFonts w:ascii="Times New Roman" w:cs="Times New Roman" w:eastAsia="Times New Roman" w:hAnsi="Times New Roman"/>
          <w:sz w:val="10"/>
          <w:szCs w:val="10"/>
          <w:b w:val="1"/>
          <w:bCs w:val="1"/>
          <w:color w:val="auto"/>
        </w:rPr>
        <w:t>gmt</w:t>
      </w:r>
      <w:r>
        <w:rPr>
          <w:rFonts w:ascii="Times New Roman" w:cs="Times New Roman" w:eastAsia="Times New Roman" w:hAnsi="Times New Roman"/>
          <w:sz w:val="16"/>
          <w:szCs w:val="16"/>
          <w:b w:val="1"/>
          <w:bCs w:val="1"/>
          <w:color w:val="auto"/>
        </w:rPr>
        <w:t xml:space="preserve"> S</w:t>
      </w:r>
      <w:r>
        <w:rPr>
          <w:rFonts w:ascii="Times New Roman" w:cs="Times New Roman" w:eastAsia="Times New Roman" w:hAnsi="Times New Roman"/>
          <w:sz w:val="10"/>
          <w:szCs w:val="10"/>
          <w:b w:val="1"/>
          <w:bCs w:val="1"/>
          <w:color w:val="auto"/>
        </w:rPr>
        <w:t>td</w:t>
      </w:r>
      <w:r>
        <w:rPr>
          <w:rFonts w:ascii="Times New Roman" w:cs="Times New Roman" w:eastAsia="Times New Roman" w:hAnsi="Times New Roman"/>
          <w:sz w:val="16"/>
          <w:szCs w:val="16"/>
          <w:b w:val="1"/>
          <w:bCs w:val="1"/>
          <w:color w:val="auto"/>
        </w:rPr>
        <w:t xml:space="preserve"> 11.1.24</w:t>
      </w:r>
      <w:r>
        <w:rPr>
          <w:sz w:val="20"/>
          <w:szCs w:val="20"/>
          <w:color w:val="auto"/>
        </w:rPr>
        <w:tab/>
      </w:r>
      <w:r>
        <w:rPr>
          <w:rFonts w:ascii="Times New Roman" w:cs="Times New Roman" w:eastAsia="Times New Roman" w:hAnsi="Times New Roman"/>
          <w:sz w:val="16"/>
          <w:szCs w:val="16"/>
          <w:b w:val="1"/>
          <w:bCs w:val="1"/>
          <w:color w:val="auto"/>
        </w:rPr>
        <w:t>A</w:t>
      </w:r>
      <w:r>
        <w:rPr>
          <w:rFonts w:ascii="Times New Roman" w:cs="Times New Roman" w:eastAsia="Times New Roman" w:hAnsi="Times New Roman"/>
          <w:sz w:val="10"/>
          <w:szCs w:val="10"/>
          <w:b w:val="1"/>
          <w:bCs w:val="1"/>
          <w:color w:val="auto"/>
        </w:rPr>
        <w:t>ccuray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13</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NUMPAGES \* Arabic \* MERGEFORMAT 31</w:t>
      </w:r>
    </w:p>
    <w:p>
      <w:pPr>
        <w:spacing w:after="0" w:line="200" w:lineRule="exact"/>
        <w:rPr>
          <w:sz w:val="20"/>
          <w:szCs w:val="20"/>
          <w:color w:val="auto"/>
        </w:rPr>
      </w:pPr>
    </w:p>
    <w:p>
      <w:pPr>
        <w:spacing w:after="0" w:line="24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00171E"/>
        </w:rPr>
        <w:t xml:space="preserve">extent any of the provisions in this </w:t>
      </w:r>
      <w:r>
        <w:rPr>
          <w:rFonts w:ascii="Times New Roman" w:cs="Times New Roman" w:eastAsia="Times New Roman" w:hAnsi="Times New Roman"/>
          <w:sz w:val="20"/>
          <w:szCs w:val="20"/>
          <w:u w:val="single" w:color="auto"/>
          <w:color w:val="00171E"/>
        </w:rPr>
        <w:t>Section 6</w:t>
      </w:r>
      <w:r>
        <w:rPr>
          <w:rFonts w:ascii="Times New Roman" w:cs="Times New Roman" w:eastAsia="Times New Roman" w:hAnsi="Times New Roman"/>
          <w:sz w:val="20"/>
          <w:szCs w:val="20"/>
          <w:color w:val="00171E"/>
        </w:rPr>
        <w:t xml:space="preserve"> are held to be overly broad or otherwise unenforceable at the time enforcement is sought, Executive agrees that the provision shall be reformed and enforced to the greatest extent permissible by law. Executive further agrees that if any portion of this </w:t>
      </w:r>
      <w:r>
        <w:rPr>
          <w:rFonts w:ascii="Times New Roman" w:cs="Times New Roman" w:eastAsia="Times New Roman" w:hAnsi="Times New Roman"/>
          <w:sz w:val="20"/>
          <w:szCs w:val="20"/>
          <w:u w:val="single" w:color="auto"/>
          <w:color w:val="00171E"/>
        </w:rPr>
        <w:t>Section 6</w:t>
      </w:r>
      <w:r>
        <w:rPr>
          <w:rFonts w:ascii="Times New Roman" w:cs="Times New Roman" w:eastAsia="Times New Roman" w:hAnsi="Times New Roman"/>
          <w:sz w:val="20"/>
          <w:szCs w:val="20"/>
          <w:color w:val="00171E"/>
        </w:rPr>
        <w:t xml:space="preserve"> is held to be unenforceable, the remaining provisions of this </w:t>
      </w:r>
      <w:r>
        <w:rPr>
          <w:rFonts w:ascii="Times New Roman" w:cs="Times New Roman" w:eastAsia="Times New Roman" w:hAnsi="Times New Roman"/>
          <w:sz w:val="20"/>
          <w:szCs w:val="20"/>
          <w:u w:val="single" w:color="auto"/>
          <w:color w:val="00171E"/>
        </w:rPr>
        <w:t>Section 6</w:t>
      </w:r>
      <w:r>
        <w:rPr>
          <w:rFonts w:ascii="Times New Roman" w:cs="Times New Roman" w:eastAsia="Times New Roman" w:hAnsi="Times New Roman"/>
          <w:sz w:val="20"/>
          <w:szCs w:val="20"/>
          <w:color w:val="00171E"/>
        </w:rPr>
        <w:t xml:space="preserve"> shall be enforced as written.</w:t>
      </w:r>
    </w:p>
    <w:p>
      <w:pPr>
        <w:spacing w:after="0" w:line="170" w:lineRule="exact"/>
        <w:rPr>
          <w:sz w:val="20"/>
          <w:szCs w:val="20"/>
          <w:color w:val="auto"/>
        </w:rPr>
      </w:pPr>
    </w:p>
    <w:p>
      <w:pPr>
        <w:jc w:val="both"/>
        <w:ind w:firstLine="757"/>
        <w:spacing w:after="0" w:line="250" w:lineRule="auto"/>
        <w:tabs>
          <w:tab w:leader="none" w:pos="1018" w:val="left"/>
        </w:tabs>
        <w:numPr>
          <w:ilvl w:val="0"/>
          <w:numId w:val="159"/>
        </w:numPr>
        <w:rPr>
          <w:rFonts w:ascii="Times New Roman" w:cs="Times New Roman" w:eastAsia="Times New Roman" w:hAnsi="Times New Roman"/>
          <w:sz w:val="20"/>
          <w:szCs w:val="20"/>
          <w:b w:val="1"/>
          <w:bCs w:val="1"/>
          <w:color w:val="00171E"/>
        </w:rPr>
      </w:pPr>
      <w:r>
        <w:rPr>
          <w:rFonts w:ascii="Times New Roman" w:cs="Times New Roman" w:eastAsia="Times New Roman" w:hAnsi="Times New Roman"/>
          <w:sz w:val="20"/>
          <w:szCs w:val="20"/>
          <w:b w:val="1"/>
          <w:bCs w:val="1"/>
          <w:color w:val="00171E"/>
        </w:rPr>
        <w:t xml:space="preserve">Interpretation, Governing Law and Exclusive Forum. </w:t>
      </w:r>
      <w:r>
        <w:rPr>
          <w:rFonts w:ascii="Times New Roman" w:cs="Times New Roman" w:eastAsia="Times New Roman" w:hAnsi="Times New Roman"/>
          <w:sz w:val="20"/>
          <w:szCs w:val="20"/>
          <w:color w:val="00171E"/>
        </w:rPr>
        <w:t>The validity, interpretation, construction, and performance of this</w:t>
      </w:r>
      <w:r>
        <w:rPr>
          <w:rFonts w:ascii="Times New Roman" w:cs="Times New Roman" w:eastAsia="Times New Roman" w:hAnsi="Times New Roman"/>
          <w:sz w:val="20"/>
          <w:szCs w:val="20"/>
          <w:b w:val="1"/>
          <w:bCs w:val="1"/>
          <w:color w:val="00171E"/>
        </w:rPr>
        <w:t xml:space="preserve"> </w:t>
      </w:r>
      <w:r>
        <w:rPr>
          <w:rFonts w:ascii="Times New Roman" w:cs="Times New Roman" w:eastAsia="Times New Roman" w:hAnsi="Times New Roman"/>
          <w:sz w:val="20"/>
          <w:szCs w:val="20"/>
          <w:color w:val="00171E"/>
        </w:rPr>
        <w:t>Agreement shall be governed by the laws of the State of California (excluding any that mandate the use of another jurisdiction’s laws). Any arbitration (unless otherwise mutually agreed), litigation or similar proceeding with respect to such matters only may be brought within Santa Clara County, California, and all parties to this Agreement consent to California’s jurisdiction.</w:t>
      </w:r>
    </w:p>
    <w:p>
      <w:pPr>
        <w:spacing w:after="0" w:line="175" w:lineRule="exact"/>
        <w:rPr>
          <w:rFonts w:ascii="Times New Roman" w:cs="Times New Roman" w:eastAsia="Times New Roman" w:hAnsi="Times New Roman"/>
          <w:sz w:val="20"/>
          <w:szCs w:val="20"/>
          <w:b w:val="1"/>
          <w:bCs w:val="1"/>
          <w:color w:val="00171E"/>
        </w:rPr>
      </w:pPr>
    </w:p>
    <w:p>
      <w:pPr>
        <w:ind w:firstLine="757"/>
        <w:spacing w:after="0" w:line="273" w:lineRule="auto"/>
        <w:tabs>
          <w:tab w:leader="none" w:pos="1018" w:val="left"/>
        </w:tabs>
        <w:numPr>
          <w:ilvl w:val="0"/>
          <w:numId w:val="159"/>
        </w:numPr>
        <w:rPr>
          <w:rFonts w:ascii="Times New Roman" w:cs="Times New Roman" w:eastAsia="Times New Roman" w:hAnsi="Times New Roman"/>
          <w:sz w:val="20"/>
          <w:szCs w:val="20"/>
          <w:b w:val="1"/>
          <w:bCs w:val="1"/>
          <w:color w:val="00171E"/>
        </w:rPr>
      </w:pPr>
      <w:r>
        <w:rPr>
          <w:rFonts w:ascii="Times New Roman" w:cs="Times New Roman" w:eastAsia="Times New Roman" w:hAnsi="Times New Roman"/>
          <w:sz w:val="20"/>
          <w:szCs w:val="20"/>
          <w:b w:val="1"/>
          <w:bCs w:val="1"/>
          <w:color w:val="00171E"/>
        </w:rPr>
        <w:t xml:space="preserve">Entire Agreement. </w:t>
      </w:r>
      <w:r>
        <w:rPr>
          <w:rFonts w:ascii="Times New Roman" w:cs="Times New Roman" w:eastAsia="Times New Roman" w:hAnsi="Times New Roman"/>
          <w:sz w:val="20"/>
          <w:szCs w:val="20"/>
          <w:color w:val="00171E"/>
        </w:rPr>
        <w:t>All oral or written agreements or representations, express or implied, with respect to the subject matter of</w:t>
      </w:r>
      <w:r>
        <w:rPr>
          <w:rFonts w:ascii="Times New Roman" w:cs="Times New Roman" w:eastAsia="Times New Roman" w:hAnsi="Times New Roman"/>
          <w:sz w:val="20"/>
          <w:szCs w:val="20"/>
          <w:b w:val="1"/>
          <w:bCs w:val="1"/>
          <w:color w:val="00171E"/>
        </w:rPr>
        <w:t xml:space="preserve"> </w:t>
      </w:r>
      <w:r>
        <w:rPr>
          <w:rFonts w:ascii="Times New Roman" w:cs="Times New Roman" w:eastAsia="Times New Roman" w:hAnsi="Times New Roman"/>
          <w:sz w:val="20"/>
          <w:szCs w:val="20"/>
          <w:color w:val="00171E"/>
        </w:rPr>
        <w:t>this Agreement are set forth in this Agreement.</w:t>
      </w:r>
    </w:p>
    <w:p>
      <w:pPr>
        <w:spacing w:after="0" w:line="151" w:lineRule="exact"/>
        <w:rPr>
          <w:rFonts w:ascii="Times New Roman" w:cs="Times New Roman" w:eastAsia="Times New Roman" w:hAnsi="Times New Roman"/>
          <w:sz w:val="20"/>
          <w:szCs w:val="20"/>
          <w:b w:val="1"/>
          <w:bCs w:val="1"/>
          <w:color w:val="00171E"/>
        </w:rPr>
      </w:pPr>
    </w:p>
    <w:p>
      <w:pPr>
        <w:jc w:val="both"/>
        <w:ind w:firstLine="757"/>
        <w:spacing w:after="0" w:line="256" w:lineRule="auto"/>
        <w:tabs>
          <w:tab w:leader="none" w:pos="1018" w:val="left"/>
        </w:tabs>
        <w:numPr>
          <w:ilvl w:val="0"/>
          <w:numId w:val="159"/>
        </w:numPr>
        <w:rPr>
          <w:rFonts w:ascii="Times New Roman" w:cs="Times New Roman" w:eastAsia="Times New Roman" w:hAnsi="Times New Roman"/>
          <w:sz w:val="20"/>
          <w:szCs w:val="20"/>
          <w:b w:val="1"/>
          <w:bCs w:val="1"/>
          <w:color w:val="00171E"/>
        </w:rPr>
      </w:pPr>
      <w:r>
        <w:rPr>
          <w:rFonts w:ascii="Times New Roman" w:cs="Times New Roman" w:eastAsia="Times New Roman" w:hAnsi="Times New Roman"/>
          <w:sz w:val="20"/>
          <w:szCs w:val="20"/>
          <w:b w:val="1"/>
          <w:bCs w:val="1"/>
          <w:color w:val="00171E"/>
        </w:rPr>
        <w:t xml:space="preserve">Severability. </w:t>
      </w:r>
      <w:r>
        <w:rPr>
          <w:rFonts w:ascii="Times New Roman" w:cs="Times New Roman" w:eastAsia="Times New Roman" w:hAnsi="Times New Roman"/>
          <w:sz w:val="20"/>
          <w:szCs w:val="20"/>
          <w:color w:val="00171E"/>
        </w:rPr>
        <w:t>In the event that one or more of the provisions contained in this Agreement are held to be invalid, illegal or</w:t>
      </w:r>
      <w:r>
        <w:rPr>
          <w:rFonts w:ascii="Times New Roman" w:cs="Times New Roman" w:eastAsia="Times New Roman" w:hAnsi="Times New Roman"/>
          <w:sz w:val="20"/>
          <w:szCs w:val="20"/>
          <w:b w:val="1"/>
          <w:bCs w:val="1"/>
          <w:color w:val="00171E"/>
        </w:rPr>
        <w:t xml:space="preserve"> </w:t>
      </w:r>
      <w:r>
        <w:rPr>
          <w:rFonts w:ascii="Times New Roman" w:cs="Times New Roman" w:eastAsia="Times New Roman" w:hAnsi="Times New Roman"/>
          <w:sz w:val="20"/>
          <w:szCs w:val="20"/>
          <w:color w:val="00171E"/>
        </w:rPr>
        <w:t>unenforceable in any respect by a court of competent jurisdiction, such holding shall not impair the validity, legality or enforceability of the remaining provisions herein.</w:t>
      </w:r>
    </w:p>
    <w:p>
      <w:pPr>
        <w:spacing w:after="0" w:line="168" w:lineRule="exact"/>
        <w:rPr>
          <w:rFonts w:ascii="Times New Roman" w:cs="Times New Roman" w:eastAsia="Times New Roman" w:hAnsi="Times New Roman"/>
          <w:sz w:val="20"/>
          <w:szCs w:val="20"/>
          <w:b w:val="1"/>
          <w:bCs w:val="1"/>
          <w:color w:val="00171E"/>
        </w:rPr>
      </w:pPr>
    </w:p>
    <w:p>
      <w:pPr>
        <w:jc w:val="both"/>
        <w:ind w:firstLine="757"/>
        <w:spacing w:after="0" w:line="242" w:lineRule="auto"/>
        <w:tabs>
          <w:tab w:leader="none" w:pos="1018" w:val="left"/>
        </w:tabs>
        <w:numPr>
          <w:ilvl w:val="0"/>
          <w:numId w:val="159"/>
        </w:numPr>
        <w:rPr>
          <w:rFonts w:ascii="Times New Roman" w:cs="Times New Roman" w:eastAsia="Times New Roman" w:hAnsi="Times New Roman"/>
          <w:sz w:val="20"/>
          <w:szCs w:val="20"/>
          <w:b w:val="1"/>
          <w:bCs w:val="1"/>
          <w:color w:val="00171E"/>
        </w:rPr>
      </w:pPr>
      <w:r>
        <w:rPr>
          <w:rFonts w:ascii="Times New Roman" w:cs="Times New Roman" w:eastAsia="Times New Roman" w:hAnsi="Times New Roman"/>
          <w:sz w:val="20"/>
          <w:szCs w:val="20"/>
          <w:b w:val="1"/>
          <w:bCs w:val="1"/>
          <w:color w:val="00171E"/>
        </w:rPr>
        <w:t xml:space="preserve">Successors and Assigns. </w:t>
      </w:r>
      <w:r>
        <w:rPr>
          <w:rFonts w:ascii="Times New Roman" w:cs="Times New Roman" w:eastAsia="Times New Roman" w:hAnsi="Times New Roman"/>
          <w:sz w:val="20"/>
          <w:szCs w:val="20"/>
          <w:color w:val="00171E"/>
        </w:rPr>
        <w:t>This Agreement shall be binding upon, and shall inure to the benefit of, Executive and his/her estate,</w:t>
      </w:r>
      <w:r>
        <w:rPr>
          <w:rFonts w:ascii="Times New Roman" w:cs="Times New Roman" w:eastAsia="Times New Roman" w:hAnsi="Times New Roman"/>
          <w:sz w:val="20"/>
          <w:szCs w:val="20"/>
          <w:b w:val="1"/>
          <w:bCs w:val="1"/>
          <w:color w:val="00171E"/>
        </w:rPr>
        <w:t xml:space="preserve"> </w:t>
      </w:r>
      <w:r>
        <w:rPr>
          <w:rFonts w:ascii="Times New Roman" w:cs="Times New Roman" w:eastAsia="Times New Roman" w:hAnsi="Times New Roman"/>
          <w:sz w:val="20"/>
          <w:szCs w:val="20"/>
          <w:color w:val="00171E"/>
        </w:rPr>
        <w:t xml:space="preserve">but Executive may not assign or pledge this Agreement or any rights arising under it, except to the extent permitted under the terms of the benefit plans in which he/she participates. No rights or obligations of the Company under this Agreement may be assigned or transferred except that the Company shall require any successor (whether direct or indirect, by purchase, merger, reorganization, sale, transfer of stock, consideration or otherwise) to all or substantially all of the business and/or assets of the Company to expressly assume and agree to perform this Agreement in the same manner and to the same extent that the Company would be required to perform it if no succession had taken place. As used in this Agreement, “Company” means the Company as hereinbefore defined and any successor to its business and/or assets (by merger, purchase or otherwise as provided in this </w:t>
      </w:r>
      <w:r>
        <w:rPr>
          <w:rFonts w:ascii="Times New Roman" w:cs="Times New Roman" w:eastAsia="Times New Roman" w:hAnsi="Times New Roman"/>
          <w:sz w:val="20"/>
          <w:szCs w:val="20"/>
          <w:u w:val="single" w:color="auto"/>
          <w:color w:val="00171E"/>
        </w:rPr>
        <w:t>Section 10</w:t>
      </w:r>
      <w:r>
        <w:rPr>
          <w:rFonts w:ascii="Times New Roman" w:cs="Times New Roman" w:eastAsia="Times New Roman" w:hAnsi="Times New Roman"/>
          <w:sz w:val="20"/>
          <w:szCs w:val="20"/>
          <w:color w:val="00171E"/>
        </w:rPr>
        <w:t xml:space="preserve">) which executes and delivers the agreement provided for in this </w:t>
      </w:r>
      <w:r>
        <w:rPr>
          <w:rFonts w:ascii="Times New Roman" w:cs="Times New Roman" w:eastAsia="Times New Roman" w:hAnsi="Times New Roman"/>
          <w:sz w:val="20"/>
          <w:szCs w:val="20"/>
          <w:u w:val="single" w:color="auto"/>
          <w:color w:val="00171E"/>
        </w:rPr>
        <w:t>Section 10</w:t>
      </w:r>
      <w:r>
        <w:rPr>
          <w:rFonts w:ascii="Times New Roman" w:cs="Times New Roman" w:eastAsia="Times New Roman" w:hAnsi="Times New Roman"/>
          <w:sz w:val="20"/>
          <w:szCs w:val="20"/>
          <w:color w:val="00171E"/>
        </w:rPr>
        <w:t xml:space="preserve"> or which otherwise becomes bound by all the terms and provisions of this Agreement by operation of law. In the event that any successor refuses to assume the obligations hereunder, the Company as hereinbefore defined shall remain fully responsible for all obligations hereunder.</w:t>
      </w:r>
    </w:p>
    <w:p>
      <w:pPr>
        <w:spacing w:after="0" w:line="189" w:lineRule="exact"/>
        <w:rPr>
          <w:rFonts w:ascii="Times New Roman" w:cs="Times New Roman" w:eastAsia="Times New Roman" w:hAnsi="Times New Roman"/>
          <w:sz w:val="20"/>
          <w:szCs w:val="20"/>
          <w:b w:val="1"/>
          <w:bCs w:val="1"/>
          <w:color w:val="00171E"/>
        </w:rPr>
      </w:pPr>
    </w:p>
    <w:p>
      <w:pPr>
        <w:jc w:val="both"/>
        <w:ind w:firstLine="757"/>
        <w:spacing w:after="0" w:line="244" w:lineRule="auto"/>
        <w:tabs>
          <w:tab w:leader="none" w:pos="1018" w:val="left"/>
        </w:tabs>
        <w:numPr>
          <w:ilvl w:val="0"/>
          <w:numId w:val="159"/>
        </w:numPr>
        <w:rPr>
          <w:rFonts w:ascii="Times New Roman" w:cs="Times New Roman" w:eastAsia="Times New Roman" w:hAnsi="Times New Roman"/>
          <w:sz w:val="20"/>
          <w:szCs w:val="20"/>
          <w:b w:val="1"/>
          <w:bCs w:val="1"/>
          <w:color w:val="00171E"/>
        </w:rPr>
      </w:pPr>
      <w:r>
        <w:rPr>
          <w:rFonts w:ascii="Times New Roman" w:cs="Times New Roman" w:eastAsia="Times New Roman" w:hAnsi="Times New Roman"/>
          <w:sz w:val="20"/>
          <w:szCs w:val="20"/>
          <w:b w:val="1"/>
          <w:bCs w:val="1"/>
          <w:color w:val="00171E"/>
        </w:rPr>
        <w:t xml:space="preserve">Notices. </w:t>
      </w:r>
      <w:r>
        <w:rPr>
          <w:rFonts w:ascii="Times New Roman" w:cs="Times New Roman" w:eastAsia="Times New Roman" w:hAnsi="Times New Roman"/>
          <w:sz w:val="20"/>
          <w:szCs w:val="20"/>
          <w:color w:val="00171E"/>
        </w:rPr>
        <w:t>All notices, requests, demands and other communications hereunder shall be in writing and shall be given by hand</w:t>
      </w:r>
      <w:r>
        <w:rPr>
          <w:rFonts w:ascii="Times New Roman" w:cs="Times New Roman" w:eastAsia="Times New Roman" w:hAnsi="Times New Roman"/>
          <w:sz w:val="20"/>
          <w:szCs w:val="20"/>
          <w:b w:val="1"/>
          <w:bCs w:val="1"/>
          <w:color w:val="00171E"/>
        </w:rPr>
        <w:t xml:space="preserve"> </w:t>
      </w:r>
      <w:r>
        <w:rPr>
          <w:rFonts w:ascii="Times New Roman" w:cs="Times New Roman" w:eastAsia="Times New Roman" w:hAnsi="Times New Roman"/>
          <w:sz w:val="20"/>
          <w:szCs w:val="20"/>
          <w:color w:val="00171E"/>
        </w:rPr>
        <w:t xml:space="preserve">delivery, electronic mail, facsimile, telecopy, overnight courier service, or by United States certified or registered mail, return receipt requested. Each such notice, request, demand or other communication shall be effective (i) if delivered by hand or by overnight courier service, when delivered at the address specified in this </w:t>
      </w:r>
      <w:r>
        <w:rPr>
          <w:rFonts w:ascii="Times New Roman" w:cs="Times New Roman" w:eastAsia="Times New Roman" w:hAnsi="Times New Roman"/>
          <w:sz w:val="20"/>
          <w:szCs w:val="20"/>
          <w:u w:val="single" w:color="auto"/>
          <w:color w:val="00171E"/>
        </w:rPr>
        <w:t>Section 11</w:t>
      </w:r>
      <w:r>
        <w:rPr>
          <w:rFonts w:ascii="Times New Roman" w:cs="Times New Roman" w:eastAsia="Times New Roman" w:hAnsi="Times New Roman"/>
          <w:sz w:val="20"/>
          <w:szCs w:val="20"/>
          <w:color w:val="00171E"/>
        </w:rPr>
        <w:t xml:space="preserve">; (ii) if given by electronic mail, facsimile or telecopy, when such electronic mail, facsimile or telecopy is transmitted to the electronic mail address or facsimile or telecopy number specified in this </w:t>
      </w:r>
      <w:r>
        <w:rPr>
          <w:rFonts w:ascii="Times New Roman" w:cs="Times New Roman" w:eastAsia="Times New Roman" w:hAnsi="Times New Roman"/>
          <w:sz w:val="20"/>
          <w:szCs w:val="20"/>
          <w:u w:val="single" w:color="auto"/>
          <w:color w:val="00171E"/>
        </w:rPr>
        <w:t>Section 11</w:t>
      </w:r>
      <w:r>
        <w:rPr>
          <w:rFonts w:ascii="Times New Roman" w:cs="Times New Roman" w:eastAsia="Times New Roman" w:hAnsi="Times New Roman"/>
          <w:sz w:val="20"/>
          <w:szCs w:val="20"/>
          <w:color w:val="00171E"/>
        </w:rPr>
        <w:t xml:space="preserve"> and confirmation is received if during normal business hours on a business day, and otherwise, on the next business day; and (iii) if given by certified or registered mail, three (3) days after the mailing thereof. Notices shall be addressed to the parties as follows (or at such other address, email address or fax number as either party may from time to time specify in writing by giving notice as provided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132320" cy="171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86"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6"/>
          <w:szCs w:val="16"/>
          <w:b w:val="1"/>
          <w:bCs w:val="1"/>
          <w:color w:val="auto"/>
        </w:rPr>
        <w:t>E</w:t>
      </w:r>
      <w:r>
        <w:rPr>
          <w:rFonts w:ascii="Times New Roman" w:cs="Times New Roman" w:eastAsia="Times New Roman" w:hAnsi="Times New Roman"/>
          <w:sz w:val="10"/>
          <w:szCs w:val="10"/>
          <w:b w:val="1"/>
          <w:bCs w:val="1"/>
          <w:color w:val="auto"/>
        </w:rPr>
        <w:t>xecutive</w:t>
      </w:r>
      <w:r>
        <w:rPr>
          <w:rFonts w:ascii="Times New Roman" w:cs="Times New Roman" w:eastAsia="Times New Roman" w:hAnsi="Times New Roman"/>
          <w:sz w:val="16"/>
          <w:szCs w:val="16"/>
          <w:b w:val="1"/>
          <w:bCs w:val="1"/>
          <w:color w:val="auto"/>
        </w:rPr>
        <w:t xml:space="preserve"> E</w:t>
      </w:r>
      <w:r>
        <w:rPr>
          <w:rFonts w:ascii="Times New Roman" w:cs="Times New Roman" w:eastAsia="Times New Roman" w:hAnsi="Times New Roman"/>
          <w:sz w:val="10"/>
          <w:szCs w:val="10"/>
          <w:b w:val="1"/>
          <w:bCs w:val="1"/>
          <w:color w:val="auto"/>
        </w:rPr>
        <w:t>mployment</w:t>
      </w:r>
      <w:r>
        <w:rPr>
          <w:rFonts w:ascii="Times New Roman" w:cs="Times New Roman" w:eastAsia="Times New Roman" w:hAnsi="Times New Roman"/>
          <w:sz w:val="16"/>
          <w:szCs w:val="16"/>
          <w:b w:val="1"/>
          <w:bCs w:val="1"/>
          <w:color w:val="auto"/>
        </w:rPr>
        <w:t xml:space="preserve"> A</w:t>
      </w:r>
      <w:r>
        <w:rPr>
          <w:rFonts w:ascii="Times New Roman" w:cs="Times New Roman" w:eastAsia="Times New Roman" w:hAnsi="Times New Roman"/>
          <w:sz w:val="10"/>
          <w:szCs w:val="10"/>
          <w:b w:val="1"/>
          <w:bCs w:val="1"/>
          <w:color w:val="auto"/>
        </w:rPr>
        <w:t>gmt</w:t>
      </w:r>
      <w:r>
        <w:rPr>
          <w:rFonts w:ascii="Times New Roman" w:cs="Times New Roman" w:eastAsia="Times New Roman" w:hAnsi="Times New Roman"/>
          <w:sz w:val="16"/>
          <w:szCs w:val="16"/>
          <w:b w:val="1"/>
          <w:bCs w:val="1"/>
          <w:color w:val="auto"/>
        </w:rPr>
        <w:t xml:space="preserve"> S</w:t>
      </w:r>
      <w:r>
        <w:rPr>
          <w:rFonts w:ascii="Times New Roman" w:cs="Times New Roman" w:eastAsia="Times New Roman" w:hAnsi="Times New Roman"/>
          <w:sz w:val="10"/>
          <w:szCs w:val="10"/>
          <w:b w:val="1"/>
          <w:bCs w:val="1"/>
          <w:color w:val="auto"/>
        </w:rPr>
        <w:t>td</w:t>
      </w:r>
      <w:r>
        <w:rPr>
          <w:rFonts w:ascii="Times New Roman" w:cs="Times New Roman" w:eastAsia="Times New Roman" w:hAnsi="Times New Roman"/>
          <w:sz w:val="16"/>
          <w:szCs w:val="16"/>
          <w:b w:val="1"/>
          <w:bCs w:val="1"/>
          <w:color w:val="auto"/>
        </w:rPr>
        <w:t xml:space="preserve"> 11.1.24</w:t>
      </w:r>
      <w:r>
        <w:rPr>
          <w:sz w:val="20"/>
          <w:szCs w:val="20"/>
          <w:color w:val="auto"/>
        </w:rPr>
        <w:tab/>
      </w:r>
      <w:r>
        <w:rPr>
          <w:rFonts w:ascii="Times New Roman" w:cs="Times New Roman" w:eastAsia="Times New Roman" w:hAnsi="Times New Roman"/>
          <w:sz w:val="16"/>
          <w:szCs w:val="16"/>
          <w:b w:val="1"/>
          <w:bCs w:val="1"/>
          <w:color w:val="auto"/>
        </w:rPr>
        <w:t>A</w:t>
      </w:r>
      <w:r>
        <w:rPr>
          <w:rFonts w:ascii="Times New Roman" w:cs="Times New Roman" w:eastAsia="Times New Roman" w:hAnsi="Times New Roman"/>
          <w:sz w:val="10"/>
          <w:szCs w:val="10"/>
          <w:b w:val="1"/>
          <w:bCs w:val="1"/>
          <w:color w:val="auto"/>
        </w:rPr>
        <w:t>ccuray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14</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NUMPAGES \* Arabic \* MERGEFORMAT 31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00171E"/>
        </w:rPr>
        <w:t>If to the Company: Accuray Incorporated</w:t>
      </w:r>
    </w:p>
    <w:p>
      <w:pPr>
        <w:spacing w:after="0" w:line="21"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0"/>
          <w:szCs w:val="20"/>
          <w:color w:val="00171E"/>
        </w:rPr>
        <w:t>3979 Freedom Circle, Suite 700</w:t>
      </w:r>
    </w:p>
    <w:p>
      <w:pPr>
        <w:ind w:left="3000"/>
        <w:spacing w:after="0"/>
        <w:rPr>
          <w:sz w:val="20"/>
          <w:szCs w:val="20"/>
          <w:color w:val="auto"/>
        </w:rPr>
      </w:pPr>
      <w:r>
        <w:rPr>
          <w:rFonts w:ascii="Times New Roman" w:cs="Times New Roman" w:eastAsia="Times New Roman" w:hAnsi="Times New Roman"/>
          <w:sz w:val="20"/>
          <w:szCs w:val="20"/>
          <w:color w:val="00171E"/>
        </w:rPr>
        <w:t>Santa Clara, CA 95054</w:t>
      </w:r>
    </w:p>
    <w:p>
      <w:pPr>
        <w:ind w:left="3000"/>
        <w:spacing w:after="0"/>
        <w:rPr>
          <w:sz w:val="20"/>
          <w:szCs w:val="20"/>
          <w:color w:val="auto"/>
        </w:rPr>
      </w:pPr>
      <w:r>
        <w:rPr>
          <w:rFonts w:ascii="Times New Roman" w:cs="Times New Roman" w:eastAsia="Times New Roman" w:hAnsi="Times New Roman"/>
          <w:sz w:val="20"/>
          <w:szCs w:val="20"/>
          <w:color w:val="00171E"/>
        </w:rPr>
        <w:t>Attn: Chief Financial Officer</w:t>
      </w:r>
    </w:p>
    <w:p>
      <w:pPr>
        <w:sectPr>
          <w:pgSz w:w="11900" w:h="16838" w:orient="portrait"/>
          <w:cols w:equalWidth="0" w:num="1">
            <w:col w:w="11240"/>
          </w:cols>
          <w:pgMar w:left="320" w:top="765" w:right="339" w:bottom="1440" w:gutter="0" w:footer="0" w:header="0"/>
        </w:sectPr>
      </w:pPr>
    </w:p>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00171E"/>
        </w:rPr>
        <w:t>If to Executive:</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171E"/>
        </w:rPr>
        <w:t>Jesse Chew</w:t>
      </w:r>
    </w:p>
    <w:p>
      <w:pPr>
        <w:spacing w:after="0" w:line="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00171E"/>
        </w:rPr>
        <w:t>Address: most recent on file with the Company</w:t>
      </w:r>
    </w:p>
    <w:p>
      <w:pPr>
        <w:spacing w:after="0" w:line="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00171E"/>
        </w:rPr>
        <w:t>Email: most recent on file with the Company</w:t>
      </w:r>
    </w:p>
    <w:p>
      <w:pPr>
        <w:spacing w:after="0" w:line="190" w:lineRule="exact"/>
        <w:rPr>
          <w:sz w:val="20"/>
          <w:szCs w:val="20"/>
          <w:color w:val="auto"/>
        </w:rPr>
      </w:pPr>
    </w:p>
    <w:p>
      <w:pPr>
        <w:sectPr>
          <w:pgSz w:w="11900" w:h="16838" w:orient="portrait"/>
          <w:cols w:equalWidth="0" w:num="2">
            <w:col w:w="1980" w:space="360"/>
            <w:col w:w="8900"/>
          </w:cols>
          <w:pgMar w:left="320" w:top="765" w:right="339" w:bottom="1440" w:gutter="0" w:footer="0" w:header="0"/>
          <w:type w:val="continuous"/>
        </w:sectPr>
      </w:pPr>
    </w:p>
    <w:p>
      <w:pPr>
        <w:jc w:val="both"/>
        <w:ind w:firstLine="757"/>
        <w:spacing w:after="0" w:line="256" w:lineRule="auto"/>
        <w:tabs>
          <w:tab w:leader="none" w:pos="1018" w:val="left"/>
        </w:tabs>
        <w:numPr>
          <w:ilvl w:val="0"/>
          <w:numId w:val="160"/>
        </w:numPr>
        <w:rPr>
          <w:rFonts w:ascii="Times New Roman" w:cs="Times New Roman" w:eastAsia="Times New Roman" w:hAnsi="Times New Roman"/>
          <w:sz w:val="20"/>
          <w:szCs w:val="20"/>
          <w:b w:val="1"/>
          <w:bCs w:val="1"/>
          <w:color w:val="00171E"/>
        </w:rPr>
      </w:pPr>
      <w:r>
        <w:rPr>
          <w:rFonts w:ascii="Times New Roman" w:cs="Times New Roman" w:eastAsia="Times New Roman" w:hAnsi="Times New Roman"/>
          <w:sz w:val="20"/>
          <w:szCs w:val="20"/>
          <w:b w:val="1"/>
          <w:bCs w:val="1"/>
          <w:color w:val="00171E"/>
        </w:rPr>
        <w:t>Indemnification</w:t>
      </w:r>
      <w:r>
        <w:rPr>
          <w:rFonts w:ascii="Times New Roman" w:cs="Times New Roman" w:eastAsia="Times New Roman" w:hAnsi="Times New Roman"/>
          <w:sz w:val="20"/>
          <w:szCs w:val="20"/>
          <w:color w:val="00171E"/>
        </w:rPr>
        <w:t>. As soon as reasonably practicable after the due execution of this Agreement by each of the parties hereto, the</w:t>
      </w:r>
      <w:r>
        <w:rPr>
          <w:rFonts w:ascii="Times New Roman" w:cs="Times New Roman" w:eastAsia="Times New Roman" w:hAnsi="Times New Roman"/>
          <w:sz w:val="20"/>
          <w:szCs w:val="20"/>
          <w:b w:val="1"/>
          <w:bCs w:val="1"/>
          <w:color w:val="00171E"/>
        </w:rPr>
        <w:t xml:space="preserve"> </w:t>
      </w:r>
      <w:r>
        <w:rPr>
          <w:rFonts w:ascii="Times New Roman" w:cs="Times New Roman" w:eastAsia="Times New Roman" w:hAnsi="Times New Roman"/>
          <w:sz w:val="20"/>
          <w:szCs w:val="20"/>
          <w:color w:val="00171E"/>
        </w:rPr>
        <w:t>Company and Executive will enter into the Company’s standard form of indemnification agreement utilized by the Company for its directors and executive officers unless such an agreement is already in effect.</w:t>
      </w:r>
    </w:p>
    <w:p>
      <w:pPr>
        <w:spacing w:after="0" w:line="168" w:lineRule="exact"/>
        <w:rPr>
          <w:rFonts w:ascii="Times New Roman" w:cs="Times New Roman" w:eastAsia="Times New Roman" w:hAnsi="Times New Roman"/>
          <w:sz w:val="20"/>
          <w:szCs w:val="20"/>
          <w:b w:val="1"/>
          <w:bCs w:val="1"/>
          <w:color w:val="00171E"/>
        </w:rPr>
      </w:pPr>
    </w:p>
    <w:p>
      <w:pPr>
        <w:jc w:val="both"/>
        <w:ind w:firstLine="757"/>
        <w:spacing w:after="0" w:line="256" w:lineRule="auto"/>
        <w:tabs>
          <w:tab w:leader="none" w:pos="1018" w:val="left"/>
        </w:tabs>
        <w:numPr>
          <w:ilvl w:val="0"/>
          <w:numId w:val="160"/>
        </w:numPr>
        <w:rPr>
          <w:rFonts w:ascii="Times New Roman" w:cs="Times New Roman" w:eastAsia="Times New Roman" w:hAnsi="Times New Roman"/>
          <w:sz w:val="20"/>
          <w:szCs w:val="20"/>
          <w:b w:val="1"/>
          <w:bCs w:val="1"/>
          <w:color w:val="00171E"/>
        </w:rPr>
      </w:pPr>
      <w:r>
        <w:rPr>
          <w:rFonts w:ascii="Times New Roman" w:cs="Times New Roman" w:eastAsia="Times New Roman" w:hAnsi="Times New Roman"/>
          <w:sz w:val="20"/>
          <w:szCs w:val="20"/>
          <w:b w:val="1"/>
          <w:bCs w:val="1"/>
          <w:color w:val="00171E"/>
        </w:rPr>
        <w:t xml:space="preserve">Dispute Resolution. </w:t>
      </w:r>
      <w:r>
        <w:rPr>
          <w:rFonts w:ascii="Times New Roman" w:cs="Times New Roman" w:eastAsia="Times New Roman" w:hAnsi="Times New Roman"/>
          <w:sz w:val="20"/>
          <w:szCs w:val="20"/>
          <w:color w:val="00171E"/>
        </w:rPr>
        <w:t>The parties agree that all disputes, claims or controversies between them and between Executive and any</w:t>
      </w:r>
      <w:r>
        <w:rPr>
          <w:rFonts w:ascii="Times New Roman" w:cs="Times New Roman" w:eastAsia="Times New Roman" w:hAnsi="Times New Roman"/>
          <w:sz w:val="20"/>
          <w:szCs w:val="20"/>
          <w:b w:val="1"/>
          <w:bCs w:val="1"/>
          <w:color w:val="00171E"/>
        </w:rPr>
        <w:t xml:space="preserve"> </w:t>
      </w:r>
      <w:r>
        <w:rPr>
          <w:rFonts w:ascii="Times New Roman" w:cs="Times New Roman" w:eastAsia="Times New Roman" w:hAnsi="Times New Roman"/>
          <w:sz w:val="20"/>
          <w:szCs w:val="20"/>
          <w:color w:val="00171E"/>
        </w:rPr>
        <w:t>of the Company’s affiliated entities and the successor of all such entities, including any dispute, claim or controversy arising from or otherwise in connection with this Agreement and/or Executive’s employment with the Company, will be resolved as follows:</w:t>
      </w:r>
    </w:p>
    <w:p>
      <w:pPr>
        <w:spacing w:after="0" w:line="172" w:lineRule="exact"/>
        <w:rPr>
          <w:rFonts w:ascii="Times New Roman" w:cs="Times New Roman" w:eastAsia="Times New Roman" w:hAnsi="Times New Roman"/>
          <w:sz w:val="20"/>
          <w:szCs w:val="20"/>
          <w:b w:val="1"/>
          <w:bCs w:val="1"/>
          <w:color w:val="00171E"/>
        </w:rPr>
      </w:pPr>
    </w:p>
    <w:p>
      <w:pPr>
        <w:jc w:val="both"/>
        <w:ind w:firstLine="1505"/>
        <w:spacing w:after="0" w:line="254" w:lineRule="auto"/>
        <w:tabs>
          <w:tab w:leader="none" w:pos="2036" w:val="left"/>
        </w:tabs>
        <w:numPr>
          <w:ilvl w:val="1"/>
          <w:numId w:val="160"/>
        </w:numPr>
        <w:rPr>
          <w:rFonts w:ascii="Times New Roman" w:cs="Times New Roman" w:eastAsia="Times New Roman" w:hAnsi="Times New Roman"/>
          <w:sz w:val="20"/>
          <w:szCs w:val="20"/>
          <w:u w:val="single" w:color="auto"/>
          <w:color w:val="00171E"/>
        </w:rPr>
      </w:pPr>
      <w:r>
        <w:rPr>
          <w:rFonts w:ascii="Times New Roman" w:cs="Times New Roman" w:eastAsia="Times New Roman" w:hAnsi="Times New Roman"/>
          <w:sz w:val="20"/>
          <w:szCs w:val="20"/>
          <w:color w:val="00171E"/>
        </w:rPr>
        <w:t>Prior to initiating any other proceeding, the complaining party will provide the other party with a written statement of the claim identifying any supporting witnesses or documents and the requested relief. The responding party shall within forty-five (45) days furnish a statement of the relief, if any, that it is willing to provide, and identify supporting witnesses or documents.</w:t>
      </w:r>
    </w:p>
    <w:p>
      <w:pPr>
        <w:spacing w:after="0" w:line="174" w:lineRule="exact"/>
        <w:rPr>
          <w:rFonts w:ascii="Times New Roman" w:cs="Times New Roman" w:eastAsia="Times New Roman" w:hAnsi="Times New Roman"/>
          <w:sz w:val="20"/>
          <w:szCs w:val="20"/>
          <w:u w:val="single" w:color="auto"/>
          <w:color w:val="00171E"/>
        </w:rPr>
      </w:pPr>
    </w:p>
    <w:p>
      <w:pPr>
        <w:jc w:val="both"/>
        <w:ind w:firstLine="1505"/>
        <w:spacing w:after="0" w:line="254" w:lineRule="auto"/>
        <w:tabs>
          <w:tab w:leader="none" w:pos="2036" w:val="left"/>
        </w:tabs>
        <w:numPr>
          <w:ilvl w:val="1"/>
          <w:numId w:val="160"/>
        </w:numPr>
        <w:rPr>
          <w:rFonts w:ascii="Times New Roman" w:cs="Times New Roman" w:eastAsia="Times New Roman" w:hAnsi="Times New Roman"/>
          <w:sz w:val="20"/>
          <w:szCs w:val="20"/>
          <w:u w:val="single" w:color="auto"/>
          <w:color w:val="00171E"/>
        </w:rPr>
      </w:pPr>
      <w:r>
        <w:rPr>
          <w:rFonts w:ascii="Times New Roman" w:cs="Times New Roman" w:eastAsia="Times New Roman" w:hAnsi="Times New Roman"/>
          <w:sz w:val="20"/>
          <w:szCs w:val="20"/>
          <w:color w:val="00171E"/>
        </w:rPr>
        <w:t>If the matter is not resolved by the exchange of statements of claim and statements of response as provided herein, the parties shall submit the dispute to non-binding mediation, the cost of the mediator to be paid by the Company, before a mediator and/or service to be jointly selected by the parties. Each party will bear his/her or its own attorney’s fees and witness fees.</w:t>
      </w:r>
    </w:p>
    <w:p>
      <w:pPr>
        <w:spacing w:after="0" w:line="174" w:lineRule="exact"/>
        <w:rPr>
          <w:rFonts w:ascii="Times New Roman" w:cs="Times New Roman" w:eastAsia="Times New Roman" w:hAnsi="Times New Roman"/>
          <w:sz w:val="20"/>
          <w:szCs w:val="20"/>
          <w:u w:val="single" w:color="auto"/>
          <w:color w:val="00171E"/>
        </w:rPr>
      </w:pPr>
    </w:p>
    <w:p>
      <w:pPr>
        <w:jc w:val="both"/>
        <w:ind w:firstLine="1505"/>
        <w:spacing w:after="0" w:line="242" w:lineRule="auto"/>
        <w:tabs>
          <w:tab w:leader="none" w:pos="2036" w:val="left"/>
        </w:tabs>
        <w:numPr>
          <w:ilvl w:val="1"/>
          <w:numId w:val="160"/>
        </w:numPr>
        <w:rPr>
          <w:rFonts w:ascii="Times New Roman" w:cs="Times New Roman" w:eastAsia="Times New Roman" w:hAnsi="Times New Roman"/>
          <w:sz w:val="20"/>
          <w:szCs w:val="20"/>
          <w:u w:val="single" w:color="auto"/>
          <w:color w:val="00171E"/>
        </w:rPr>
      </w:pPr>
      <w:r>
        <w:rPr>
          <w:rFonts w:ascii="Times New Roman" w:cs="Times New Roman" w:eastAsia="Times New Roman" w:hAnsi="Times New Roman"/>
          <w:sz w:val="20"/>
          <w:szCs w:val="20"/>
          <w:color w:val="00171E"/>
        </w:rPr>
        <w:t>If the parties cannot agree on a mediator and/or if the matter is not otherwise resolved by mediation, any controversy or claim between Executive and the Company and any of its current or former directors, officers and employees, including any arising out of or relating to this Agreement or breach thereof, shall be settled by final and binding arbitration pursuant to the Federal Arbitration Act (9 U.S.C. Sec. 1 Et Seq.) (the “</w:t>
      </w:r>
      <w:r>
        <w:rPr>
          <w:rFonts w:ascii="Times New Roman" w:cs="Times New Roman" w:eastAsia="Times New Roman" w:hAnsi="Times New Roman"/>
          <w:sz w:val="20"/>
          <w:szCs w:val="20"/>
          <w:u w:val="single" w:color="auto"/>
          <w:color w:val="00171E"/>
        </w:rPr>
        <w:t>FAA</w:t>
      </w:r>
      <w:r>
        <w:rPr>
          <w:rFonts w:ascii="Times New Roman" w:cs="Times New Roman" w:eastAsia="Times New Roman" w:hAnsi="Times New Roman"/>
          <w:sz w:val="20"/>
          <w:szCs w:val="20"/>
          <w:color w:val="00171E"/>
        </w:rPr>
        <w:t>”), which shall take place in Santa Clara County, California, or elsewhere as mutually agreed by the parties, before a single, neutral, arbitrator pursuant to the Employment Dispute Rules of Judicial Arbitration and Mediation Services, Inc. (“</w:t>
      </w:r>
      <w:r>
        <w:rPr>
          <w:rFonts w:ascii="Times New Roman" w:cs="Times New Roman" w:eastAsia="Times New Roman" w:hAnsi="Times New Roman"/>
          <w:sz w:val="20"/>
          <w:szCs w:val="20"/>
          <w:u w:val="single" w:color="auto"/>
          <w:color w:val="00171E"/>
        </w:rPr>
        <w:t>JAMS</w:t>
      </w:r>
      <w:r>
        <w:rPr>
          <w:rFonts w:ascii="Times New Roman" w:cs="Times New Roman" w:eastAsia="Times New Roman" w:hAnsi="Times New Roman"/>
          <w:sz w:val="20"/>
          <w:szCs w:val="20"/>
          <w:color w:val="00171E"/>
        </w:rPr>
        <w:t>”), unless the parties to the dispute agree to another arbitration service or independent arbitrator. The parties may conduct discovery to the extent permitted in a court of law; the arbitrator will render an award together with a written opinion indicating the bases for such opinion; and the arbitrator will have full authority to award all remedies that would be available in court. Judgment upon the award rendered by the arbitrator may be entered in any court having jurisdiction thereof. Each party shall bear its own attorney’s fees and costs, unless the claim is based on a statute that provides otherwise. The Company will pay the arbitrator’s fees and any administrative charges of the arbitration service, except that if Executive initiates the claim, he/she will pay a portion of the administrative charges equal to the amount he/she would have paid to initiate the claim in a court of general jurisdiction.</w:t>
      </w:r>
    </w:p>
    <w:p>
      <w:pPr>
        <w:spacing w:after="0" w:line="187" w:lineRule="exact"/>
        <w:rPr>
          <w:rFonts w:ascii="Times New Roman" w:cs="Times New Roman" w:eastAsia="Times New Roman" w:hAnsi="Times New Roman"/>
          <w:sz w:val="20"/>
          <w:szCs w:val="20"/>
          <w:u w:val="single" w:color="auto"/>
          <w:color w:val="00171E"/>
        </w:rPr>
      </w:pPr>
    </w:p>
    <w:p>
      <w:pPr>
        <w:jc w:val="both"/>
        <w:ind w:firstLine="1505"/>
        <w:spacing w:after="0" w:line="249" w:lineRule="auto"/>
        <w:tabs>
          <w:tab w:leader="none" w:pos="2036" w:val="left"/>
        </w:tabs>
        <w:numPr>
          <w:ilvl w:val="1"/>
          <w:numId w:val="160"/>
        </w:numPr>
        <w:rPr>
          <w:rFonts w:ascii="Times New Roman" w:cs="Times New Roman" w:eastAsia="Times New Roman" w:hAnsi="Times New Roman"/>
          <w:sz w:val="20"/>
          <w:szCs w:val="20"/>
          <w:u w:val="single" w:color="auto"/>
          <w:color w:val="00171E"/>
        </w:rPr>
      </w:pPr>
      <w:r>
        <w:rPr>
          <w:rFonts w:ascii="Times New Roman" w:cs="Times New Roman" w:eastAsia="Times New Roman" w:hAnsi="Times New Roman"/>
          <w:sz w:val="20"/>
          <w:szCs w:val="20"/>
          <w:color w:val="00171E"/>
        </w:rPr>
        <w:t>THE FAA’S SUBSTANTIVE AND PROCEDURAL PROVISIONS SHALL EXCLUSIVELY GOVERN AND APPLY WITH FULL FORCE AND EFFECT TO THIS ARBITRATION AGREEMENT, INCLUDING ITS ENFORCEMENT, AND ANY STATE COURT OF COMPETENT JURISDICTION SHALL STAY PROCEEDINGS PENDING ARBITRATION OR COMPEL ARBITRATION IN THE SAME MANNER AS A FEDERAL COURT UNDER THE FAA.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8"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6"/>
          <w:szCs w:val="16"/>
          <w:b w:val="1"/>
          <w:bCs w:val="1"/>
          <w:color w:val="auto"/>
        </w:rPr>
        <w:t>E</w:t>
      </w:r>
      <w:r>
        <w:rPr>
          <w:rFonts w:ascii="Times New Roman" w:cs="Times New Roman" w:eastAsia="Times New Roman" w:hAnsi="Times New Roman"/>
          <w:sz w:val="10"/>
          <w:szCs w:val="10"/>
          <w:b w:val="1"/>
          <w:bCs w:val="1"/>
          <w:color w:val="auto"/>
        </w:rPr>
        <w:t>xecutive</w:t>
      </w:r>
      <w:r>
        <w:rPr>
          <w:rFonts w:ascii="Times New Roman" w:cs="Times New Roman" w:eastAsia="Times New Roman" w:hAnsi="Times New Roman"/>
          <w:sz w:val="16"/>
          <w:szCs w:val="16"/>
          <w:b w:val="1"/>
          <w:bCs w:val="1"/>
          <w:color w:val="auto"/>
        </w:rPr>
        <w:t xml:space="preserve"> E</w:t>
      </w:r>
      <w:r>
        <w:rPr>
          <w:rFonts w:ascii="Times New Roman" w:cs="Times New Roman" w:eastAsia="Times New Roman" w:hAnsi="Times New Roman"/>
          <w:sz w:val="10"/>
          <w:szCs w:val="10"/>
          <w:b w:val="1"/>
          <w:bCs w:val="1"/>
          <w:color w:val="auto"/>
        </w:rPr>
        <w:t>mployment</w:t>
      </w:r>
      <w:r>
        <w:rPr>
          <w:rFonts w:ascii="Times New Roman" w:cs="Times New Roman" w:eastAsia="Times New Roman" w:hAnsi="Times New Roman"/>
          <w:sz w:val="16"/>
          <w:szCs w:val="16"/>
          <w:b w:val="1"/>
          <w:bCs w:val="1"/>
          <w:color w:val="auto"/>
        </w:rPr>
        <w:t xml:space="preserve"> A</w:t>
      </w:r>
      <w:r>
        <w:rPr>
          <w:rFonts w:ascii="Times New Roman" w:cs="Times New Roman" w:eastAsia="Times New Roman" w:hAnsi="Times New Roman"/>
          <w:sz w:val="10"/>
          <w:szCs w:val="10"/>
          <w:b w:val="1"/>
          <w:bCs w:val="1"/>
          <w:color w:val="auto"/>
        </w:rPr>
        <w:t>gmt</w:t>
      </w:r>
      <w:r>
        <w:rPr>
          <w:rFonts w:ascii="Times New Roman" w:cs="Times New Roman" w:eastAsia="Times New Roman" w:hAnsi="Times New Roman"/>
          <w:sz w:val="16"/>
          <w:szCs w:val="16"/>
          <w:b w:val="1"/>
          <w:bCs w:val="1"/>
          <w:color w:val="auto"/>
        </w:rPr>
        <w:t xml:space="preserve"> S</w:t>
      </w:r>
      <w:r>
        <w:rPr>
          <w:rFonts w:ascii="Times New Roman" w:cs="Times New Roman" w:eastAsia="Times New Roman" w:hAnsi="Times New Roman"/>
          <w:sz w:val="10"/>
          <w:szCs w:val="10"/>
          <w:b w:val="1"/>
          <w:bCs w:val="1"/>
          <w:color w:val="auto"/>
        </w:rPr>
        <w:t>td</w:t>
      </w:r>
      <w:r>
        <w:rPr>
          <w:rFonts w:ascii="Times New Roman" w:cs="Times New Roman" w:eastAsia="Times New Roman" w:hAnsi="Times New Roman"/>
          <w:sz w:val="16"/>
          <w:szCs w:val="16"/>
          <w:b w:val="1"/>
          <w:bCs w:val="1"/>
          <w:color w:val="auto"/>
        </w:rPr>
        <w:t xml:space="preserve"> 11.1.24</w:t>
      </w:r>
      <w:r>
        <w:rPr>
          <w:sz w:val="20"/>
          <w:szCs w:val="20"/>
          <w:color w:val="auto"/>
        </w:rPr>
        <w:tab/>
      </w:r>
      <w:r>
        <w:rPr>
          <w:rFonts w:ascii="Times New Roman" w:cs="Times New Roman" w:eastAsia="Times New Roman" w:hAnsi="Times New Roman"/>
          <w:sz w:val="16"/>
          <w:szCs w:val="16"/>
          <w:b w:val="1"/>
          <w:bCs w:val="1"/>
          <w:color w:val="auto"/>
        </w:rPr>
        <w:t>A</w:t>
      </w:r>
      <w:r>
        <w:rPr>
          <w:rFonts w:ascii="Times New Roman" w:cs="Times New Roman" w:eastAsia="Times New Roman" w:hAnsi="Times New Roman"/>
          <w:sz w:val="10"/>
          <w:szCs w:val="10"/>
          <w:b w:val="1"/>
          <w:bCs w:val="1"/>
          <w:color w:val="auto"/>
        </w:rPr>
        <w:t>ccuray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53" w:name="page154"/>
    <w:bookmarkEnd w:id="153"/>
    <w:p>
      <w:pPr>
        <w:ind w:left="6560"/>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15</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NUMPAGES \* Arabic \* MERGEFORMAT 31</w:t>
      </w:r>
    </w:p>
    <w:p>
      <w:pPr>
        <w:spacing w:after="0" w:line="200" w:lineRule="exact"/>
        <w:rPr>
          <w:sz w:val="20"/>
          <w:szCs w:val="20"/>
          <w:color w:val="auto"/>
        </w:rPr>
      </w:pPr>
    </w:p>
    <w:p>
      <w:pPr>
        <w:spacing w:after="0" w:line="24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00171E"/>
        </w:rPr>
        <w:t>EXECUTIVE AND THE COMPANY FURTHER AGREE THAT, TO THE FULLEST EXTENT PERMITTED BY LAW, EXECUTIVE MAY BRING ANY ARBITRATION PROCEEDING ONLY IN EXECUTIVE’S INDIVIDUAL CAPACITY, AND NOT AS A PLAINTIFF, REPRESENTATIVE, OR CLASS MEMBER IN ANY PURPORTED CLASS OR COLLECTIVE ACTION, LAWSUIT OR PROCEEDING. EXECUTIVE AGREES THAT ANY CLAIMS EXECUTIVE MAY BRING PURSUANT TO THE PRIVATE ATTORNEYS GENERAL ACT (“PAGA”) ON BEHALF OF THE LABOR AND WORKFORCE DEVELOPMENT AGENCY MUST BE ARBITRATED ONLY IN EXECUTIVE’S INDIVIDUAL CAPACITY WITHOUT ANY JOINDER OR REPRESENTATION OF ANY CALIFORNIA LABOR CODE VIOLATIONS THAT WERE OR COULD BE ASSERTED BY OR ON BEHALF OF ANY OTHER PERSONS. EXECUTIVE AND THE COMPANY AGREE THAT THIS ARBITRATION PROCEDURE WILL BE THE EXCLUSIVE MEANS OF REDRESS FOR ANY DISPUTES RELATING TO OR ARISING FROM EXECUTIVE’S EMPLOYMENT WITH THE COMPANY OR TERMINATION THEREFROM, INCLUDING DISPUTES OVER UNPAID WAGES, BREACH OF CONTRACT OR TORT, VIOLATION OF PUBLIC POLICY, RIGHTS PROVIDED BY FEDERAL, STATE OR LOCAL STATUTES, REGULATIONS, ORDINANCES, AND COMMON LAW, LAWS THAT PROHIBIT DISCRIMINATION BASED ON ANY PROTECTED CLASSIFICATION, AND ANY OTHER STATUTES OR LAWS RELATING TO AN EXECUTIVE’S RELATIONSHIP WITH THE COMPANY. THE FOREGOING NOTWITHSTANDING, CLAIMS FOR WORKERS’ COMPENSATION BENEFITS OR UNEMPLOYMENT INSURANCE, OR ANY OTHER CLAIMS WHERE MANDATORY ARBITRATION IS PROHIBITED BY LAW, ARE NOT COVERED BY THIS ARBITRATION PROVISION. THE PARTIES EXPRESSLY WAIVE THE RIGHT TO A JURY TRIAL, AND AGREE THAT THE ARBITRATOR’S AWARD SHALL BE FINAL AND BINDING ON BOTH PARTIES. THIS ARBITRATION PROVISION IS TO BE CONSTRUED AS BROADLY AS IS PERMISSIBLE UNDER APPLICABLE LAW.</w:t>
      </w:r>
    </w:p>
    <w:p>
      <w:pPr>
        <w:spacing w:after="0" w:line="186" w:lineRule="exact"/>
        <w:rPr>
          <w:sz w:val="20"/>
          <w:szCs w:val="20"/>
          <w:color w:val="auto"/>
        </w:rPr>
      </w:pPr>
    </w:p>
    <w:p>
      <w:pPr>
        <w:jc w:val="both"/>
        <w:ind w:firstLine="757"/>
        <w:spacing w:after="0" w:line="245" w:lineRule="auto"/>
        <w:tabs>
          <w:tab w:leader="none" w:pos="1018" w:val="left"/>
        </w:tabs>
        <w:numPr>
          <w:ilvl w:val="0"/>
          <w:numId w:val="161"/>
        </w:numPr>
        <w:rPr>
          <w:rFonts w:ascii="Times New Roman" w:cs="Times New Roman" w:eastAsia="Times New Roman" w:hAnsi="Times New Roman"/>
          <w:sz w:val="20"/>
          <w:szCs w:val="20"/>
          <w:b w:val="1"/>
          <w:bCs w:val="1"/>
          <w:color w:val="00171E"/>
        </w:rPr>
      </w:pPr>
      <w:r>
        <w:rPr>
          <w:rFonts w:ascii="Times New Roman" w:cs="Times New Roman" w:eastAsia="Times New Roman" w:hAnsi="Times New Roman"/>
          <w:sz w:val="20"/>
          <w:szCs w:val="20"/>
          <w:b w:val="1"/>
          <w:bCs w:val="1"/>
          <w:color w:val="00171E"/>
        </w:rPr>
        <w:t xml:space="preserve">Representations. </w:t>
      </w:r>
      <w:r>
        <w:rPr>
          <w:rFonts w:ascii="Times New Roman" w:cs="Times New Roman" w:eastAsia="Times New Roman" w:hAnsi="Times New Roman"/>
          <w:sz w:val="20"/>
          <w:szCs w:val="20"/>
          <w:color w:val="00171E"/>
        </w:rPr>
        <w:t>Each person executing this Agreement hereby represents and warrants on behalf of himself/herself and of the</w:t>
      </w:r>
      <w:r>
        <w:rPr>
          <w:rFonts w:ascii="Times New Roman" w:cs="Times New Roman" w:eastAsia="Times New Roman" w:hAnsi="Times New Roman"/>
          <w:sz w:val="20"/>
          <w:szCs w:val="20"/>
          <w:b w:val="1"/>
          <w:bCs w:val="1"/>
          <w:color w:val="00171E"/>
        </w:rPr>
        <w:t xml:space="preserve"> </w:t>
      </w:r>
      <w:r>
        <w:rPr>
          <w:rFonts w:ascii="Times New Roman" w:cs="Times New Roman" w:eastAsia="Times New Roman" w:hAnsi="Times New Roman"/>
          <w:sz w:val="20"/>
          <w:szCs w:val="20"/>
          <w:color w:val="00171E"/>
        </w:rPr>
        <w:t>entity/individual on whose behalf he/she is executing the Agreement that he/she is authorized to represent and bind the entity/individual on whose behalf he/she is executing the Agreement. Executive specifically represents and warrants to the Company that he/she reasonably believes (a) he/she is not under any contractual or other obligations that would prevent, limit or impair Executive’s performance of his/her obligations under this Agreement and (b) that entering into this Agreement will not result in a breach of any other agreement to which he/she is a party. Executive acknowledges that Executive has been given the opportunity to consult with legal counsel and seek such advice and consultation as Executive deems appropriate or necessary.</w:t>
      </w:r>
    </w:p>
    <w:p>
      <w:pPr>
        <w:spacing w:after="0" w:line="179" w:lineRule="exact"/>
        <w:rPr>
          <w:rFonts w:ascii="Times New Roman" w:cs="Times New Roman" w:eastAsia="Times New Roman" w:hAnsi="Times New Roman"/>
          <w:sz w:val="20"/>
          <w:szCs w:val="20"/>
          <w:b w:val="1"/>
          <w:bCs w:val="1"/>
          <w:color w:val="00171E"/>
        </w:rPr>
      </w:pPr>
    </w:p>
    <w:p>
      <w:pPr>
        <w:jc w:val="both"/>
        <w:ind w:firstLine="757"/>
        <w:spacing w:after="0" w:line="250" w:lineRule="auto"/>
        <w:tabs>
          <w:tab w:leader="none" w:pos="1018" w:val="left"/>
        </w:tabs>
        <w:numPr>
          <w:ilvl w:val="0"/>
          <w:numId w:val="161"/>
        </w:numPr>
        <w:rPr>
          <w:rFonts w:ascii="Times New Roman" w:cs="Times New Roman" w:eastAsia="Times New Roman" w:hAnsi="Times New Roman"/>
          <w:sz w:val="20"/>
          <w:szCs w:val="20"/>
          <w:b w:val="1"/>
          <w:bCs w:val="1"/>
          <w:color w:val="00171E"/>
        </w:rPr>
      </w:pPr>
      <w:r>
        <w:rPr>
          <w:rFonts w:ascii="Times New Roman" w:cs="Times New Roman" w:eastAsia="Times New Roman" w:hAnsi="Times New Roman"/>
          <w:sz w:val="20"/>
          <w:szCs w:val="20"/>
          <w:b w:val="1"/>
          <w:bCs w:val="1"/>
          <w:color w:val="00171E"/>
        </w:rPr>
        <w:t xml:space="preserve">Amendments and Waivers. </w:t>
      </w:r>
      <w:r>
        <w:rPr>
          <w:rFonts w:ascii="Times New Roman" w:cs="Times New Roman" w:eastAsia="Times New Roman" w:hAnsi="Times New Roman"/>
          <w:sz w:val="20"/>
          <w:szCs w:val="20"/>
          <w:color w:val="00171E"/>
        </w:rPr>
        <w:t>No provisions of this Agreement may be modified, waived, or discharged except by a written</w:t>
      </w:r>
      <w:r>
        <w:rPr>
          <w:rFonts w:ascii="Times New Roman" w:cs="Times New Roman" w:eastAsia="Times New Roman" w:hAnsi="Times New Roman"/>
          <w:sz w:val="20"/>
          <w:szCs w:val="20"/>
          <w:b w:val="1"/>
          <w:bCs w:val="1"/>
          <w:color w:val="00171E"/>
        </w:rPr>
        <w:t xml:space="preserve"> </w:t>
      </w:r>
      <w:r>
        <w:rPr>
          <w:rFonts w:ascii="Times New Roman" w:cs="Times New Roman" w:eastAsia="Times New Roman" w:hAnsi="Times New Roman"/>
          <w:sz w:val="20"/>
          <w:szCs w:val="20"/>
          <w:color w:val="00171E"/>
        </w:rPr>
        <w:t>document signed by Executive and a duly authorized Company officer. Thus, for example, promotions, commendations, and/or bonuses shall not, by themselves, modify, amend, or extend this Agreement. A waiver of any conditions or provisions of this Agreement in a given instance shall not be deemed a waiver of such conditions or provisions at any other time.</w:t>
      </w:r>
    </w:p>
    <w:p>
      <w:pPr>
        <w:spacing w:after="0" w:line="67" w:lineRule="exact"/>
        <w:rPr>
          <w:rFonts w:ascii="Times New Roman" w:cs="Times New Roman" w:eastAsia="Times New Roman" w:hAnsi="Times New Roman"/>
          <w:sz w:val="20"/>
          <w:szCs w:val="20"/>
          <w:b w:val="1"/>
          <w:bCs w:val="1"/>
          <w:color w:val="00171E"/>
        </w:rPr>
      </w:pPr>
    </w:p>
    <w:p>
      <w:pPr>
        <w:ind w:left="1020" w:hanging="263"/>
        <w:spacing w:after="0"/>
        <w:tabs>
          <w:tab w:leader="none" w:pos="1020" w:val="left"/>
        </w:tabs>
        <w:numPr>
          <w:ilvl w:val="0"/>
          <w:numId w:val="161"/>
        </w:numPr>
        <w:rPr>
          <w:rFonts w:ascii="Times New Roman" w:cs="Times New Roman" w:eastAsia="Times New Roman" w:hAnsi="Times New Roman"/>
          <w:sz w:val="20"/>
          <w:szCs w:val="20"/>
          <w:b w:val="1"/>
          <w:bCs w:val="1"/>
          <w:color w:val="00171E"/>
        </w:rPr>
      </w:pPr>
      <w:r>
        <w:rPr>
          <w:rFonts w:ascii="Times New Roman" w:cs="Times New Roman" w:eastAsia="Times New Roman" w:hAnsi="Times New Roman"/>
          <w:sz w:val="20"/>
          <w:szCs w:val="20"/>
          <w:b w:val="1"/>
          <w:bCs w:val="1"/>
          <w:color w:val="00171E"/>
        </w:rPr>
        <w:t>Taxes.</w:t>
      </w:r>
    </w:p>
    <w:p>
      <w:pPr>
        <w:spacing w:after="0" w:line="111" w:lineRule="exact"/>
        <w:rPr>
          <w:rFonts w:ascii="Times New Roman" w:cs="Times New Roman" w:eastAsia="Times New Roman" w:hAnsi="Times New Roman"/>
          <w:sz w:val="20"/>
          <w:szCs w:val="20"/>
          <w:b w:val="1"/>
          <w:bCs w:val="1"/>
          <w:color w:val="00171E"/>
        </w:rPr>
      </w:pPr>
    </w:p>
    <w:p>
      <w:pPr>
        <w:jc w:val="both"/>
        <w:ind w:firstLine="1505"/>
        <w:spacing w:after="0" w:line="249" w:lineRule="auto"/>
        <w:tabs>
          <w:tab w:leader="none" w:pos="2036" w:val="left"/>
        </w:tabs>
        <w:numPr>
          <w:ilvl w:val="1"/>
          <w:numId w:val="161"/>
        </w:numPr>
        <w:rPr>
          <w:rFonts w:ascii="Times New Roman" w:cs="Times New Roman" w:eastAsia="Times New Roman" w:hAnsi="Times New Roman"/>
          <w:sz w:val="20"/>
          <w:szCs w:val="20"/>
          <w:u w:val="single" w:color="auto"/>
          <w:color w:val="00171E"/>
        </w:rPr>
      </w:pPr>
      <w:r>
        <w:rPr>
          <w:rFonts w:ascii="Times New Roman" w:cs="Times New Roman" w:eastAsia="Times New Roman" w:hAnsi="Times New Roman"/>
          <w:sz w:val="20"/>
          <w:szCs w:val="20"/>
          <w:u w:val="single" w:color="auto"/>
          <w:color w:val="00171E"/>
        </w:rPr>
        <w:t>Withholdings</w:t>
      </w:r>
      <w:r>
        <w:rPr>
          <w:rFonts w:ascii="Times New Roman" w:cs="Times New Roman" w:eastAsia="Times New Roman" w:hAnsi="Times New Roman"/>
          <w:sz w:val="20"/>
          <w:szCs w:val="20"/>
          <w:color w:val="00171E"/>
        </w:rPr>
        <w:t>. The Company may withhold from any compensation and benefits payable under this Agreement all federal, state, city and other taxes or amounts as shall be determined by the Company to be required to be withheld pursuant to applicable laws, or governmental regulations or rulings. Executive shall be solely responsible for the satisfaction of any taxes (including employment taxes imposed on employees and penalty taxes on nonqualified deferred compensation).</w:t>
      </w:r>
    </w:p>
    <w:p>
      <w:pPr>
        <w:spacing w:after="0" w:line="71" w:lineRule="exact"/>
        <w:rPr>
          <w:rFonts w:ascii="Times New Roman" w:cs="Times New Roman" w:eastAsia="Times New Roman" w:hAnsi="Times New Roman"/>
          <w:sz w:val="20"/>
          <w:szCs w:val="20"/>
          <w:u w:val="single" w:color="auto"/>
          <w:color w:val="00171E"/>
        </w:rPr>
      </w:pPr>
    </w:p>
    <w:p>
      <w:pPr>
        <w:ind w:firstLine="1505"/>
        <w:spacing w:after="0" w:line="254" w:lineRule="auto"/>
        <w:tabs>
          <w:tab w:leader="none" w:pos="2036" w:val="left"/>
        </w:tabs>
        <w:numPr>
          <w:ilvl w:val="1"/>
          <w:numId w:val="161"/>
        </w:numPr>
        <w:rPr>
          <w:rFonts w:ascii="Times New Roman" w:cs="Times New Roman" w:eastAsia="Times New Roman" w:hAnsi="Times New Roman"/>
          <w:sz w:val="20"/>
          <w:szCs w:val="20"/>
          <w:u w:val="single" w:color="auto"/>
          <w:color w:val="00171E"/>
        </w:rPr>
      </w:pPr>
      <w:r>
        <w:rPr>
          <w:rFonts w:ascii="Times New Roman" w:cs="Times New Roman" w:eastAsia="Times New Roman" w:hAnsi="Times New Roman"/>
          <w:sz w:val="20"/>
          <w:szCs w:val="20"/>
          <w:u w:val="single" w:color="auto"/>
          <w:color w:val="00171E"/>
        </w:rPr>
        <w:t>Net Proceeds Maximization</w:t>
      </w:r>
      <w:r>
        <w:rPr>
          <w:rFonts w:ascii="Times New Roman" w:cs="Times New Roman" w:eastAsia="Times New Roman" w:hAnsi="Times New Roman"/>
          <w:sz w:val="20"/>
          <w:szCs w:val="20"/>
          <w:color w:val="00171E"/>
        </w:rPr>
        <w:t>. Notwithstanding any provision of this Agreement to the contrary, if all or any portion of the payments or benefits received or realized by Executive pursuant to this Agreement either alone or together with other payments or benefits that Executive receives or realizes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71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75"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6"/>
          <w:szCs w:val="16"/>
          <w:b w:val="1"/>
          <w:bCs w:val="1"/>
          <w:color w:val="auto"/>
        </w:rPr>
        <w:t>E</w:t>
      </w:r>
      <w:r>
        <w:rPr>
          <w:rFonts w:ascii="Times New Roman" w:cs="Times New Roman" w:eastAsia="Times New Roman" w:hAnsi="Times New Roman"/>
          <w:sz w:val="10"/>
          <w:szCs w:val="10"/>
          <w:b w:val="1"/>
          <w:bCs w:val="1"/>
          <w:color w:val="auto"/>
        </w:rPr>
        <w:t>xecutive</w:t>
      </w:r>
      <w:r>
        <w:rPr>
          <w:rFonts w:ascii="Times New Roman" w:cs="Times New Roman" w:eastAsia="Times New Roman" w:hAnsi="Times New Roman"/>
          <w:sz w:val="16"/>
          <w:szCs w:val="16"/>
          <w:b w:val="1"/>
          <w:bCs w:val="1"/>
          <w:color w:val="auto"/>
        </w:rPr>
        <w:t xml:space="preserve"> E</w:t>
      </w:r>
      <w:r>
        <w:rPr>
          <w:rFonts w:ascii="Times New Roman" w:cs="Times New Roman" w:eastAsia="Times New Roman" w:hAnsi="Times New Roman"/>
          <w:sz w:val="10"/>
          <w:szCs w:val="10"/>
          <w:b w:val="1"/>
          <w:bCs w:val="1"/>
          <w:color w:val="auto"/>
        </w:rPr>
        <w:t>mployment</w:t>
      </w:r>
      <w:r>
        <w:rPr>
          <w:rFonts w:ascii="Times New Roman" w:cs="Times New Roman" w:eastAsia="Times New Roman" w:hAnsi="Times New Roman"/>
          <w:sz w:val="16"/>
          <w:szCs w:val="16"/>
          <w:b w:val="1"/>
          <w:bCs w:val="1"/>
          <w:color w:val="auto"/>
        </w:rPr>
        <w:t xml:space="preserve"> A</w:t>
      </w:r>
      <w:r>
        <w:rPr>
          <w:rFonts w:ascii="Times New Roman" w:cs="Times New Roman" w:eastAsia="Times New Roman" w:hAnsi="Times New Roman"/>
          <w:sz w:val="10"/>
          <w:szCs w:val="10"/>
          <w:b w:val="1"/>
          <w:bCs w:val="1"/>
          <w:color w:val="auto"/>
        </w:rPr>
        <w:t>gmt</w:t>
      </w:r>
      <w:r>
        <w:rPr>
          <w:rFonts w:ascii="Times New Roman" w:cs="Times New Roman" w:eastAsia="Times New Roman" w:hAnsi="Times New Roman"/>
          <w:sz w:val="16"/>
          <w:szCs w:val="16"/>
          <w:b w:val="1"/>
          <w:bCs w:val="1"/>
          <w:color w:val="auto"/>
        </w:rPr>
        <w:t xml:space="preserve"> S</w:t>
      </w:r>
      <w:r>
        <w:rPr>
          <w:rFonts w:ascii="Times New Roman" w:cs="Times New Roman" w:eastAsia="Times New Roman" w:hAnsi="Times New Roman"/>
          <w:sz w:val="10"/>
          <w:szCs w:val="10"/>
          <w:b w:val="1"/>
          <w:bCs w:val="1"/>
          <w:color w:val="auto"/>
        </w:rPr>
        <w:t>td</w:t>
      </w:r>
      <w:r>
        <w:rPr>
          <w:rFonts w:ascii="Times New Roman" w:cs="Times New Roman" w:eastAsia="Times New Roman" w:hAnsi="Times New Roman"/>
          <w:sz w:val="16"/>
          <w:szCs w:val="16"/>
          <w:b w:val="1"/>
          <w:bCs w:val="1"/>
          <w:color w:val="auto"/>
        </w:rPr>
        <w:t xml:space="preserve"> 11.1.24</w:t>
      </w:r>
      <w:r>
        <w:rPr>
          <w:sz w:val="20"/>
          <w:szCs w:val="20"/>
          <w:color w:val="auto"/>
        </w:rPr>
        <w:tab/>
      </w:r>
      <w:r>
        <w:rPr>
          <w:rFonts w:ascii="Times New Roman" w:cs="Times New Roman" w:eastAsia="Times New Roman" w:hAnsi="Times New Roman"/>
          <w:sz w:val="16"/>
          <w:szCs w:val="16"/>
          <w:b w:val="1"/>
          <w:bCs w:val="1"/>
          <w:color w:val="auto"/>
        </w:rPr>
        <w:t>A</w:t>
      </w:r>
      <w:r>
        <w:rPr>
          <w:rFonts w:ascii="Times New Roman" w:cs="Times New Roman" w:eastAsia="Times New Roman" w:hAnsi="Times New Roman"/>
          <w:sz w:val="10"/>
          <w:szCs w:val="10"/>
          <w:b w:val="1"/>
          <w:bCs w:val="1"/>
          <w:color w:val="auto"/>
        </w:rPr>
        <w:t>ccuray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4" w:name="page155"/>
    <w:bookmarkEnd w:id="154"/>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16</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NUMPAGES \* Arabic \* MERGEFORMAT 31</w:t>
      </w:r>
    </w:p>
    <w:p>
      <w:pPr>
        <w:spacing w:after="0" w:line="200" w:lineRule="exact"/>
        <w:rPr>
          <w:sz w:val="20"/>
          <w:szCs w:val="20"/>
          <w:color w:val="auto"/>
        </w:rPr>
      </w:pPr>
    </w:p>
    <w:p>
      <w:pPr>
        <w:spacing w:after="0" w:line="24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00171E"/>
        </w:rPr>
        <w:t>or is then entitled to receive or realize from the Company or any of its affiliates (“</w:t>
      </w:r>
      <w:r>
        <w:rPr>
          <w:rFonts w:ascii="Times New Roman" w:cs="Times New Roman" w:eastAsia="Times New Roman" w:hAnsi="Times New Roman"/>
          <w:sz w:val="20"/>
          <w:szCs w:val="20"/>
          <w:u w:val="single" w:color="auto"/>
          <w:color w:val="00171E"/>
        </w:rPr>
        <w:t>Potential Parachute Payments</w:t>
      </w:r>
      <w:r>
        <w:rPr>
          <w:rFonts w:ascii="Times New Roman" w:cs="Times New Roman" w:eastAsia="Times New Roman" w:hAnsi="Times New Roman"/>
          <w:sz w:val="20"/>
          <w:szCs w:val="20"/>
          <w:color w:val="00171E"/>
        </w:rPr>
        <w:t>”) would constitute a “parachute payment” within the meaning of section 280G of the Internal Revenue Code of 1986, as amended (the “</w:t>
      </w:r>
      <w:r>
        <w:rPr>
          <w:rFonts w:ascii="Times New Roman" w:cs="Times New Roman" w:eastAsia="Times New Roman" w:hAnsi="Times New Roman"/>
          <w:sz w:val="20"/>
          <w:szCs w:val="20"/>
          <w:u w:val="single" w:color="auto"/>
          <w:color w:val="00171E"/>
        </w:rPr>
        <w:t>Code</w:t>
      </w:r>
      <w:r>
        <w:rPr>
          <w:rFonts w:ascii="Times New Roman" w:cs="Times New Roman" w:eastAsia="Times New Roman" w:hAnsi="Times New Roman"/>
          <w:sz w:val="20"/>
          <w:szCs w:val="20"/>
          <w:color w:val="00171E"/>
        </w:rPr>
        <w:t>”), and/or any corresponding and applicable state law provision, the Potential Parachute Payments will be reduced by reducing the amount of the Potential Parachute Payments to the extent necessary so that no portion of the Potential Parachute Payments will be subject to the excise tax imposed by section 4999 of the Code and any corresponding and/or applicable state law provision. A reduction will be made under the previous sentence only if, by reason of that reduction, Executive's net after tax benefit exceeds the net after tax benefit he/she would realize if the reduction were not made. For purposes of this paragraph, “net after tax benefit” means the sum of (i) the total amount received or realized by Executive pursuant to this Agreement that would constitute a “parachute payment” within the meaning of section 280G of the Code and any corresponding and applicable state law provision, plus (ii) all other payments or benefits that Executive receives or realizes or is then entitled to receive or realize from the Company and any of its affiliates that would constitute a “parachute payment” within the meaning of Section 280G of the Code and any corresponding and applicable state law provision, less (iii) the amount of federal or state income taxes payable with respect to the payments or benefits described in (i) and (ii) above calculated at the maximum marginal individual income tax rate for each year in which payments or benefits are realized by Executive (based upon the rate in effect for that year as set forth in the Code at the time of the first receipt or realization of the foregoing), less (iv) the amount of excise taxes imposed with respect to the payments or benefits described in (i) and (ii) above by section 4999 of the Code and any corresponding and applicable state law provision. All determinations and calculations made in this paragraph shall be made by an independent accounting firm selected by the Company prior to the Change in Control (the “</w:t>
      </w:r>
      <w:r>
        <w:rPr>
          <w:rFonts w:ascii="Times New Roman" w:cs="Times New Roman" w:eastAsia="Times New Roman" w:hAnsi="Times New Roman"/>
          <w:sz w:val="20"/>
          <w:szCs w:val="20"/>
          <w:u w:val="single" w:color="auto"/>
          <w:color w:val="00171E"/>
        </w:rPr>
        <w:t>Accounting Firm</w:t>
      </w:r>
      <w:r>
        <w:rPr>
          <w:rFonts w:ascii="Times New Roman" w:cs="Times New Roman" w:eastAsia="Times New Roman" w:hAnsi="Times New Roman"/>
          <w:sz w:val="20"/>
          <w:szCs w:val="20"/>
          <w:color w:val="00171E"/>
        </w:rPr>
        <w:t xml:space="preserve">”) and the Company will bear all costs and expenses incurred by the Accounting Firm in connection with its determination. The Accounting Firm shall be a nationally recognized United States public accounting firm which has not, during the two (2) years preceding the date of its selection, acted in any way on behalf of (x) the Company or any affiliate thereof or (y) Executive. If any payments or benefits are reduced pursuant to this </w:t>
      </w:r>
      <w:r>
        <w:rPr>
          <w:rFonts w:ascii="Times New Roman" w:cs="Times New Roman" w:eastAsia="Times New Roman" w:hAnsi="Times New Roman"/>
          <w:sz w:val="20"/>
          <w:szCs w:val="20"/>
          <w:u w:val="single" w:color="auto"/>
          <w:color w:val="00171E"/>
        </w:rPr>
        <w:t>Section 16(b)</w:t>
      </w:r>
      <w:r>
        <w:rPr>
          <w:rFonts w:ascii="Times New Roman" w:cs="Times New Roman" w:eastAsia="Times New Roman" w:hAnsi="Times New Roman"/>
          <w:sz w:val="20"/>
          <w:szCs w:val="20"/>
          <w:color w:val="00171E"/>
        </w:rPr>
        <w:t>, they shall be reduced in the following order: First all payments and benefits that do not constitute “nonqualified deferred compensation” within the meaning of Section 409A or that are exempt from Section 409A (with the payments or benefits being reduced in reverse order of when they otherwise would be made or provided); second, all payments or benefits that constitute “nonqualified deferred compensation” within the meaning of Section 409A that are not exempt from Section 409A that were granted to Executive in the 12-month period of time preceding the applicable Change in Control, in the order such benefits were granted to Executive; and third, all remaining payments and benefits shall be reduced pro-rata. Notwithstanding the foregoing, if (i) reducing payments or benefits in the order described above would result in the imposition on Executive of an additional tax under Section 409A, (ii) Executive so notifies the Company before such reductions and payments are made and benefits provided, and (iii) reducing the payments or benefits in another order would not result in the imposition on Executive of an additional tax under Section 409A , payments and benefits shall instead be reduced in such other order.</w:t>
      </w:r>
    </w:p>
    <w:p>
      <w:pPr>
        <w:spacing w:after="0" w:line="94" w:lineRule="exact"/>
        <w:rPr>
          <w:sz w:val="20"/>
          <w:szCs w:val="20"/>
          <w:color w:val="auto"/>
        </w:rPr>
      </w:pPr>
    </w:p>
    <w:p>
      <w:pPr>
        <w:ind w:left="2040" w:hanging="535"/>
        <w:spacing w:after="0"/>
        <w:tabs>
          <w:tab w:leader="none" w:pos="2040" w:val="left"/>
        </w:tabs>
        <w:numPr>
          <w:ilvl w:val="0"/>
          <w:numId w:val="162"/>
        </w:numPr>
        <w:rPr>
          <w:rFonts w:ascii="Times New Roman" w:cs="Times New Roman" w:eastAsia="Times New Roman" w:hAnsi="Times New Roman"/>
          <w:sz w:val="20"/>
          <w:szCs w:val="20"/>
          <w:u w:val="single" w:color="auto"/>
          <w:color w:val="00171E"/>
        </w:rPr>
      </w:pPr>
      <w:r>
        <w:rPr>
          <w:rFonts w:ascii="Times New Roman" w:cs="Times New Roman" w:eastAsia="Times New Roman" w:hAnsi="Times New Roman"/>
          <w:sz w:val="20"/>
          <w:szCs w:val="20"/>
          <w:u w:val="single" w:color="auto"/>
          <w:color w:val="00171E"/>
        </w:rPr>
        <w:t>Section 409A Compliance</w:t>
      </w:r>
      <w:r>
        <w:rPr>
          <w:rFonts w:ascii="Times New Roman" w:cs="Times New Roman" w:eastAsia="Times New Roman" w:hAnsi="Times New Roman"/>
          <w:sz w:val="20"/>
          <w:szCs w:val="20"/>
          <w:color w:val="00171E"/>
        </w:rPr>
        <w:t>.</w:t>
      </w:r>
    </w:p>
    <w:p>
      <w:pPr>
        <w:spacing w:after="0" w:line="107" w:lineRule="exact"/>
        <w:rPr>
          <w:rFonts w:ascii="Times New Roman" w:cs="Times New Roman" w:eastAsia="Times New Roman" w:hAnsi="Times New Roman"/>
          <w:sz w:val="20"/>
          <w:szCs w:val="20"/>
          <w:u w:val="single" w:color="auto"/>
          <w:color w:val="00171E"/>
        </w:rPr>
      </w:pPr>
    </w:p>
    <w:p>
      <w:pPr>
        <w:jc w:val="both"/>
        <w:ind w:firstLine="2254"/>
        <w:spacing w:after="0" w:line="243" w:lineRule="auto"/>
        <w:tabs>
          <w:tab w:leader="none" w:pos="2546" w:val="left"/>
        </w:tabs>
        <w:numPr>
          <w:ilvl w:val="1"/>
          <w:numId w:val="162"/>
        </w:numPr>
        <w:rPr>
          <w:rFonts w:ascii="Times New Roman" w:cs="Times New Roman" w:eastAsia="Times New Roman" w:hAnsi="Times New Roman"/>
          <w:sz w:val="20"/>
          <w:szCs w:val="20"/>
          <w:color w:val="00171E"/>
        </w:rPr>
      </w:pPr>
      <w:r>
        <w:rPr>
          <w:rFonts w:ascii="Times New Roman" w:cs="Times New Roman" w:eastAsia="Times New Roman" w:hAnsi="Times New Roman"/>
          <w:sz w:val="20"/>
          <w:szCs w:val="20"/>
          <w:color w:val="00171E"/>
        </w:rPr>
        <w:t>With respect to any reimbursement of expenses or any provision of in-kind benefits to Executive specified under this Agreement, such reimbursement of expenses or provision of in-kind benefits shall be subject to the following conditions: (1) the expenses eligible for reimbursement or the amount of in-kind benefits provided in one taxable year shall not affect the expenses eligible for reimbursement or the amount of in-kind benefits provided in any other taxable year, except for any medical reimbursement arrangements providing for the reimbursement of expenses referred to in section 105(b) of the Code; (2) the reimbursement of an eligible expense shall be made no later than the end of the year following the year in which such expense was incurred; and (3) the right to reimbursement or in-kind benefits shall not be subject to liquidation or exchange for another benefit. To the extent any bonus that becomes payable to Executive under the Bonus Plan constitutes “deferred compensation” within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71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0"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6"/>
          <w:szCs w:val="16"/>
          <w:b w:val="1"/>
          <w:bCs w:val="1"/>
          <w:color w:val="auto"/>
        </w:rPr>
        <w:t>E</w:t>
      </w:r>
      <w:r>
        <w:rPr>
          <w:rFonts w:ascii="Times New Roman" w:cs="Times New Roman" w:eastAsia="Times New Roman" w:hAnsi="Times New Roman"/>
          <w:sz w:val="10"/>
          <w:szCs w:val="10"/>
          <w:b w:val="1"/>
          <w:bCs w:val="1"/>
          <w:color w:val="auto"/>
        </w:rPr>
        <w:t>xecutive</w:t>
      </w:r>
      <w:r>
        <w:rPr>
          <w:rFonts w:ascii="Times New Roman" w:cs="Times New Roman" w:eastAsia="Times New Roman" w:hAnsi="Times New Roman"/>
          <w:sz w:val="16"/>
          <w:szCs w:val="16"/>
          <w:b w:val="1"/>
          <w:bCs w:val="1"/>
          <w:color w:val="auto"/>
        </w:rPr>
        <w:t xml:space="preserve"> E</w:t>
      </w:r>
      <w:r>
        <w:rPr>
          <w:rFonts w:ascii="Times New Roman" w:cs="Times New Roman" w:eastAsia="Times New Roman" w:hAnsi="Times New Roman"/>
          <w:sz w:val="10"/>
          <w:szCs w:val="10"/>
          <w:b w:val="1"/>
          <w:bCs w:val="1"/>
          <w:color w:val="auto"/>
        </w:rPr>
        <w:t>mployment</w:t>
      </w:r>
      <w:r>
        <w:rPr>
          <w:rFonts w:ascii="Times New Roman" w:cs="Times New Roman" w:eastAsia="Times New Roman" w:hAnsi="Times New Roman"/>
          <w:sz w:val="16"/>
          <w:szCs w:val="16"/>
          <w:b w:val="1"/>
          <w:bCs w:val="1"/>
          <w:color w:val="auto"/>
        </w:rPr>
        <w:t xml:space="preserve"> A</w:t>
      </w:r>
      <w:r>
        <w:rPr>
          <w:rFonts w:ascii="Times New Roman" w:cs="Times New Roman" w:eastAsia="Times New Roman" w:hAnsi="Times New Roman"/>
          <w:sz w:val="10"/>
          <w:szCs w:val="10"/>
          <w:b w:val="1"/>
          <w:bCs w:val="1"/>
          <w:color w:val="auto"/>
        </w:rPr>
        <w:t>gmt</w:t>
      </w:r>
      <w:r>
        <w:rPr>
          <w:rFonts w:ascii="Times New Roman" w:cs="Times New Roman" w:eastAsia="Times New Roman" w:hAnsi="Times New Roman"/>
          <w:sz w:val="16"/>
          <w:szCs w:val="16"/>
          <w:b w:val="1"/>
          <w:bCs w:val="1"/>
          <w:color w:val="auto"/>
        </w:rPr>
        <w:t xml:space="preserve"> S</w:t>
      </w:r>
      <w:r>
        <w:rPr>
          <w:rFonts w:ascii="Times New Roman" w:cs="Times New Roman" w:eastAsia="Times New Roman" w:hAnsi="Times New Roman"/>
          <w:sz w:val="10"/>
          <w:szCs w:val="10"/>
          <w:b w:val="1"/>
          <w:bCs w:val="1"/>
          <w:color w:val="auto"/>
        </w:rPr>
        <w:t>td</w:t>
      </w:r>
      <w:r>
        <w:rPr>
          <w:rFonts w:ascii="Times New Roman" w:cs="Times New Roman" w:eastAsia="Times New Roman" w:hAnsi="Times New Roman"/>
          <w:sz w:val="16"/>
          <w:szCs w:val="16"/>
          <w:b w:val="1"/>
          <w:bCs w:val="1"/>
          <w:color w:val="auto"/>
        </w:rPr>
        <w:t xml:space="preserve"> 11.1.24</w:t>
      </w:r>
      <w:r>
        <w:rPr>
          <w:sz w:val="20"/>
          <w:szCs w:val="20"/>
          <w:color w:val="auto"/>
        </w:rPr>
        <w:tab/>
      </w:r>
      <w:r>
        <w:rPr>
          <w:rFonts w:ascii="Times New Roman" w:cs="Times New Roman" w:eastAsia="Times New Roman" w:hAnsi="Times New Roman"/>
          <w:sz w:val="16"/>
          <w:szCs w:val="16"/>
          <w:b w:val="1"/>
          <w:bCs w:val="1"/>
          <w:color w:val="auto"/>
        </w:rPr>
        <w:t>A</w:t>
      </w:r>
      <w:r>
        <w:rPr>
          <w:rFonts w:ascii="Times New Roman" w:cs="Times New Roman" w:eastAsia="Times New Roman" w:hAnsi="Times New Roman"/>
          <w:sz w:val="10"/>
          <w:szCs w:val="10"/>
          <w:b w:val="1"/>
          <w:bCs w:val="1"/>
          <w:color w:val="auto"/>
        </w:rPr>
        <w:t>ccuray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5" w:name="page156"/>
    <w:bookmarkEnd w:id="155"/>
    <w:p>
      <w:pPr>
        <w:ind w:left="6560"/>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17</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NUMPAGES \* Arabic \* MERGEFORMAT 31</w:t>
      </w:r>
    </w:p>
    <w:p>
      <w:pPr>
        <w:spacing w:after="0" w:line="200" w:lineRule="exact"/>
        <w:rPr>
          <w:sz w:val="20"/>
          <w:szCs w:val="20"/>
          <w:color w:val="auto"/>
        </w:rPr>
      </w:pPr>
    </w:p>
    <w:p>
      <w:pPr>
        <w:spacing w:after="0" w:line="24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00171E"/>
        </w:rPr>
        <w:t>meaning of Section 409A of the Code, then notwithstanding any payment timing provisions in the Bonus Plan to the contrary, such payment will be made in the calendar year in which the applicable performance period ends.</w:t>
      </w:r>
    </w:p>
    <w:p>
      <w:pPr>
        <w:spacing w:after="0" w:line="51" w:lineRule="exact"/>
        <w:rPr>
          <w:sz w:val="20"/>
          <w:szCs w:val="20"/>
          <w:color w:val="auto"/>
        </w:rPr>
      </w:pPr>
    </w:p>
    <w:p>
      <w:pPr>
        <w:jc w:val="both"/>
        <w:ind w:firstLine="2254"/>
        <w:spacing w:after="0" w:line="245" w:lineRule="auto"/>
        <w:tabs>
          <w:tab w:leader="none" w:pos="2546" w:val="left"/>
        </w:tabs>
        <w:numPr>
          <w:ilvl w:val="0"/>
          <w:numId w:val="163"/>
        </w:numPr>
        <w:rPr>
          <w:rFonts w:ascii="Times New Roman" w:cs="Times New Roman" w:eastAsia="Times New Roman" w:hAnsi="Times New Roman"/>
          <w:sz w:val="20"/>
          <w:szCs w:val="20"/>
          <w:color w:val="00171E"/>
        </w:rPr>
      </w:pPr>
      <w:r>
        <w:rPr>
          <w:rFonts w:ascii="Times New Roman" w:cs="Times New Roman" w:eastAsia="Times New Roman" w:hAnsi="Times New Roman"/>
          <w:sz w:val="20"/>
          <w:szCs w:val="20"/>
          <w:color w:val="00171E"/>
        </w:rPr>
        <w:t>A termination of employment shall not be deemed to have occurred for purposes of any provision of this Agreement providing for the payment of any amounts or benefits considered “deferred compensation” (as defined under Treasury Regulation section 1.409A-1(b)(1), after giving effect to the exemptions in Treasury Regulation sections 1.409A-1(b)(3) through (b)(12)) upon or following a termination of employment unless such termination is also a “separation from service” within the meaning of Section 409A and, for purposes of any such provision of this Agreement, references to a “termination,” “termination of employment” or like terms shall mean “separation from service” within the meaning of Section 409A.</w:t>
      </w:r>
    </w:p>
    <w:p>
      <w:pPr>
        <w:spacing w:after="0" w:line="76" w:lineRule="exact"/>
        <w:rPr>
          <w:sz w:val="20"/>
          <w:szCs w:val="20"/>
          <w:color w:val="auto"/>
        </w:rPr>
      </w:pPr>
    </w:p>
    <w:p>
      <w:pPr>
        <w:jc w:val="both"/>
        <w:ind w:firstLine="2246"/>
        <w:spacing w:after="0" w:line="242" w:lineRule="auto"/>
        <w:rPr>
          <w:sz w:val="20"/>
          <w:szCs w:val="20"/>
          <w:color w:val="auto"/>
        </w:rPr>
      </w:pPr>
      <w:r>
        <w:rPr>
          <w:rFonts w:ascii="Times New Roman" w:cs="Times New Roman" w:eastAsia="Times New Roman" w:hAnsi="Times New Roman"/>
          <w:sz w:val="20"/>
          <w:szCs w:val="20"/>
          <w:color w:val="00171E"/>
        </w:rPr>
        <w:t>(iii)Notwithstanding anything in this Agreement to the contrary, if a payment obligation arises on account of Executive’s separation from service while Executive is a “specified employee” as described in Section 409A of the Code and any final regulations and guidance thereunder and any applicable state or local law equivalent, as each may be amended or promulgated from time to time (collectively, “</w:t>
      </w:r>
      <w:r>
        <w:rPr>
          <w:rFonts w:ascii="Times New Roman" w:cs="Times New Roman" w:eastAsia="Times New Roman" w:hAnsi="Times New Roman"/>
          <w:sz w:val="20"/>
          <w:szCs w:val="20"/>
          <w:u w:val="single" w:color="auto"/>
          <w:color w:val="00171E"/>
        </w:rPr>
        <w:t>Section 409A</w:t>
      </w:r>
      <w:r>
        <w:rPr>
          <w:rFonts w:ascii="Times New Roman" w:cs="Times New Roman" w:eastAsia="Times New Roman" w:hAnsi="Times New Roman"/>
          <w:sz w:val="20"/>
          <w:szCs w:val="20"/>
          <w:color w:val="00171E"/>
        </w:rPr>
        <w:t>”), and as determined by Company in accordance with its procedures, by which determination Executive is bound, any payment of “deferred compensation” (as defined under Treasury Regulation section 1.409A-1(b)(1), after giving effect to the exemptions in Treasury Regulation sections 1.409A-1(b)(3) through (b)(12)) shall be made on the first business day of the seventh month following the date of Executive’s separation from service (or, if earlier, within fifteen (15) days after the appointment of the personal representative or executor of Executive’s estate following Executive’s death) together with interest on them for the period of delay at a rate equal to the average prime interest rate published in the Wall Street Journal on any day chosen by the Company during that period. Thereafter, Executive shall receive any remaining payments as if there had not been an earlier delay.</w:t>
      </w:r>
    </w:p>
    <w:p>
      <w:pPr>
        <w:spacing w:after="0" w:line="84" w:lineRule="exact"/>
        <w:rPr>
          <w:sz w:val="20"/>
          <w:szCs w:val="20"/>
          <w:color w:val="auto"/>
        </w:rPr>
      </w:pPr>
    </w:p>
    <w:p>
      <w:pPr>
        <w:jc w:val="both"/>
        <w:ind w:firstLine="2246"/>
        <w:spacing w:after="0" w:line="245" w:lineRule="auto"/>
        <w:rPr>
          <w:sz w:val="20"/>
          <w:szCs w:val="20"/>
          <w:color w:val="auto"/>
        </w:rPr>
      </w:pPr>
      <w:r>
        <w:rPr>
          <w:rFonts w:ascii="Times New Roman" w:cs="Times New Roman" w:eastAsia="Times New Roman" w:hAnsi="Times New Roman"/>
          <w:sz w:val="20"/>
          <w:szCs w:val="20"/>
          <w:color w:val="00171E"/>
        </w:rPr>
        <w:t>(iv)Notwithstanding anything to the contrary contained in this Agreement, (i) the Executive shall have no legally-enforceable right to, and the Company shall have no obligation to make, any payment or provide any benefit to Executive if having such a right or obligation would result in the imposition of additional taxes under Section 409A, and (ii) any provision that would cause any payment or benefit to fail to satisfy Section 409A will have no force and effect until amended to comply therewith (which amendment may be retroactive to the extent permitted by Section 409A and may be accomplished by the Company without the Executive’s consent). Each payment made under this Agreement is intended to be a separate payment for the purposes of section 409A of the Code.</w:t>
      </w:r>
    </w:p>
    <w:p>
      <w:pPr>
        <w:spacing w:after="0" w:line="76" w:lineRule="exact"/>
        <w:rPr>
          <w:sz w:val="20"/>
          <w:szCs w:val="20"/>
          <w:color w:val="auto"/>
        </w:rPr>
      </w:pPr>
    </w:p>
    <w:p>
      <w:pPr>
        <w:jc w:val="both"/>
        <w:ind w:firstLine="2254"/>
        <w:spacing w:after="0" w:line="244" w:lineRule="auto"/>
        <w:tabs>
          <w:tab w:leader="none" w:pos="2546" w:val="left"/>
        </w:tabs>
        <w:numPr>
          <w:ilvl w:val="1"/>
          <w:numId w:val="164"/>
        </w:numPr>
        <w:rPr>
          <w:rFonts w:ascii="Times New Roman" w:cs="Times New Roman" w:eastAsia="Times New Roman" w:hAnsi="Times New Roman"/>
          <w:sz w:val="20"/>
          <w:szCs w:val="20"/>
          <w:color w:val="00171E"/>
        </w:rPr>
      </w:pPr>
      <w:r>
        <w:rPr>
          <w:rFonts w:ascii="Times New Roman" w:cs="Times New Roman" w:eastAsia="Times New Roman" w:hAnsi="Times New Roman"/>
          <w:sz w:val="20"/>
          <w:szCs w:val="20"/>
          <w:color w:val="00171E"/>
        </w:rPr>
        <w:t>The Company does not guarantee any particular tax effect to Executive under this Agreement. Company shall not be liable to Executive for reporting in good faith any payment made under this Agreement as an amount includible in gross income under Section 409A. In no event will the Company or any of its affiliates have any obligation, liability or responsibility to reimburse or indemnify Executive or hold Executive harmless for any taxes imposed, or other costs incurred, as a result of Section 409A. The parties intend this Agreement to be exempt from, or comply with, the requirements of Section 409A so that none of the payments and benefits to be provided hereunder will be subject to the additional tax imposed by Section 409A. Any ambiguities or ambiguous terms shall be interpreted to so be exempt or comply, and this Agreement shall be administered in accordance with such intent.</w:t>
      </w:r>
    </w:p>
    <w:p>
      <w:pPr>
        <w:spacing w:after="0" w:line="73" w:lineRule="exact"/>
        <w:rPr>
          <w:rFonts w:ascii="Times New Roman" w:cs="Times New Roman" w:eastAsia="Times New Roman" w:hAnsi="Times New Roman"/>
          <w:sz w:val="20"/>
          <w:szCs w:val="20"/>
          <w:color w:val="00171E"/>
        </w:rPr>
      </w:pPr>
    </w:p>
    <w:p>
      <w:pPr>
        <w:jc w:val="both"/>
        <w:ind w:firstLine="757"/>
        <w:spacing w:after="0" w:line="250" w:lineRule="auto"/>
        <w:tabs>
          <w:tab w:leader="none" w:pos="1018" w:val="left"/>
        </w:tabs>
        <w:numPr>
          <w:ilvl w:val="0"/>
          <w:numId w:val="165"/>
        </w:numPr>
        <w:rPr>
          <w:rFonts w:ascii="Times New Roman" w:cs="Times New Roman" w:eastAsia="Times New Roman" w:hAnsi="Times New Roman"/>
          <w:sz w:val="20"/>
          <w:szCs w:val="20"/>
          <w:b w:val="1"/>
          <w:bCs w:val="1"/>
          <w:color w:val="00171E"/>
        </w:rPr>
      </w:pPr>
      <w:r>
        <w:rPr>
          <w:rFonts w:ascii="Times New Roman" w:cs="Times New Roman" w:eastAsia="Times New Roman" w:hAnsi="Times New Roman"/>
          <w:sz w:val="20"/>
          <w:szCs w:val="20"/>
          <w:b w:val="1"/>
          <w:bCs w:val="1"/>
          <w:color w:val="00171E"/>
        </w:rPr>
        <w:t xml:space="preserve">U.S. Citizenship and Immigration Services; Confidentiality and Inventions Agreement. </w:t>
      </w:r>
      <w:r>
        <w:rPr>
          <w:rFonts w:ascii="Times New Roman" w:cs="Times New Roman" w:eastAsia="Times New Roman" w:hAnsi="Times New Roman"/>
          <w:sz w:val="20"/>
          <w:szCs w:val="20"/>
          <w:color w:val="00171E"/>
        </w:rPr>
        <w:t>Executive agrees to timely file all</w:t>
      </w:r>
      <w:r>
        <w:rPr>
          <w:rFonts w:ascii="Times New Roman" w:cs="Times New Roman" w:eastAsia="Times New Roman" w:hAnsi="Times New Roman"/>
          <w:sz w:val="20"/>
          <w:szCs w:val="20"/>
          <w:b w:val="1"/>
          <w:bCs w:val="1"/>
          <w:color w:val="00171E"/>
        </w:rPr>
        <w:t xml:space="preserve"> </w:t>
      </w:r>
      <w:r>
        <w:rPr>
          <w:rFonts w:ascii="Times New Roman" w:cs="Times New Roman" w:eastAsia="Times New Roman" w:hAnsi="Times New Roman"/>
          <w:sz w:val="20"/>
          <w:szCs w:val="20"/>
          <w:color w:val="00171E"/>
        </w:rPr>
        <w:t>documents required by the Department of Homeland Security to verify his/her identity and lawful employment in the United States. In addition, as a condition to Executive’s employment with the Company, Executive is required to complete, sign, return, and abide by the Company’s Employee Confidentiality and Inventions Agreement.</w:t>
      </w:r>
    </w:p>
    <w:p>
      <w:pPr>
        <w:spacing w:after="0" w:line="67" w:lineRule="exact"/>
        <w:rPr>
          <w:rFonts w:ascii="Times New Roman" w:cs="Times New Roman" w:eastAsia="Times New Roman" w:hAnsi="Times New Roman"/>
          <w:sz w:val="20"/>
          <w:szCs w:val="20"/>
          <w:b w:val="1"/>
          <w:bCs w:val="1"/>
          <w:color w:val="00171E"/>
        </w:rPr>
      </w:pPr>
    </w:p>
    <w:p>
      <w:pPr>
        <w:ind w:firstLine="757"/>
        <w:spacing w:after="0" w:line="273" w:lineRule="auto"/>
        <w:tabs>
          <w:tab w:leader="none" w:pos="1018" w:val="left"/>
        </w:tabs>
        <w:numPr>
          <w:ilvl w:val="0"/>
          <w:numId w:val="165"/>
        </w:numPr>
        <w:rPr>
          <w:rFonts w:ascii="Times New Roman" w:cs="Times New Roman" w:eastAsia="Times New Roman" w:hAnsi="Times New Roman"/>
          <w:sz w:val="20"/>
          <w:szCs w:val="20"/>
          <w:b w:val="1"/>
          <w:bCs w:val="1"/>
          <w:color w:val="00171E"/>
        </w:rPr>
      </w:pPr>
      <w:r>
        <w:rPr>
          <w:rFonts w:ascii="Times New Roman" w:cs="Times New Roman" w:eastAsia="Times New Roman" w:hAnsi="Times New Roman"/>
          <w:sz w:val="20"/>
          <w:szCs w:val="20"/>
          <w:b w:val="1"/>
          <w:bCs w:val="1"/>
          <w:color w:val="00171E"/>
        </w:rPr>
        <w:t xml:space="preserve">Counterparts. </w:t>
      </w:r>
      <w:r>
        <w:rPr>
          <w:rFonts w:ascii="Times New Roman" w:cs="Times New Roman" w:eastAsia="Times New Roman" w:hAnsi="Times New Roman"/>
          <w:sz w:val="20"/>
          <w:szCs w:val="20"/>
          <w:color w:val="00171E"/>
        </w:rPr>
        <w:t>This Agreement may be executed in one or more counterparts, each of which shall be deemed to be an original</w:t>
      </w:r>
      <w:r>
        <w:rPr>
          <w:rFonts w:ascii="Times New Roman" w:cs="Times New Roman" w:eastAsia="Times New Roman" w:hAnsi="Times New Roman"/>
          <w:sz w:val="20"/>
          <w:szCs w:val="20"/>
          <w:b w:val="1"/>
          <w:bCs w:val="1"/>
          <w:color w:val="00171E"/>
        </w:rPr>
        <w:t xml:space="preserve"> </w:t>
      </w:r>
      <w:r>
        <w:rPr>
          <w:rFonts w:ascii="Times New Roman" w:cs="Times New Roman" w:eastAsia="Times New Roman" w:hAnsi="Times New Roman"/>
          <w:sz w:val="20"/>
          <w:szCs w:val="20"/>
          <w:color w:val="00171E"/>
        </w:rPr>
        <w:t>but all of which together shall constitute the same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132320" cy="171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56"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6"/>
          <w:szCs w:val="16"/>
          <w:b w:val="1"/>
          <w:bCs w:val="1"/>
          <w:color w:val="auto"/>
        </w:rPr>
        <w:t>E</w:t>
      </w:r>
      <w:r>
        <w:rPr>
          <w:rFonts w:ascii="Times New Roman" w:cs="Times New Roman" w:eastAsia="Times New Roman" w:hAnsi="Times New Roman"/>
          <w:sz w:val="10"/>
          <w:szCs w:val="10"/>
          <w:b w:val="1"/>
          <w:bCs w:val="1"/>
          <w:color w:val="auto"/>
        </w:rPr>
        <w:t>xecutive</w:t>
      </w:r>
      <w:r>
        <w:rPr>
          <w:rFonts w:ascii="Times New Roman" w:cs="Times New Roman" w:eastAsia="Times New Roman" w:hAnsi="Times New Roman"/>
          <w:sz w:val="16"/>
          <w:szCs w:val="16"/>
          <w:b w:val="1"/>
          <w:bCs w:val="1"/>
          <w:color w:val="auto"/>
        </w:rPr>
        <w:t xml:space="preserve"> E</w:t>
      </w:r>
      <w:r>
        <w:rPr>
          <w:rFonts w:ascii="Times New Roman" w:cs="Times New Roman" w:eastAsia="Times New Roman" w:hAnsi="Times New Roman"/>
          <w:sz w:val="10"/>
          <w:szCs w:val="10"/>
          <w:b w:val="1"/>
          <w:bCs w:val="1"/>
          <w:color w:val="auto"/>
        </w:rPr>
        <w:t>mployment</w:t>
      </w:r>
      <w:r>
        <w:rPr>
          <w:rFonts w:ascii="Times New Roman" w:cs="Times New Roman" w:eastAsia="Times New Roman" w:hAnsi="Times New Roman"/>
          <w:sz w:val="16"/>
          <w:szCs w:val="16"/>
          <w:b w:val="1"/>
          <w:bCs w:val="1"/>
          <w:color w:val="auto"/>
        </w:rPr>
        <w:t xml:space="preserve"> A</w:t>
      </w:r>
      <w:r>
        <w:rPr>
          <w:rFonts w:ascii="Times New Roman" w:cs="Times New Roman" w:eastAsia="Times New Roman" w:hAnsi="Times New Roman"/>
          <w:sz w:val="10"/>
          <w:szCs w:val="10"/>
          <w:b w:val="1"/>
          <w:bCs w:val="1"/>
          <w:color w:val="auto"/>
        </w:rPr>
        <w:t>gmt</w:t>
      </w:r>
      <w:r>
        <w:rPr>
          <w:rFonts w:ascii="Times New Roman" w:cs="Times New Roman" w:eastAsia="Times New Roman" w:hAnsi="Times New Roman"/>
          <w:sz w:val="16"/>
          <w:szCs w:val="16"/>
          <w:b w:val="1"/>
          <w:bCs w:val="1"/>
          <w:color w:val="auto"/>
        </w:rPr>
        <w:t xml:space="preserve"> S</w:t>
      </w:r>
      <w:r>
        <w:rPr>
          <w:rFonts w:ascii="Times New Roman" w:cs="Times New Roman" w:eastAsia="Times New Roman" w:hAnsi="Times New Roman"/>
          <w:sz w:val="10"/>
          <w:szCs w:val="10"/>
          <w:b w:val="1"/>
          <w:bCs w:val="1"/>
          <w:color w:val="auto"/>
        </w:rPr>
        <w:t>td</w:t>
      </w:r>
      <w:r>
        <w:rPr>
          <w:rFonts w:ascii="Times New Roman" w:cs="Times New Roman" w:eastAsia="Times New Roman" w:hAnsi="Times New Roman"/>
          <w:sz w:val="16"/>
          <w:szCs w:val="16"/>
          <w:b w:val="1"/>
          <w:bCs w:val="1"/>
          <w:color w:val="auto"/>
        </w:rPr>
        <w:t xml:space="preserve"> 11.1.24</w:t>
      </w:r>
      <w:r>
        <w:rPr>
          <w:sz w:val="20"/>
          <w:szCs w:val="20"/>
          <w:color w:val="auto"/>
        </w:rPr>
        <w:tab/>
      </w:r>
      <w:r>
        <w:rPr>
          <w:rFonts w:ascii="Times New Roman" w:cs="Times New Roman" w:eastAsia="Times New Roman" w:hAnsi="Times New Roman"/>
          <w:sz w:val="16"/>
          <w:szCs w:val="16"/>
          <w:b w:val="1"/>
          <w:bCs w:val="1"/>
          <w:color w:val="auto"/>
        </w:rPr>
        <w:t>A</w:t>
      </w:r>
      <w:r>
        <w:rPr>
          <w:rFonts w:ascii="Times New Roman" w:cs="Times New Roman" w:eastAsia="Times New Roman" w:hAnsi="Times New Roman"/>
          <w:sz w:val="10"/>
          <w:szCs w:val="10"/>
          <w:b w:val="1"/>
          <w:bCs w:val="1"/>
          <w:color w:val="auto"/>
        </w:rPr>
        <w:t>ccuray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18</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NUMPAGES \* Arabic \* MERGEFORMAT 31</w:t>
      </w:r>
    </w:p>
    <w:p>
      <w:pPr>
        <w:spacing w:after="0" w:line="200" w:lineRule="exact"/>
        <w:rPr>
          <w:sz w:val="20"/>
          <w:szCs w:val="20"/>
          <w:color w:val="auto"/>
        </w:rPr>
      </w:pPr>
    </w:p>
    <w:p>
      <w:pPr>
        <w:spacing w:after="0" w:line="237" w:lineRule="exact"/>
        <w:rPr>
          <w:sz w:val="20"/>
          <w:szCs w:val="20"/>
          <w:color w:val="auto"/>
        </w:rPr>
      </w:pPr>
    </w:p>
    <w:p>
      <w:pPr>
        <w:jc w:val="both"/>
        <w:ind w:firstLine="757"/>
        <w:spacing w:after="0" w:line="243" w:lineRule="auto"/>
        <w:tabs>
          <w:tab w:leader="none" w:pos="1144" w:val="left"/>
        </w:tabs>
        <w:numPr>
          <w:ilvl w:val="0"/>
          <w:numId w:val="166"/>
        </w:numPr>
        <w:rPr>
          <w:rFonts w:ascii="Times New Roman" w:cs="Times New Roman" w:eastAsia="Times New Roman" w:hAnsi="Times New Roman"/>
          <w:sz w:val="20"/>
          <w:szCs w:val="20"/>
          <w:b w:val="1"/>
          <w:bCs w:val="1"/>
          <w:color w:val="00171E"/>
        </w:rPr>
      </w:pPr>
      <w:r>
        <w:rPr>
          <w:rFonts w:ascii="Times New Roman" w:cs="Times New Roman" w:eastAsia="Times New Roman" w:hAnsi="Times New Roman"/>
          <w:sz w:val="20"/>
          <w:szCs w:val="20"/>
          <w:b w:val="1"/>
          <w:bCs w:val="1"/>
          <w:color w:val="00171E"/>
        </w:rPr>
        <w:t xml:space="preserve">Resignation from Positions. </w:t>
      </w:r>
      <w:r>
        <w:rPr>
          <w:rFonts w:ascii="Times New Roman" w:cs="Times New Roman" w:eastAsia="Times New Roman" w:hAnsi="Times New Roman"/>
          <w:sz w:val="20"/>
          <w:szCs w:val="20"/>
          <w:color w:val="00171E"/>
        </w:rPr>
        <w:t>Upon Executive’s cessation of employment with the Company for any reason, Executive agrees</w:t>
      </w:r>
      <w:r>
        <w:rPr>
          <w:rFonts w:ascii="Times New Roman" w:cs="Times New Roman" w:eastAsia="Times New Roman" w:hAnsi="Times New Roman"/>
          <w:sz w:val="20"/>
          <w:szCs w:val="20"/>
          <w:b w:val="1"/>
          <w:bCs w:val="1"/>
          <w:color w:val="00171E"/>
        </w:rPr>
        <w:t xml:space="preserve"> </w:t>
      </w:r>
      <w:r>
        <w:rPr>
          <w:rFonts w:ascii="Times New Roman" w:cs="Times New Roman" w:eastAsia="Times New Roman" w:hAnsi="Times New Roman"/>
          <w:sz w:val="20"/>
          <w:szCs w:val="20"/>
          <w:color w:val="00171E"/>
        </w:rPr>
        <w:t xml:space="preserve">that Executive shall be deemed to have resigned as an officer and as a director (if applicable) from the Company and every subsidiary of the Company on which Executive is then serving as an officer or director, and from any other entity or company on which Executive is then serving as a director or officer at the request of the Company, in each case effective as of the date of Executive’s cessation of employment. In the event of Executive’s cessation of employment, Executive agrees to execute a general resignation resigning from all positions then held by Executive on every subsidiary of the Company and other entity or company on which Executive is then serving as a director or officer at the request of the Company. Executive hereby grants the corporate secretary of the Company an irrevocable power of attorney to execute on behalf of Executive all such resignations, documents and instruments and to take all such other actions as reasonably necessary to carry out the intention of this </w:t>
      </w:r>
      <w:r>
        <w:rPr>
          <w:rFonts w:ascii="Times New Roman" w:cs="Times New Roman" w:eastAsia="Times New Roman" w:hAnsi="Times New Roman"/>
          <w:sz w:val="20"/>
          <w:szCs w:val="20"/>
          <w:u w:val="single" w:color="auto"/>
          <w:color w:val="00171E"/>
        </w:rPr>
        <w:t>Section 19</w:t>
      </w:r>
      <w:r>
        <w:rPr>
          <w:rFonts w:ascii="Times New Roman" w:cs="Times New Roman" w:eastAsia="Times New Roman" w:hAnsi="Times New Roman"/>
          <w:sz w:val="20"/>
          <w:szCs w:val="20"/>
          <w:color w:val="00171E"/>
        </w:rPr>
        <w:t>.</w:t>
      </w:r>
    </w:p>
    <w:p>
      <w:pPr>
        <w:spacing w:after="0" w:line="77" w:lineRule="exact"/>
        <w:rPr>
          <w:rFonts w:ascii="Times New Roman" w:cs="Times New Roman" w:eastAsia="Times New Roman" w:hAnsi="Times New Roman"/>
          <w:sz w:val="20"/>
          <w:szCs w:val="20"/>
          <w:b w:val="1"/>
          <w:bCs w:val="1"/>
          <w:color w:val="00171E"/>
        </w:rPr>
      </w:pPr>
    </w:p>
    <w:p>
      <w:pPr>
        <w:jc w:val="both"/>
        <w:ind w:firstLine="757"/>
        <w:spacing w:after="0" w:line="256" w:lineRule="auto"/>
        <w:tabs>
          <w:tab w:leader="none" w:pos="1225" w:val="left"/>
        </w:tabs>
        <w:numPr>
          <w:ilvl w:val="0"/>
          <w:numId w:val="166"/>
        </w:numPr>
        <w:rPr>
          <w:rFonts w:ascii="Times New Roman" w:cs="Times New Roman" w:eastAsia="Times New Roman" w:hAnsi="Times New Roman"/>
          <w:sz w:val="20"/>
          <w:szCs w:val="20"/>
          <w:b w:val="1"/>
          <w:bCs w:val="1"/>
          <w:color w:val="00171E"/>
        </w:rPr>
      </w:pPr>
      <w:r>
        <w:rPr>
          <w:rFonts w:ascii="Times New Roman" w:cs="Times New Roman" w:eastAsia="Times New Roman" w:hAnsi="Times New Roman"/>
          <w:sz w:val="20"/>
          <w:szCs w:val="20"/>
          <w:b w:val="1"/>
          <w:bCs w:val="1"/>
          <w:color w:val="00171E"/>
        </w:rPr>
        <w:t xml:space="preserve">Executive’s Commencement of Employment. </w:t>
      </w:r>
      <w:r>
        <w:rPr>
          <w:rFonts w:ascii="Times New Roman" w:cs="Times New Roman" w:eastAsia="Times New Roman" w:hAnsi="Times New Roman"/>
          <w:sz w:val="20"/>
          <w:szCs w:val="20"/>
          <w:color w:val="00171E"/>
        </w:rPr>
        <w:t>It is a condition precedent to the effectiveness of this Agreement that</w:t>
      </w:r>
      <w:r>
        <w:rPr>
          <w:rFonts w:ascii="Times New Roman" w:cs="Times New Roman" w:eastAsia="Times New Roman" w:hAnsi="Times New Roman"/>
          <w:sz w:val="20"/>
          <w:szCs w:val="20"/>
          <w:b w:val="1"/>
          <w:bCs w:val="1"/>
          <w:color w:val="00171E"/>
        </w:rPr>
        <w:t xml:space="preserve"> </w:t>
      </w:r>
      <w:r>
        <w:rPr>
          <w:rFonts w:ascii="Times New Roman" w:cs="Times New Roman" w:eastAsia="Times New Roman" w:hAnsi="Times New Roman"/>
          <w:sz w:val="20"/>
          <w:szCs w:val="20"/>
          <w:color w:val="00171E"/>
        </w:rPr>
        <w:t>Executive commences working full-time for the Company. If Executive does not commence such full-time employment on the Effective Date, then this Agreement shall be null and void and the Company shall have no obligations hereunder or otherwise to Executive.</w:t>
      </w:r>
    </w:p>
    <w:p>
      <w:pPr>
        <w:spacing w:after="0" w:line="60" w:lineRule="exact"/>
        <w:rPr>
          <w:rFonts w:ascii="Times New Roman" w:cs="Times New Roman" w:eastAsia="Times New Roman" w:hAnsi="Times New Roman"/>
          <w:sz w:val="20"/>
          <w:szCs w:val="20"/>
          <w:b w:val="1"/>
          <w:bCs w:val="1"/>
          <w:color w:val="00171E"/>
        </w:rPr>
      </w:pPr>
    </w:p>
    <w:p>
      <w:pPr>
        <w:ind w:left="1160" w:hanging="403"/>
        <w:spacing w:after="0"/>
        <w:tabs>
          <w:tab w:leader="none" w:pos="1160" w:val="left"/>
        </w:tabs>
        <w:numPr>
          <w:ilvl w:val="0"/>
          <w:numId w:val="166"/>
        </w:numPr>
        <w:rPr>
          <w:rFonts w:ascii="Times New Roman" w:cs="Times New Roman" w:eastAsia="Times New Roman" w:hAnsi="Times New Roman"/>
          <w:sz w:val="20"/>
          <w:szCs w:val="20"/>
          <w:b w:val="1"/>
          <w:bCs w:val="1"/>
          <w:color w:val="00171E"/>
        </w:rPr>
      </w:pPr>
      <w:r>
        <w:rPr>
          <w:rFonts w:ascii="Times New Roman" w:cs="Times New Roman" w:eastAsia="Times New Roman" w:hAnsi="Times New Roman"/>
          <w:sz w:val="20"/>
          <w:szCs w:val="20"/>
          <w:b w:val="1"/>
          <w:bCs w:val="1"/>
          <w:color w:val="00171E"/>
        </w:rPr>
        <w:t>Executive’s Acknowledgement.</w:t>
      </w:r>
    </w:p>
    <w:p>
      <w:pPr>
        <w:spacing w:after="0" w:line="125" w:lineRule="exact"/>
        <w:rPr>
          <w:sz w:val="20"/>
          <w:szCs w:val="20"/>
          <w:color w:val="auto"/>
        </w:rPr>
      </w:pPr>
    </w:p>
    <w:p>
      <w:pPr>
        <w:jc w:val="both"/>
        <w:ind w:left="460" w:right="440"/>
        <w:spacing w:after="0" w:line="246" w:lineRule="auto"/>
        <w:rPr>
          <w:sz w:val="20"/>
          <w:szCs w:val="20"/>
          <w:color w:val="auto"/>
        </w:rPr>
      </w:pPr>
      <w:r>
        <w:rPr>
          <w:rFonts w:ascii="Times New Roman" w:cs="Times New Roman" w:eastAsia="Times New Roman" w:hAnsi="Times New Roman"/>
          <w:sz w:val="20"/>
          <w:szCs w:val="20"/>
          <w:color w:val="00171E"/>
        </w:rPr>
        <w:t>EXECUTIVE ACKNOWLEDGES THAT ALL UNDERSTANDINGS AND AGREEMENTS BETWEEN THE COMPANY AND HIM/HER RELATING TO THE SUBJECTS COVERED IN THIS AGREEMENT ARE CONTAINED IN IT (INCLUDING THE AGREEMENTS SET FORTH AS EXHIBITS) AND THAT HE/SHE HAS ENTERED INTO THIS AGREEMENT VOLUNTARILY AND NOT IN RELIANCE ON ANY PROMISES OR REPRESENTATIONS BY THE COMPANY OTHER THAN THOSE CONTAINED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-744220</wp:posOffset>
            </wp:positionV>
            <wp:extent cx="6707505" cy="180467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6707505" cy="1804670"/>
                    </a:xfrm>
                    <a:prstGeom prst="rect">
                      <a:avLst/>
                    </a:prstGeom>
                    <a:noFill/>
                  </pic:spPr>
                </pic:pic>
              </a:graphicData>
            </a:graphic>
          </wp:anchor>
        </w:drawing>
      </w:r>
    </w:p>
    <w:p>
      <w:pPr>
        <w:spacing w:after="0" w:line="178" w:lineRule="exact"/>
        <w:rPr>
          <w:sz w:val="20"/>
          <w:szCs w:val="20"/>
          <w:color w:val="auto"/>
        </w:rPr>
      </w:pPr>
    </w:p>
    <w:p>
      <w:pPr>
        <w:jc w:val="both"/>
        <w:ind w:left="460" w:right="460"/>
        <w:spacing w:after="0" w:line="245" w:lineRule="auto"/>
        <w:rPr>
          <w:sz w:val="20"/>
          <w:szCs w:val="20"/>
          <w:color w:val="auto"/>
        </w:rPr>
      </w:pPr>
      <w:r>
        <w:rPr>
          <w:rFonts w:ascii="Times New Roman" w:cs="Times New Roman" w:eastAsia="Times New Roman" w:hAnsi="Times New Roman"/>
          <w:sz w:val="20"/>
          <w:szCs w:val="20"/>
          <w:color w:val="00171E"/>
        </w:rPr>
        <w:t>EXECUTIVE FURTHER ACKNOWLEDGES THAT HE/SHE HAS CAREFULLY READ THIS AGREEMENT (INCLUDING THE AGREEMENTS SET FORTH AS EXHIBITS), THAT HE/SHE UNDERSTANDS ALL OF SUCH AGREEMENTS, AND THAT HE/SHE HAS BEEN GIVEN THE OPPORTUNITY TO DISCUSS SUCH AGREEMENTS WITH HIS/HER PRIVATE LEGAL COUNSEL AND HAS AVAILED HIMSELF/HERSELF OF THAT OPPORTUNITY TO THE EXTENT HE/SHE WISHED TO DO SO. EXECUTIVE UNDERSTANDS THAT THE DISPUTE RESOLUTION PROVISIONS OF THIS AGREEMENT GIVE UP THE RIGHT TO A JURY TRIAL ON MATTERS COVERED BY THEM.</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00171E"/>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171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12"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6"/>
          <w:szCs w:val="16"/>
          <w:b w:val="1"/>
          <w:bCs w:val="1"/>
          <w:color w:val="auto"/>
        </w:rPr>
        <w:t>E</w:t>
      </w:r>
      <w:r>
        <w:rPr>
          <w:rFonts w:ascii="Times New Roman" w:cs="Times New Roman" w:eastAsia="Times New Roman" w:hAnsi="Times New Roman"/>
          <w:sz w:val="10"/>
          <w:szCs w:val="10"/>
          <w:b w:val="1"/>
          <w:bCs w:val="1"/>
          <w:color w:val="auto"/>
        </w:rPr>
        <w:t>xecutive</w:t>
      </w:r>
      <w:r>
        <w:rPr>
          <w:rFonts w:ascii="Times New Roman" w:cs="Times New Roman" w:eastAsia="Times New Roman" w:hAnsi="Times New Roman"/>
          <w:sz w:val="16"/>
          <w:szCs w:val="16"/>
          <w:b w:val="1"/>
          <w:bCs w:val="1"/>
          <w:color w:val="auto"/>
        </w:rPr>
        <w:t xml:space="preserve"> E</w:t>
      </w:r>
      <w:r>
        <w:rPr>
          <w:rFonts w:ascii="Times New Roman" w:cs="Times New Roman" w:eastAsia="Times New Roman" w:hAnsi="Times New Roman"/>
          <w:sz w:val="10"/>
          <w:szCs w:val="10"/>
          <w:b w:val="1"/>
          <w:bCs w:val="1"/>
          <w:color w:val="auto"/>
        </w:rPr>
        <w:t>mployment</w:t>
      </w:r>
      <w:r>
        <w:rPr>
          <w:rFonts w:ascii="Times New Roman" w:cs="Times New Roman" w:eastAsia="Times New Roman" w:hAnsi="Times New Roman"/>
          <w:sz w:val="16"/>
          <w:szCs w:val="16"/>
          <w:b w:val="1"/>
          <w:bCs w:val="1"/>
          <w:color w:val="auto"/>
        </w:rPr>
        <w:t xml:space="preserve"> A</w:t>
      </w:r>
      <w:r>
        <w:rPr>
          <w:rFonts w:ascii="Times New Roman" w:cs="Times New Roman" w:eastAsia="Times New Roman" w:hAnsi="Times New Roman"/>
          <w:sz w:val="10"/>
          <w:szCs w:val="10"/>
          <w:b w:val="1"/>
          <w:bCs w:val="1"/>
          <w:color w:val="auto"/>
        </w:rPr>
        <w:t>gmt</w:t>
      </w:r>
      <w:r>
        <w:rPr>
          <w:rFonts w:ascii="Times New Roman" w:cs="Times New Roman" w:eastAsia="Times New Roman" w:hAnsi="Times New Roman"/>
          <w:sz w:val="16"/>
          <w:szCs w:val="16"/>
          <w:b w:val="1"/>
          <w:bCs w:val="1"/>
          <w:color w:val="auto"/>
        </w:rPr>
        <w:t xml:space="preserve"> S</w:t>
      </w:r>
      <w:r>
        <w:rPr>
          <w:rFonts w:ascii="Times New Roman" w:cs="Times New Roman" w:eastAsia="Times New Roman" w:hAnsi="Times New Roman"/>
          <w:sz w:val="10"/>
          <w:szCs w:val="10"/>
          <w:b w:val="1"/>
          <w:bCs w:val="1"/>
          <w:color w:val="auto"/>
        </w:rPr>
        <w:t>td</w:t>
      </w:r>
      <w:r>
        <w:rPr>
          <w:rFonts w:ascii="Times New Roman" w:cs="Times New Roman" w:eastAsia="Times New Roman" w:hAnsi="Times New Roman"/>
          <w:sz w:val="16"/>
          <w:szCs w:val="16"/>
          <w:b w:val="1"/>
          <w:bCs w:val="1"/>
          <w:color w:val="auto"/>
        </w:rPr>
        <w:t xml:space="preserve"> 11.1.24</w:t>
      </w:r>
      <w:r>
        <w:rPr>
          <w:sz w:val="20"/>
          <w:szCs w:val="20"/>
          <w:color w:val="auto"/>
        </w:rPr>
        <w:tab/>
      </w:r>
      <w:r>
        <w:rPr>
          <w:rFonts w:ascii="Times New Roman" w:cs="Times New Roman" w:eastAsia="Times New Roman" w:hAnsi="Times New Roman"/>
          <w:sz w:val="16"/>
          <w:szCs w:val="16"/>
          <w:b w:val="1"/>
          <w:bCs w:val="1"/>
          <w:color w:val="auto"/>
        </w:rPr>
        <w:t>A</w:t>
      </w:r>
      <w:r>
        <w:rPr>
          <w:rFonts w:ascii="Times New Roman" w:cs="Times New Roman" w:eastAsia="Times New Roman" w:hAnsi="Times New Roman"/>
          <w:sz w:val="10"/>
          <w:szCs w:val="10"/>
          <w:b w:val="1"/>
          <w:bCs w:val="1"/>
          <w:color w:val="auto"/>
        </w:rPr>
        <w:t>ccuray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19</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NUMPAGES \* Arabic \* MERGEFORMAT 31</w:t>
      </w:r>
    </w:p>
    <w:p>
      <w:pPr>
        <w:spacing w:after="0" w:line="200" w:lineRule="exact"/>
        <w:rPr>
          <w:sz w:val="20"/>
          <w:szCs w:val="20"/>
          <w:color w:val="auto"/>
        </w:rPr>
      </w:pPr>
    </w:p>
    <w:p>
      <w:pPr>
        <w:spacing w:after="0" w:line="24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00171E"/>
        </w:rPr>
        <w:t>IN WITNESS WHEREOF, the parties have executed this Agreement as of the date first written above.</w:t>
      </w:r>
    </w:p>
    <w:p>
      <w:pPr>
        <w:spacing w:after="0" w:line="225"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0"/>
          <w:szCs w:val="20"/>
          <w:b w:val="1"/>
          <w:bCs w:val="1"/>
          <w:color w:val="00171E"/>
        </w:rPr>
        <w:t>A</w:t>
      </w:r>
      <w:r>
        <w:rPr>
          <w:rFonts w:ascii="Times New Roman" w:cs="Times New Roman" w:eastAsia="Times New Roman" w:hAnsi="Times New Roman"/>
          <w:sz w:val="13"/>
          <w:szCs w:val="13"/>
          <w:b w:val="1"/>
          <w:bCs w:val="1"/>
          <w:color w:val="00171E"/>
        </w:rPr>
        <w:t>ccuray</w:t>
      </w:r>
      <w:r>
        <w:rPr>
          <w:rFonts w:ascii="Times New Roman" w:cs="Times New Roman" w:eastAsia="Times New Roman" w:hAnsi="Times New Roman"/>
          <w:sz w:val="20"/>
          <w:szCs w:val="20"/>
          <w:b w:val="1"/>
          <w:bCs w:val="1"/>
          <w:color w:val="00171E"/>
        </w:rPr>
        <w:t xml:space="preserve"> I</w:t>
      </w:r>
      <w:r>
        <w:rPr>
          <w:rFonts w:ascii="Times New Roman" w:cs="Times New Roman" w:eastAsia="Times New Roman" w:hAnsi="Times New Roman"/>
          <w:sz w:val="13"/>
          <w:szCs w:val="13"/>
          <w:b w:val="1"/>
          <w:bCs w:val="1"/>
          <w:color w:val="00171E"/>
        </w:rPr>
        <w:t>ncorporated</w:t>
      </w:r>
      <w:r>
        <w:rPr>
          <w:rFonts w:ascii="Times New Roman" w:cs="Times New Roman" w:eastAsia="Times New Roman" w:hAnsi="Times New Roman"/>
          <w:sz w:val="20"/>
          <w:szCs w:val="20"/>
          <w:color w:val="00171E"/>
        </w:rPr>
        <w:t>,</w:t>
      </w:r>
    </w:p>
    <w:p>
      <w:pPr>
        <w:spacing w:after="0" w:line="26"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0"/>
          <w:szCs w:val="20"/>
          <w:color w:val="00171E"/>
        </w:rPr>
        <w:t>a Delaware Corporation</w:t>
      </w:r>
    </w:p>
    <w:p>
      <w:pPr>
        <w:spacing w:after="0" w:line="200" w:lineRule="exact"/>
        <w:rPr>
          <w:sz w:val="20"/>
          <w:szCs w:val="20"/>
          <w:color w:val="auto"/>
        </w:rPr>
      </w:pPr>
    </w:p>
    <w:p>
      <w:pPr>
        <w:spacing w:after="0" w:line="23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00171E"/>
        </w:rPr>
        <w:t>By: /s/ Suzanne Winter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-10795</wp:posOffset>
            </wp:positionV>
            <wp:extent cx="157734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00171E"/>
        </w:rPr>
        <w:t>Name: Suzanne Winter</w:t>
      </w:r>
    </w:p>
    <w:p>
      <w:pPr>
        <w:ind w:left="4500"/>
        <w:spacing w:after="0"/>
        <w:tabs>
          <w:tab w:leader="none" w:pos="5100" w:val="left"/>
        </w:tabs>
        <w:rPr>
          <w:sz w:val="20"/>
          <w:szCs w:val="20"/>
          <w:color w:val="auto"/>
        </w:rPr>
      </w:pPr>
      <w:r>
        <w:rPr>
          <w:rFonts w:ascii="Times New Roman" w:cs="Times New Roman" w:eastAsia="Times New Roman" w:hAnsi="Times New Roman"/>
          <w:sz w:val="20"/>
          <w:szCs w:val="20"/>
          <w:color w:val="00171E"/>
        </w:rPr>
        <w:t>Title:</w:t>
      </w:r>
      <w:r>
        <w:rPr>
          <w:sz w:val="20"/>
          <w:szCs w:val="20"/>
          <w:color w:val="auto"/>
        </w:rPr>
        <w:tab/>
      </w:r>
      <w:r>
        <w:rPr>
          <w:rFonts w:ascii="Times New Roman" w:cs="Times New Roman" w:eastAsia="Times New Roman" w:hAnsi="Times New Roman"/>
          <w:sz w:val="19"/>
          <w:szCs w:val="19"/>
          <w:color w:val="00171E"/>
        </w:rPr>
        <w:t>President &amp;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171E"/>
        </w:rPr>
        <w:t>Accepted and Agreed,</w:t>
      </w:r>
    </w:p>
    <w:p>
      <w:pPr>
        <w:spacing w:after="0" w:line="200" w:lineRule="exact"/>
        <w:rPr>
          <w:sz w:val="20"/>
          <w:szCs w:val="20"/>
          <w:color w:val="auto"/>
        </w:rPr>
      </w:pPr>
    </w:p>
    <w:p>
      <w:pPr>
        <w:spacing w:after="0" w:line="259"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0"/>
          <w:szCs w:val="20"/>
          <w:color w:val="00171E"/>
        </w:rPr>
        <w:t>Jesse Chew:</w:t>
      </w:r>
      <w:r>
        <w:rPr>
          <w:sz w:val="20"/>
          <w:szCs w:val="20"/>
          <w:color w:val="auto"/>
        </w:rPr>
        <w:tab/>
      </w:r>
      <w:r>
        <w:rPr>
          <w:rFonts w:ascii="Times New Roman" w:cs="Times New Roman" w:eastAsia="Times New Roman" w:hAnsi="Times New Roman"/>
          <w:sz w:val="19"/>
          <w:szCs w:val="19"/>
          <w:color w:val="00171E"/>
        </w:rPr>
        <w:t>/s/ Jesse Chew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356870</wp:posOffset>
            </wp:positionV>
            <wp:extent cx="7132320" cy="171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758825</wp:posOffset>
            </wp:positionH>
            <wp:positionV relativeFrom="paragraph">
              <wp:posOffset>-10795</wp:posOffset>
            </wp:positionV>
            <wp:extent cx="201041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2010410" cy="8255"/>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6"/>
          <w:szCs w:val="16"/>
          <w:b w:val="1"/>
          <w:bCs w:val="1"/>
          <w:color w:val="auto"/>
        </w:rPr>
        <w:t>E</w:t>
      </w:r>
      <w:r>
        <w:rPr>
          <w:rFonts w:ascii="Times New Roman" w:cs="Times New Roman" w:eastAsia="Times New Roman" w:hAnsi="Times New Roman"/>
          <w:sz w:val="10"/>
          <w:szCs w:val="10"/>
          <w:b w:val="1"/>
          <w:bCs w:val="1"/>
          <w:color w:val="auto"/>
        </w:rPr>
        <w:t>xecutive</w:t>
      </w:r>
      <w:r>
        <w:rPr>
          <w:rFonts w:ascii="Times New Roman" w:cs="Times New Roman" w:eastAsia="Times New Roman" w:hAnsi="Times New Roman"/>
          <w:sz w:val="16"/>
          <w:szCs w:val="16"/>
          <w:b w:val="1"/>
          <w:bCs w:val="1"/>
          <w:color w:val="auto"/>
        </w:rPr>
        <w:t xml:space="preserve"> E</w:t>
      </w:r>
      <w:r>
        <w:rPr>
          <w:rFonts w:ascii="Times New Roman" w:cs="Times New Roman" w:eastAsia="Times New Roman" w:hAnsi="Times New Roman"/>
          <w:sz w:val="10"/>
          <w:szCs w:val="10"/>
          <w:b w:val="1"/>
          <w:bCs w:val="1"/>
          <w:color w:val="auto"/>
        </w:rPr>
        <w:t>mployment</w:t>
      </w:r>
      <w:r>
        <w:rPr>
          <w:rFonts w:ascii="Times New Roman" w:cs="Times New Roman" w:eastAsia="Times New Roman" w:hAnsi="Times New Roman"/>
          <w:sz w:val="16"/>
          <w:szCs w:val="16"/>
          <w:b w:val="1"/>
          <w:bCs w:val="1"/>
          <w:color w:val="auto"/>
        </w:rPr>
        <w:t xml:space="preserve"> A</w:t>
      </w:r>
      <w:r>
        <w:rPr>
          <w:rFonts w:ascii="Times New Roman" w:cs="Times New Roman" w:eastAsia="Times New Roman" w:hAnsi="Times New Roman"/>
          <w:sz w:val="10"/>
          <w:szCs w:val="10"/>
          <w:b w:val="1"/>
          <w:bCs w:val="1"/>
          <w:color w:val="auto"/>
        </w:rPr>
        <w:t>gmt</w:t>
      </w:r>
      <w:r>
        <w:rPr>
          <w:rFonts w:ascii="Times New Roman" w:cs="Times New Roman" w:eastAsia="Times New Roman" w:hAnsi="Times New Roman"/>
          <w:sz w:val="16"/>
          <w:szCs w:val="16"/>
          <w:b w:val="1"/>
          <w:bCs w:val="1"/>
          <w:color w:val="auto"/>
        </w:rPr>
        <w:t xml:space="preserve"> S</w:t>
      </w:r>
      <w:r>
        <w:rPr>
          <w:rFonts w:ascii="Times New Roman" w:cs="Times New Roman" w:eastAsia="Times New Roman" w:hAnsi="Times New Roman"/>
          <w:sz w:val="10"/>
          <w:szCs w:val="10"/>
          <w:b w:val="1"/>
          <w:bCs w:val="1"/>
          <w:color w:val="auto"/>
        </w:rPr>
        <w:t>td</w:t>
      </w:r>
      <w:r>
        <w:rPr>
          <w:rFonts w:ascii="Times New Roman" w:cs="Times New Roman" w:eastAsia="Times New Roman" w:hAnsi="Times New Roman"/>
          <w:sz w:val="16"/>
          <w:szCs w:val="16"/>
          <w:b w:val="1"/>
          <w:bCs w:val="1"/>
          <w:color w:val="auto"/>
        </w:rPr>
        <w:t xml:space="preserve"> 11.1.24</w:t>
      </w:r>
      <w:r>
        <w:rPr>
          <w:sz w:val="20"/>
          <w:szCs w:val="20"/>
          <w:color w:val="auto"/>
        </w:rPr>
        <w:tab/>
      </w:r>
      <w:r>
        <w:rPr>
          <w:rFonts w:ascii="Times New Roman" w:cs="Times New Roman" w:eastAsia="Times New Roman" w:hAnsi="Times New Roman"/>
          <w:sz w:val="16"/>
          <w:szCs w:val="16"/>
          <w:b w:val="1"/>
          <w:bCs w:val="1"/>
          <w:color w:val="auto"/>
        </w:rPr>
        <w:t>A</w:t>
      </w:r>
      <w:r>
        <w:rPr>
          <w:rFonts w:ascii="Times New Roman" w:cs="Times New Roman" w:eastAsia="Times New Roman" w:hAnsi="Times New Roman"/>
          <w:sz w:val="10"/>
          <w:szCs w:val="10"/>
          <w:b w:val="1"/>
          <w:bCs w:val="1"/>
          <w:color w:val="auto"/>
        </w:rPr>
        <w:t>ccuray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8" w:name="page159"/>
    <w:bookmarkEnd w:id="158"/>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20</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NUMPAGES \* Arabic \* MERGEFORMAT 31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00171E"/>
        </w:rPr>
        <w:t>Exhibit A</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00171E"/>
        </w:rPr>
        <w:t>SECTION 7 OF THE DEFEND TRADE SECRETS ACT OF 2016</w:t>
      </w:r>
    </w:p>
    <w:p>
      <w:pPr>
        <w:spacing w:after="0" w:line="200" w:lineRule="exact"/>
        <w:rPr>
          <w:sz w:val="20"/>
          <w:szCs w:val="20"/>
          <w:color w:val="auto"/>
        </w:rPr>
      </w:pPr>
    </w:p>
    <w:p>
      <w:pPr>
        <w:spacing w:after="0" w:line="23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00171E"/>
        </w:rPr>
        <w:t>“ . . . An individual shall not be held criminally or civilly liable under any Federal or State trade secret law for the disclosure of a trade secret that—(A) is made—(i)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 . . An individual who files a lawsuit for retaliation by an employer for reporting a suspected violation of law may disclose the trade secret to the attorney of the individual and use the trade secret information in the court proceeding, if the individual—(A) files any document containing the trade secret under seal; and (B) does not disclose the trade secret, except pursuant to court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483870</wp:posOffset>
            </wp:positionV>
            <wp:extent cx="7132320" cy="171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6"/>
          <w:szCs w:val="16"/>
          <w:b w:val="1"/>
          <w:bCs w:val="1"/>
          <w:color w:val="auto"/>
        </w:rPr>
        <w:t>E</w:t>
      </w:r>
      <w:r>
        <w:rPr>
          <w:rFonts w:ascii="Times New Roman" w:cs="Times New Roman" w:eastAsia="Times New Roman" w:hAnsi="Times New Roman"/>
          <w:sz w:val="10"/>
          <w:szCs w:val="10"/>
          <w:b w:val="1"/>
          <w:bCs w:val="1"/>
          <w:color w:val="auto"/>
        </w:rPr>
        <w:t>xecutive</w:t>
      </w:r>
      <w:r>
        <w:rPr>
          <w:rFonts w:ascii="Times New Roman" w:cs="Times New Roman" w:eastAsia="Times New Roman" w:hAnsi="Times New Roman"/>
          <w:sz w:val="16"/>
          <w:szCs w:val="16"/>
          <w:b w:val="1"/>
          <w:bCs w:val="1"/>
          <w:color w:val="auto"/>
        </w:rPr>
        <w:t xml:space="preserve"> E</w:t>
      </w:r>
      <w:r>
        <w:rPr>
          <w:rFonts w:ascii="Times New Roman" w:cs="Times New Roman" w:eastAsia="Times New Roman" w:hAnsi="Times New Roman"/>
          <w:sz w:val="10"/>
          <w:szCs w:val="10"/>
          <w:b w:val="1"/>
          <w:bCs w:val="1"/>
          <w:color w:val="auto"/>
        </w:rPr>
        <w:t>mployment</w:t>
      </w:r>
      <w:r>
        <w:rPr>
          <w:rFonts w:ascii="Times New Roman" w:cs="Times New Roman" w:eastAsia="Times New Roman" w:hAnsi="Times New Roman"/>
          <w:sz w:val="16"/>
          <w:szCs w:val="16"/>
          <w:b w:val="1"/>
          <w:bCs w:val="1"/>
          <w:color w:val="auto"/>
        </w:rPr>
        <w:t xml:space="preserve"> A</w:t>
      </w:r>
      <w:r>
        <w:rPr>
          <w:rFonts w:ascii="Times New Roman" w:cs="Times New Roman" w:eastAsia="Times New Roman" w:hAnsi="Times New Roman"/>
          <w:sz w:val="10"/>
          <w:szCs w:val="10"/>
          <w:b w:val="1"/>
          <w:bCs w:val="1"/>
          <w:color w:val="auto"/>
        </w:rPr>
        <w:t>gmt</w:t>
      </w:r>
      <w:r>
        <w:rPr>
          <w:rFonts w:ascii="Times New Roman" w:cs="Times New Roman" w:eastAsia="Times New Roman" w:hAnsi="Times New Roman"/>
          <w:sz w:val="16"/>
          <w:szCs w:val="16"/>
          <w:b w:val="1"/>
          <w:bCs w:val="1"/>
          <w:color w:val="auto"/>
        </w:rPr>
        <w:t xml:space="preserve"> S</w:t>
      </w:r>
      <w:r>
        <w:rPr>
          <w:rFonts w:ascii="Times New Roman" w:cs="Times New Roman" w:eastAsia="Times New Roman" w:hAnsi="Times New Roman"/>
          <w:sz w:val="10"/>
          <w:szCs w:val="10"/>
          <w:b w:val="1"/>
          <w:bCs w:val="1"/>
          <w:color w:val="auto"/>
        </w:rPr>
        <w:t>td</w:t>
      </w:r>
      <w:r>
        <w:rPr>
          <w:rFonts w:ascii="Times New Roman" w:cs="Times New Roman" w:eastAsia="Times New Roman" w:hAnsi="Times New Roman"/>
          <w:sz w:val="16"/>
          <w:szCs w:val="16"/>
          <w:b w:val="1"/>
          <w:bCs w:val="1"/>
          <w:color w:val="auto"/>
        </w:rPr>
        <w:t xml:space="preserve"> 11.1.24</w:t>
      </w:r>
      <w:r>
        <w:rPr>
          <w:sz w:val="20"/>
          <w:szCs w:val="20"/>
          <w:color w:val="auto"/>
        </w:rPr>
        <w:tab/>
      </w:r>
      <w:r>
        <w:rPr>
          <w:rFonts w:ascii="Times New Roman" w:cs="Times New Roman" w:eastAsia="Times New Roman" w:hAnsi="Times New Roman"/>
          <w:sz w:val="16"/>
          <w:szCs w:val="16"/>
          <w:b w:val="1"/>
          <w:bCs w:val="1"/>
          <w:color w:val="auto"/>
        </w:rPr>
        <w:t>A</w:t>
      </w:r>
      <w:r>
        <w:rPr>
          <w:rFonts w:ascii="Times New Roman" w:cs="Times New Roman" w:eastAsia="Times New Roman" w:hAnsi="Times New Roman"/>
          <w:sz w:val="10"/>
          <w:szCs w:val="10"/>
          <w:b w:val="1"/>
          <w:bCs w:val="1"/>
          <w:color w:val="auto"/>
        </w:rPr>
        <w:t>ccuray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9" w:name="page160"/>
    <w:bookmarkEnd w:id="15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Suzanne Winter, certify that:</w:t>
      </w:r>
    </w:p>
    <w:p>
      <w:pPr>
        <w:spacing w:after="0" w:line="225" w:lineRule="exact"/>
        <w:rPr>
          <w:sz w:val="20"/>
          <w:szCs w:val="20"/>
          <w:color w:val="auto"/>
        </w:rPr>
      </w:pPr>
    </w:p>
    <w:p>
      <w:pPr>
        <w:ind w:left="380" w:hanging="372"/>
        <w:spacing w:after="0"/>
        <w:tabs>
          <w:tab w:leader="none" w:pos="3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Accuray Incorporated, a Delaware corporation;</w:t>
      </w:r>
    </w:p>
    <w:p>
      <w:pPr>
        <w:spacing w:after="0" w:line="225" w:lineRule="exact"/>
        <w:rPr>
          <w:rFonts w:ascii="Times New Roman" w:cs="Times New Roman" w:eastAsia="Times New Roman" w:hAnsi="Times New Roman"/>
          <w:sz w:val="18"/>
          <w:szCs w:val="18"/>
          <w:color w:val="auto"/>
        </w:rPr>
      </w:pPr>
    </w:p>
    <w:p>
      <w:pPr>
        <w:jc w:val="both"/>
        <w:ind w:left="380" w:right="400" w:hanging="372"/>
        <w:spacing w:after="0" w:line="266" w:lineRule="auto"/>
        <w:tabs>
          <w:tab w:leader="none" w:pos="3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80" w:right="320" w:hanging="372"/>
        <w:spacing w:after="0" w:line="282" w:lineRule="auto"/>
        <w:tabs>
          <w:tab w:leader="none" w:pos="3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80" w:right="380" w:hanging="372"/>
        <w:spacing w:after="0" w:line="266" w:lineRule="auto"/>
        <w:tabs>
          <w:tab w:leader="none" w:pos="3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140" w:right="100" w:hanging="383"/>
        <w:spacing w:after="0" w:line="266" w:lineRule="auto"/>
        <w:tabs>
          <w:tab w:leader="none" w:pos="981"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140" w:right="220" w:hanging="383"/>
        <w:spacing w:after="0" w:line="266" w:lineRule="auto"/>
        <w:tabs>
          <w:tab w:leader="none" w:pos="981"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140" w:right="380" w:hanging="383"/>
        <w:spacing w:after="0" w:line="312" w:lineRule="auto"/>
        <w:tabs>
          <w:tab w:leader="none" w:pos="981" w:val="left"/>
        </w:tabs>
        <w:numPr>
          <w:ilvl w:val="1"/>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140" w:right="80" w:hanging="383"/>
        <w:spacing w:after="0" w:line="266" w:lineRule="auto"/>
        <w:tabs>
          <w:tab w:leader="none" w:pos="981"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80" w:right="260" w:hanging="372"/>
        <w:spacing w:after="0" w:line="282" w:lineRule="auto"/>
        <w:tabs>
          <w:tab w:leader="none" w:pos="3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140" w:right="20" w:hanging="383"/>
        <w:spacing w:after="0" w:line="282" w:lineRule="auto"/>
        <w:tabs>
          <w:tab w:leader="none" w:pos="981"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140" w:right="520" w:hanging="383"/>
        <w:spacing w:after="0" w:line="282" w:lineRule="auto"/>
        <w:tabs>
          <w:tab w:leader="none" w:pos="981"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5, 2025</w:t>
      </w:r>
    </w:p>
    <w:p>
      <w:pPr>
        <w:spacing w:after="0" w:line="22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/s/ SUZANNE WINTER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17145</wp:posOffset>
            </wp:positionV>
            <wp:extent cx="3549015"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Suzanne Winter</w:t>
      </w:r>
    </w:p>
    <w:p>
      <w:pPr>
        <w:spacing w:after="0" w:line="2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0" w:name="page161"/>
    <w:bookmarkEnd w:id="16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Ali Pervaiz, certify that:</w:t>
      </w:r>
    </w:p>
    <w:p>
      <w:pPr>
        <w:spacing w:after="0" w:line="225" w:lineRule="exact"/>
        <w:rPr>
          <w:sz w:val="20"/>
          <w:szCs w:val="20"/>
          <w:color w:val="auto"/>
        </w:rPr>
      </w:pPr>
    </w:p>
    <w:p>
      <w:pPr>
        <w:ind w:left="380" w:hanging="372"/>
        <w:spacing w:after="0"/>
        <w:tabs>
          <w:tab w:leader="none" w:pos="3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Accuray Incorporated, a Delaware corporation;</w:t>
      </w:r>
    </w:p>
    <w:p>
      <w:pPr>
        <w:spacing w:after="0" w:line="225" w:lineRule="exact"/>
        <w:rPr>
          <w:rFonts w:ascii="Times New Roman" w:cs="Times New Roman" w:eastAsia="Times New Roman" w:hAnsi="Times New Roman"/>
          <w:sz w:val="18"/>
          <w:szCs w:val="18"/>
          <w:color w:val="auto"/>
        </w:rPr>
      </w:pPr>
    </w:p>
    <w:p>
      <w:pPr>
        <w:jc w:val="both"/>
        <w:ind w:left="380" w:right="400" w:hanging="372"/>
        <w:spacing w:after="0" w:line="266" w:lineRule="auto"/>
        <w:tabs>
          <w:tab w:leader="none" w:pos="3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80" w:right="320" w:hanging="372"/>
        <w:spacing w:after="0" w:line="282" w:lineRule="auto"/>
        <w:tabs>
          <w:tab w:leader="none" w:pos="3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80" w:right="380" w:hanging="372"/>
        <w:spacing w:after="0" w:line="266" w:lineRule="auto"/>
        <w:tabs>
          <w:tab w:leader="none" w:pos="3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140" w:right="100" w:hanging="383"/>
        <w:spacing w:after="0" w:line="266" w:lineRule="auto"/>
        <w:tabs>
          <w:tab w:leader="none" w:pos="981"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140" w:right="220" w:hanging="383"/>
        <w:spacing w:after="0" w:line="266" w:lineRule="auto"/>
        <w:tabs>
          <w:tab w:leader="none" w:pos="981"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140" w:right="380" w:hanging="383"/>
        <w:spacing w:after="0" w:line="312" w:lineRule="auto"/>
        <w:tabs>
          <w:tab w:leader="none" w:pos="981" w:val="left"/>
        </w:tabs>
        <w:numPr>
          <w:ilvl w:val="1"/>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140" w:right="80" w:hanging="383"/>
        <w:spacing w:after="0" w:line="266" w:lineRule="auto"/>
        <w:tabs>
          <w:tab w:leader="none" w:pos="981"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80" w:right="260" w:hanging="372"/>
        <w:spacing w:after="0" w:line="282" w:lineRule="auto"/>
        <w:tabs>
          <w:tab w:leader="none" w:pos="3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140" w:right="20" w:hanging="383"/>
        <w:spacing w:after="0" w:line="282" w:lineRule="auto"/>
        <w:tabs>
          <w:tab w:leader="none" w:pos="981"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140" w:right="520" w:hanging="383"/>
        <w:spacing w:after="0" w:line="282" w:lineRule="auto"/>
        <w:tabs>
          <w:tab w:leader="none" w:pos="981"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5, 2025</w:t>
      </w:r>
    </w:p>
    <w:p>
      <w:pPr>
        <w:spacing w:after="0" w:line="22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/s/ ALI PERVAIZ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17145</wp:posOffset>
            </wp:positionV>
            <wp:extent cx="3549015"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Ali Pervaiz</w:t>
      </w:r>
    </w:p>
    <w:p>
      <w:pPr>
        <w:spacing w:after="0" w:line="2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1" w:name="page162"/>
    <w:bookmarkEnd w:id="16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Pursuant to 18 U.S.C. § 1350, as created by Section 906 of the Sarbanes-Oxley Act of 2002, the undersigned officers of Accuray Incorporated,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corporation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hereby certify, to such officers’ knowledge, that:</w:t>
      </w:r>
    </w:p>
    <w:p>
      <w:pPr>
        <w:spacing w:after="0" w:line="205" w:lineRule="exact"/>
        <w:rPr>
          <w:sz w:val="20"/>
          <w:szCs w:val="20"/>
          <w:color w:val="auto"/>
        </w:rPr>
      </w:pPr>
    </w:p>
    <w:p>
      <w:pPr>
        <w:ind w:left="420" w:right="20" w:firstLine="420"/>
        <w:spacing w:after="0" w:line="284" w:lineRule="auto"/>
        <w:tabs>
          <w:tab w:leader="none" w:pos="1196"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Quarterly Report on Form 10-Q of the Company for the quarter ended December 31, 2024 (the “</w:t>
      </w:r>
      <w:r>
        <w:rPr>
          <w:rFonts w:ascii="Times New Roman" w:cs="Times New Roman" w:eastAsia="Times New Roman" w:hAnsi="Times New Roman"/>
          <w:sz w:val="18"/>
          <w:szCs w:val="18"/>
          <w:i w:val="1"/>
          <w:iCs w:val="1"/>
          <w:color w:val="auto"/>
        </w:rPr>
        <w:t>Report</w:t>
      </w:r>
      <w:r>
        <w:rPr>
          <w:rFonts w:ascii="Times New Roman" w:cs="Times New Roman" w:eastAsia="Times New Roman" w:hAnsi="Times New Roman"/>
          <w:sz w:val="18"/>
          <w:szCs w:val="18"/>
          <w:color w:val="auto"/>
        </w:rPr>
        <w:t>”) fully complies with the requirements of Section 13(a) or Section 15(d), as applicable, of the Securities Exchange Act of 1934, as amended; and</w:t>
      </w:r>
    </w:p>
    <w:p>
      <w:pPr>
        <w:spacing w:after="0" w:line="160" w:lineRule="exact"/>
        <w:rPr>
          <w:rFonts w:ascii="Times New Roman" w:cs="Times New Roman" w:eastAsia="Times New Roman" w:hAnsi="Times New Roman"/>
          <w:sz w:val="18"/>
          <w:szCs w:val="18"/>
          <w:color w:val="auto"/>
        </w:rPr>
      </w:pPr>
    </w:p>
    <w:p>
      <w:pPr>
        <w:ind w:left="1200" w:hanging="360"/>
        <w:spacing w:after="0"/>
        <w:tabs>
          <w:tab w:leader="none" w:pos="120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ind w:left="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5, 2025</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SUZANNE WINTER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5715</wp:posOffset>
            </wp:positionV>
            <wp:extent cx="356616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ind w:left="5640"/>
        <w:spacing w:after="0"/>
        <w:rPr>
          <w:sz w:val="20"/>
          <w:szCs w:val="20"/>
          <w:color w:val="auto"/>
        </w:rPr>
      </w:pPr>
      <w:r>
        <w:rPr>
          <w:rFonts w:ascii="Times New Roman" w:cs="Times New Roman" w:eastAsia="Times New Roman" w:hAnsi="Times New Roman"/>
          <w:sz w:val="18"/>
          <w:szCs w:val="18"/>
          <w:color w:val="auto"/>
        </w:rPr>
        <w:t>Suzanne Winter</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ALI PERVAIZ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Ali Pervaiz</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2" w:name="page163"/>
    <w:bookmarkEnd w:id="16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F6DD9AC"/>
    <w:multiLevelType w:val="hybridMultilevel"/>
    <w:lvl w:ilvl="0">
      <w:lvlJc w:val="left"/>
      <w:lvlText w:val="☒"/>
      <w:numFmt w:val="bullet"/>
      <w:start w:val="1"/>
    </w:lvl>
  </w:abstractNum>
  <w:abstractNum w:abstractNumId="1">
    <w:nsid w:val="94211F2"/>
    <w:multiLevelType w:val="hybridMultilevel"/>
    <w:lvl w:ilvl="0">
      <w:lvlJc w:val="left"/>
      <w:lvlText w:val="☐"/>
      <w:numFmt w:val="bullet"/>
      <w:start w:val="1"/>
    </w:lvl>
  </w:abstractNum>
  <w:abstractNum w:abstractNumId="2">
    <w:nsid w:val="885E1B"/>
    <w:multiLevelType w:val="hybridMultilevel"/>
    <w:lvl w:ilvl="0">
      <w:lvlJc w:val="left"/>
      <w:lvlText w:val="(%1)"/>
      <w:numFmt w:val="lowerLetter"/>
      <w:start w:val="1"/>
    </w:lvl>
  </w:abstractNum>
  <w:abstractNum w:abstractNumId="3">
    <w:nsid w:val="76272110"/>
    <w:multiLevelType w:val="hybridMultilevel"/>
    <w:lvl w:ilvl="0">
      <w:lvlJc w:val="left"/>
      <w:lvlText w:val="(%1)"/>
      <w:numFmt w:val="lowerLetter"/>
      <w:start w:val="1"/>
    </w:lvl>
  </w:abstractNum>
  <w:abstractNum w:abstractNumId="4">
    <w:nsid w:val="4C04A8AF"/>
    <w:multiLevelType w:val="hybridMultilevel"/>
    <w:lvl w:ilvl="0">
      <w:lvlJc w:val="left"/>
      <w:lvlText w:val="(%1)"/>
      <w:numFmt w:val="decimal"/>
      <w:start w:val="1"/>
    </w:lvl>
  </w:abstractNum>
  <w:abstractNum w:abstractNumId="5">
    <w:nsid w:val="1716703B"/>
    <w:multiLevelType w:val="hybridMultilevel"/>
    <w:lvl w:ilvl="0">
      <w:lvlJc w:val="left"/>
      <w:lvlText w:val="(%1)"/>
      <w:numFmt w:val="decimal"/>
      <w:start w:val="1"/>
    </w:lvl>
  </w:abstractNum>
  <w:abstractNum w:abstractNumId="6">
    <w:nsid w:val="14E17E33"/>
    <w:multiLevelType w:val="hybridMultilevel"/>
    <w:lvl w:ilvl="0">
      <w:lvlJc w:val="left"/>
      <w:lvlText w:val="$"/>
      <w:numFmt w:val="bullet"/>
      <w:start w:val="1"/>
    </w:lvl>
  </w:abstractNum>
  <w:abstractNum w:abstractNumId="7">
    <w:nsid w:val="3222E7CD"/>
    <w:multiLevelType w:val="hybridMultilevel"/>
    <w:lvl w:ilvl="0">
      <w:lvlJc w:val="left"/>
      <w:lvlText w:val="$"/>
      <w:numFmt w:val="bullet"/>
      <w:start w:val="1"/>
    </w:lvl>
  </w:abstractNum>
  <w:abstractNum w:abstractNumId="8">
    <w:nsid w:val="74DE0EE3"/>
    <w:multiLevelType w:val="hybridMultilevel"/>
    <w:lvl w:ilvl="0">
      <w:lvlJc w:val="left"/>
      <w:lvlText w:val="$"/>
      <w:numFmt w:val="bullet"/>
      <w:start w:val="1"/>
    </w:lvl>
  </w:abstractNum>
  <w:abstractNum w:abstractNumId="9">
    <w:nsid w:val="68EBC550"/>
    <w:multiLevelType w:val="hybridMultilevel"/>
    <w:lvl w:ilvl="0">
      <w:lvlJc w:val="left"/>
      <w:lvlText w:val="$"/>
      <w:numFmt w:val="bullet"/>
      <w:start w:val="1"/>
    </w:lvl>
  </w:abstractNum>
  <w:abstractNum w:abstractNumId="10">
    <w:nsid w:val="2DF6D648"/>
    <w:multiLevelType w:val="hybridMultilevel"/>
    <w:lvl w:ilvl="0">
      <w:lvlJc w:val="left"/>
      <w:lvlText w:val="$"/>
      <w:numFmt w:val="bullet"/>
      <w:start w:val="1"/>
    </w:lvl>
  </w:abstractNum>
  <w:abstractNum w:abstractNumId="11">
    <w:nsid w:val="46B7D447"/>
    <w:multiLevelType w:val="hybridMultilevel"/>
    <w:lvl w:ilvl="0">
      <w:lvlJc w:val="left"/>
      <w:lvlText w:val="$"/>
      <w:numFmt w:val="bullet"/>
      <w:start w:val="1"/>
    </w:lvl>
  </w:abstractNum>
  <w:abstractNum w:abstractNumId="12">
    <w:nsid w:val="4A2AC315"/>
    <w:multiLevelType w:val="hybridMultilevel"/>
    <w:lvl w:ilvl="0">
      <w:lvlJc w:val="left"/>
      <w:lvlText w:val="$"/>
      <w:numFmt w:val="bullet"/>
      <w:start w:val="1"/>
    </w:lvl>
  </w:abstractNum>
  <w:abstractNum w:abstractNumId="13">
    <w:nsid w:val="39EE015C"/>
    <w:multiLevelType w:val="hybridMultilevel"/>
    <w:lvl w:ilvl="0">
      <w:lvlJc w:val="left"/>
      <w:lvlText w:val="$"/>
      <w:numFmt w:val="bullet"/>
      <w:start w:val="1"/>
    </w:lvl>
  </w:abstractNum>
  <w:abstractNum w:abstractNumId="14">
    <w:nsid w:val="57FC4FBB"/>
    <w:multiLevelType w:val="hybridMultilevel"/>
    <w:lvl w:ilvl="0">
      <w:lvlJc w:val="left"/>
      <w:lvlText w:val="$"/>
      <w:numFmt w:val="bullet"/>
      <w:start w:val="1"/>
    </w:lvl>
  </w:abstractNum>
  <w:abstractNum w:abstractNumId="15">
    <w:nsid w:val="CC1016F"/>
    <w:multiLevelType w:val="hybridMultilevel"/>
    <w:lvl w:ilvl="0">
      <w:lvlJc w:val="left"/>
      <w:lvlText w:val="$"/>
      <w:numFmt w:val="bullet"/>
      <w:start w:val="1"/>
    </w:lvl>
  </w:abstractNum>
  <w:abstractNum w:abstractNumId="16">
    <w:nsid w:val="43F18422"/>
    <w:multiLevelType w:val="hybridMultilevel"/>
    <w:lvl w:ilvl="0">
      <w:lvlJc w:val="left"/>
      <w:lvlText w:val="•"/>
      <w:numFmt w:val="bullet"/>
      <w:start w:val="1"/>
    </w:lvl>
  </w:abstractNum>
  <w:abstractNum w:abstractNumId="17">
    <w:nsid w:val="60EF0119"/>
    <w:multiLevelType w:val="hybridMultilevel"/>
    <w:lvl w:ilvl="0">
      <w:lvlJc w:val="left"/>
      <w:lvlText w:val="(%1)"/>
      <w:numFmt w:val="decimal"/>
      <w:start w:val="1"/>
    </w:lvl>
  </w:abstractNum>
  <w:abstractNum w:abstractNumId="18">
    <w:nsid w:val="26F324BA"/>
    <w:multiLevelType w:val="hybridMultilevel"/>
    <w:lvl w:ilvl="0">
      <w:lvlJc w:val="left"/>
      <w:lvlText w:val="(%1)"/>
      <w:numFmt w:val="decimal"/>
      <w:start w:val="1"/>
    </w:lvl>
  </w:abstractNum>
  <w:abstractNum w:abstractNumId="19">
    <w:nsid w:val="7F01579B"/>
    <w:multiLevelType w:val="hybridMultilevel"/>
    <w:lvl w:ilvl="0">
      <w:lvlJc w:val="left"/>
      <w:lvlText w:val="•"/>
      <w:numFmt w:val="bullet"/>
      <w:start w:val="1"/>
    </w:lvl>
  </w:abstractNum>
  <w:abstractNum w:abstractNumId="20">
    <w:nsid w:val="49DA307D"/>
    <w:multiLevelType w:val="hybridMultilevel"/>
    <w:lvl w:ilvl="0">
      <w:lvlJc w:val="left"/>
      <w:lvlText w:val="•"/>
      <w:numFmt w:val="bullet"/>
      <w:start w:val="1"/>
    </w:lvl>
  </w:abstractNum>
  <w:abstractNum w:abstractNumId="21">
    <w:nsid w:val="7055A5F5"/>
    <w:multiLevelType w:val="hybridMultilevel"/>
    <w:lvl w:ilvl="0">
      <w:lvlJc w:val="left"/>
      <w:lvlText w:val="(%1)"/>
      <w:numFmt w:val="lowerLetter"/>
      <w:start w:val="1"/>
    </w:lvl>
  </w:abstractNum>
  <w:abstractNum w:abstractNumId="22">
    <w:nsid w:val="5FB8370B"/>
    <w:multiLevelType w:val="hybridMultilevel"/>
    <w:lvl w:ilvl="0">
      <w:lvlJc w:val="left"/>
      <w:lvlText w:val="•"/>
      <w:numFmt w:val="bullet"/>
      <w:start w:val="1"/>
    </w:lvl>
  </w:abstractNum>
  <w:abstractNum w:abstractNumId="23">
    <w:nsid w:val="50801EE1"/>
    <w:multiLevelType w:val="hybridMultilevel"/>
    <w:lvl w:ilvl="0">
      <w:lvlJc w:val="left"/>
      <w:lvlText w:val="•"/>
      <w:numFmt w:val="bullet"/>
      <w:start w:val="1"/>
    </w:lvl>
  </w:abstractNum>
  <w:abstractNum w:abstractNumId="24">
    <w:nsid w:val="488AC1A"/>
    <w:multiLevelType w:val="hybridMultilevel"/>
    <w:lvl w:ilvl="0">
      <w:lvlJc w:val="left"/>
      <w:lvlText w:val="•"/>
      <w:numFmt w:val="bullet"/>
      <w:start w:val="1"/>
    </w:lvl>
  </w:abstractNum>
  <w:abstractNum w:abstractNumId="25">
    <w:nsid w:val="5FB8011C"/>
    <w:multiLevelType w:val="hybridMultilevel"/>
    <w:lvl w:ilvl="0">
      <w:lvlJc w:val="left"/>
      <w:lvlText w:val="•"/>
      <w:numFmt w:val="bullet"/>
      <w:start w:val="1"/>
    </w:lvl>
  </w:abstractNum>
  <w:abstractNum w:abstractNumId="26">
    <w:nsid w:val="6AA78F7F"/>
    <w:multiLevelType w:val="hybridMultilevel"/>
    <w:lvl w:ilvl="0">
      <w:lvlJc w:val="left"/>
      <w:lvlText w:val="•"/>
      <w:numFmt w:val="bullet"/>
      <w:start w:val="1"/>
    </w:lvl>
  </w:abstractNum>
  <w:abstractNum w:abstractNumId="27">
    <w:nsid w:val="7672BD23"/>
    <w:multiLevelType w:val="hybridMultilevel"/>
    <w:lvl w:ilvl="0">
      <w:lvlJc w:val="left"/>
      <w:lvlText w:val="•"/>
      <w:numFmt w:val="bullet"/>
      <w:start w:val="1"/>
    </w:lvl>
  </w:abstractNum>
  <w:abstractNum w:abstractNumId="28">
    <w:nsid w:val="6FC75AF8"/>
    <w:multiLevelType w:val="hybridMultilevel"/>
    <w:lvl w:ilvl="0">
      <w:lvlJc w:val="left"/>
      <w:lvlText w:val="•"/>
      <w:numFmt w:val="bullet"/>
      <w:start w:val="1"/>
    </w:lvl>
  </w:abstractNum>
  <w:abstractNum w:abstractNumId="29">
    <w:nsid w:val="6A5F7029"/>
    <w:multiLevelType w:val="hybridMultilevel"/>
    <w:lvl w:ilvl="0">
      <w:lvlJc w:val="left"/>
      <w:lvlText w:val="•"/>
      <w:numFmt w:val="bullet"/>
      <w:start w:val="1"/>
    </w:lvl>
  </w:abstractNum>
  <w:abstractNum w:abstractNumId="30">
    <w:nsid w:val="7D5E18F8"/>
    <w:multiLevelType w:val="hybridMultilevel"/>
    <w:lvl w:ilvl="0">
      <w:lvlJc w:val="left"/>
      <w:lvlText w:val="•"/>
      <w:numFmt w:val="bullet"/>
      <w:start w:val="1"/>
    </w:lvl>
  </w:abstractNum>
  <w:abstractNum w:abstractNumId="31">
    <w:nsid w:val="5F3534A4"/>
    <w:multiLevelType w:val="hybridMultilevel"/>
    <w:lvl w:ilvl="0">
      <w:lvlJc w:val="left"/>
      <w:lvlText w:val="•"/>
      <w:numFmt w:val="bullet"/>
      <w:start w:val="1"/>
    </w:lvl>
  </w:abstractNum>
  <w:abstractNum w:abstractNumId="32">
    <w:nsid w:val="73A1821B"/>
    <w:multiLevelType w:val="hybridMultilevel"/>
    <w:lvl w:ilvl="0">
      <w:lvlJc w:val="left"/>
      <w:lvlText w:val="•"/>
      <w:numFmt w:val="bullet"/>
      <w:start w:val="1"/>
    </w:lvl>
  </w:abstractNum>
  <w:abstractNum w:abstractNumId="33">
    <w:nsid w:val="7DE67713"/>
    <w:multiLevelType w:val="hybridMultilevel"/>
    <w:lvl w:ilvl="0">
      <w:lvlJc w:val="left"/>
      <w:lvlText w:val="•"/>
      <w:numFmt w:val="bullet"/>
      <w:start w:val="1"/>
    </w:lvl>
  </w:abstractNum>
  <w:abstractNum w:abstractNumId="34">
    <w:nsid w:val="555C55B5"/>
    <w:multiLevelType w:val="hybridMultilevel"/>
    <w:lvl w:ilvl="0">
      <w:lvlJc w:val="left"/>
      <w:lvlText w:val="•"/>
      <w:numFmt w:val="bullet"/>
      <w:start w:val="1"/>
    </w:lvl>
  </w:abstractNum>
  <w:abstractNum w:abstractNumId="35">
    <w:nsid w:val="3FA62ACA"/>
    <w:multiLevelType w:val="hybridMultilevel"/>
    <w:lvl w:ilvl="0">
      <w:lvlJc w:val="left"/>
      <w:lvlText w:val="•"/>
      <w:numFmt w:val="bullet"/>
      <w:start w:val="1"/>
    </w:lvl>
  </w:abstractNum>
  <w:abstractNum w:abstractNumId="36">
    <w:nsid w:val="14FCE74E"/>
    <w:multiLevelType w:val="hybridMultilevel"/>
    <w:lvl w:ilvl="0">
      <w:lvlJc w:val="left"/>
      <w:lvlText w:val="•"/>
      <w:numFmt w:val="bullet"/>
      <w:start w:val="1"/>
    </w:lvl>
  </w:abstractNum>
  <w:abstractNum w:abstractNumId="37">
    <w:nsid w:val="6A3DD3E8"/>
    <w:multiLevelType w:val="hybridMultilevel"/>
    <w:lvl w:ilvl="0">
      <w:lvlJc w:val="left"/>
      <w:lvlText w:val="•"/>
      <w:numFmt w:val="bullet"/>
      <w:start w:val="1"/>
    </w:lvl>
  </w:abstractNum>
  <w:abstractNum w:abstractNumId="38">
    <w:nsid w:val="71C91298"/>
    <w:multiLevelType w:val="hybridMultilevel"/>
    <w:lvl w:ilvl="0">
      <w:lvlJc w:val="left"/>
      <w:lvlText w:val="•"/>
      <w:numFmt w:val="bullet"/>
      <w:start w:val="1"/>
    </w:lvl>
  </w:abstractNum>
  <w:abstractNum w:abstractNumId="39">
    <w:nsid w:val="9DAF632"/>
    <w:multiLevelType w:val="hybridMultilevel"/>
    <w:lvl w:ilvl="0">
      <w:lvlJc w:val="left"/>
      <w:lvlText w:val="•"/>
      <w:numFmt w:val="bullet"/>
      <w:start w:val="1"/>
    </w:lvl>
  </w:abstractNum>
  <w:abstractNum w:abstractNumId="40">
    <w:nsid w:val="53299938"/>
    <w:multiLevelType w:val="hybridMultilevel"/>
    <w:lvl w:ilvl="0">
      <w:lvlJc w:val="left"/>
      <w:lvlText w:val="*"/>
      <w:numFmt w:val="bullet"/>
      <w:start w:val="1"/>
    </w:lvl>
    <w:lvl w:ilvl="1">
      <w:lvlJc w:val="left"/>
      <w:lvlText w:val="%2"/>
      <w:numFmt w:val="decimal"/>
      <w:start w:val="104"/>
    </w:lvl>
  </w:abstractNum>
  <w:abstractNum w:abstractNumId="41">
    <w:nsid w:val="1FBFE8E0"/>
    <w:multiLevelType w:val="hybridMultilevel"/>
    <w:lvl w:ilvl="0">
      <w:lvlJc w:val="left"/>
      <w:lvlText w:val="%1."/>
      <w:numFmt w:val="upperLetter"/>
      <w:start w:val="1"/>
    </w:lvl>
  </w:abstractNum>
  <w:abstractNum w:abstractNumId="42">
    <w:nsid w:val="5092CA79"/>
    <w:multiLevelType w:val="hybridMultilevel"/>
    <w:lvl w:ilvl="0">
      <w:lvlJc w:val="left"/>
      <w:lvlText w:val="%1."/>
      <w:numFmt w:val="decimal"/>
      <w:start w:val="1"/>
    </w:lvl>
  </w:abstractNum>
  <w:abstractNum w:abstractNumId="43">
    <w:nsid w:val="1D545C4D"/>
    <w:multiLevelType w:val="hybridMultilevel"/>
    <w:lvl w:ilvl="0">
      <w:lvlJc w:val="left"/>
      <w:lvlText w:val="%1."/>
      <w:numFmt w:val="decimal"/>
      <w:start w:val="5"/>
    </w:lvl>
    <w:lvl w:ilvl="1">
      <w:lvlJc w:val="left"/>
      <w:lvlText w:val="(%2)"/>
      <w:numFmt w:val="lowerLetter"/>
      <w:start w:val="1"/>
    </w:lvl>
  </w:abstractNum>
  <w:abstractNum w:abstractNumId="44">
    <w:nsid w:val="59ADEA3D"/>
    <w:multiLevelType w:val="hybridMultilevel"/>
    <w:lvl w:ilvl="0">
      <w:lvlJc w:val="left"/>
      <w:lvlText w:val="%1"/>
      <w:numFmt w:val="decimal"/>
      <w:start w:val="1"/>
    </w:lvl>
    <w:lvl w:ilvl="1">
      <w:lvlJc w:val="left"/>
      <w:lvlText w:val="(%2)"/>
      <w:numFmt w:val="lowerLetter"/>
      <w:start w:val="2"/>
    </w:lvl>
  </w:abstractNum>
  <w:abstractNum w:abstractNumId="45">
    <w:nsid w:val="288F1A34"/>
    <w:multiLevelType w:val="hybridMultilevel"/>
    <w:lvl w:ilvl="0">
      <w:lvlJc w:val="left"/>
      <w:lvlText w:val="%1."/>
      <w:numFmt w:val="decimal"/>
      <w:start w:val="10"/>
    </w:lvl>
    <w:lvl w:ilvl="1">
      <w:lvlJc w:val="left"/>
      <w:lvlText w:val="(%2)"/>
      <w:numFmt w:val="lowerLetter"/>
      <w:start w:val="1"/>
    </w:lvl>
  </w:abstractNum>
  <w:abstractNum w:abstractNumId="46">
    <w:nsid w:val="2A155DBC"/>
    <w:multiLevelType w:val="hybridMultilevel"/>
    <w:lvl w:ilvl="0">
      <w:lvlJc w:val="left"/>
      <w:lvlText w:val="(%1)"/>
      <w:numFmt w:val="lowerLetter"/>
      <w:start w:val="2"/>
    </w:lvl>
  </w:abstractNum>
  <w:abstractNum w:abstractNumId="47">
    <w:nsid w:val="1D9F6E5F"/>
    <w:multiLevelType w:val="hybridMultilevel"/>
    <w:lvl w:ilvl="0">
      <w:lvlJc w:val="left"/>
      <w:lvlText w:val="%1."/>
      <w:numFmt w:val="decimal"/>
      <w:start w:val="11"/>
    </w:lvl>
  </w:abstractNum>
  <w:abstractNum w:abstractNumId="48">
    <w:nsid w:val="97E1B4E"/>
    <w:multiLevelType w:val="hybridMultilevel"/>
    <w:lvl w:ilvl="0">
      <w:lvlJc w:val="left"/>
      <w:lvlText w:val="%1."/>
      <w:numFmt w:val="decimal"/>
      <w:start w:val="15"/>
    </w:lvl>
  </w:abstractNum>
  <w:abstractNum w:abstractNumId="49">
    <w:nsid w:val="51088277"/>
    <w:multiLevelType w:val="hybridMultilevel"/>
    <w:lvl w:ilvl="0">
      <w:lvlJc w:val="left"/>
      <w:lvlText w:val="%1"/>
      <w:numFmt w:val="decimal"/>
      <w:start w:val="1"/>
    </w:lvl>
    <w:lvl w:ilvl="1">
      <w:lvlJc w:val="left"/>
      <w:lvlText w:val="(%2)"/>
      <w:numFmt w:val="lowerLetter"/>
      <w:start w:val="1"/>
    </w:lvl>
  </w:abstractNum>
  <w:abstractNum w:abstractNumId="50">
    <w:nsid w:val="1CA0C5FA"/>
    <w:multiLevelType w:val="hybridMultilevel"/>
    <w:lvl w:ilvl="0">
      <w:lvlJc w:val="left"/>
      <w:lvlText w:val="%1."/>
      <w:numFmt w:val="decimal"/>
      <w:start w:val="20"/>
    </w:lvl>
    <w:lvl w:ilvl="1">
      <w:lvlJc w:val="left"/>
      <w:lvlText w:val="%2"/>
      <w:numFmt w:val="lowerLetter"/>
      <w:start w:val="1"/>
    </w:lvl>
  </w:abstractNum>
  <w:abstractNum w:abstractNumId="51">
    <w:nsid w:val="53584BCB"/>
    <w:multiLevelType w:val="hybridMultilevel"/>
    <w:lvl w:ilvl="0">
      <w:lvlJc w:val="left"/>
      <w:lvlText w:val="%1"/>
      <w:numFmt w:val="lowerRoman"/>
      <w:start w:val="1"/>
    </w:lvl>
    <w:lvl w:ilvl="1">
      <w:lvlJc w:val="left"/>
      <w:lvlText w:val="%2."/>
      <w:numFmt w:val="decimal"/>
      <w:start w:val="25"/>
    </w:lvl>
  </w:abstractNum>
  <w:abstractNum w:abstractNumId="52">
    <w:nsid w:val="415E286C"/>
    <w:multiLevelType w:val="hybridMultilevel"/>
    <w:lvl w:ilvl="0">
      <w:lvlJc w:val="left"/>
      <w:lvlText w:val="(%1)"/>
      <w:numFmt w:val="lowerRoman"/>
      <w:start w:val="2"/>
    </w:lvl>
    <w:lvl w:ilvl="1">
      <w:lvlJc w:val="left"/>
      <w:lvlText w:val="%2"/>
      <w:numFmt w:val="decimal"/>
      <w:start w:val="1"/>
    </w:lvl>
  </w:abstractNum>
  <w:abstractNum w:abstractNumId="53">
    <w:nsid w:val="7C58FD05"/>
    <w:multiLevelType w:val="hybridMultilevel"/>
    <w:lvl w:ilvl="0">
      <w:lvlJc w:val="left"/>
      <w:lvlText w:val="%1."/>
      <w:numFmt w:val="decimal"/>
      <w:start w:val="34"/>
    </w:lvl>
  </w:abstractNum>
  <w:abstractNum w:abstractNumId="54">
    <w:nsid w:val="23D86AAC"/>
    <w:multiLevelType w:val="hybridMultilevel"/>
    <w:lvl w:ilvl="0">
      <w:lvlJc w:val="left"/>
      <w:lvlText w:val="%1."/>
      <w:numFmt w:val="decimal"/>
      <w:start w:val="35"/>
    </w:lvl>
    <w:lvl w:ilvl="1">
      <w:lvlJc w:val="left"/>
      <w:lvlText w:val="(%2)"/>
      <w:numFmt w:val="lowerLetter"/>
      <w:start w:val="1"/>
    </w:lvl>
  </w:abstractNum>
  <w:abstractNum w:abstractNumId="55">
    <w:nsid w:val="45E6D486"/>
    <w:multiLevelType w:val="hybridMultilevel"/>
    <w:lvl w:ilvl="0">
      <w:lvlJc w:val="left"/>
      <w:lvlText w:val="%1."/>
      <w:numFmt w:val="upperLetter"/>
      <w:start w:val="1"/>
    </w:lvl>
  </w:abstractNum>
  <w:abstractNum w:abstractNumId="56">
    <w:nsid w:val="5C10FE21"/>
    <w:multiLevelType w:val="hybridMultilevel"/>
    <w:lvl w:ilvl="0">
      <w:lvlJc w:val="left"/>
      <w:lvlText w:val="%1."/>
      <w:numFmt w:val="decimal"/>
      <w:start w:val="1"/>
    </w:lvl>
    <w:lvl w:ilvl="1">
      <w:lvlJc w:val="left"/>
      <w:lvlText w:val="(%2)"/>
      <w:numFmt w:val="lowerLetter"/>
      <w:start w:val="1"/>
    </w:lvl>
  </w:abstractNum>
  <w:abstractNum w:abstractNumId="57">
    <w:nsid w:val="E7FFA2B"/>
    <w:multiLevelType w:val="hybridMultilevel"/>
    <w:lvl w:ilvl="0">
      <w:lvlJc w:val="left"/>
      <w:lvlText w:val="%1."/>
      <w:numFmt w:val="decimal"/>
      <w:start w:val="3"/>
    </w:lvl>
  </w:abstractNum>
  <w:abstractNum w:abstractNumId="58">
    <w:nsid w:val="3C5991AA"/>
    <w:multiLevelType w:val="hybridMultilevel"/>
    <w:lvl w:ilvl="0">
      <w:lvlJc w:val="left"/>
      <w:lvlText w:val="%1"/>
      <w:numFmt w:val="decimal"/>
      <w:start w:val="1"/>
    </w:lvl>
    <w:lvl w:ilvl="1">
      <w:lvlJc w:val="left"/>
      <w:lvlText w:val="(%2)"/>
      <w:numFmt w:val="lowerLetter"/>
      <w:start w:val="1"/>
    </w:lvl>
  </w:abstractNum>
  <w:abstractNum w:abstractNumId="59">
    <w:nsid w:val="4BD8591A"/>
    <w:multiLevelType w:val="hybridMultilevel"/>
    <w:lvl w:ilvl="0">
      <w:lvlJc w:val="left"/>
      <w:lvlText w:val="%1."/>
      <w:numFmt w:val="decimal"/>
      <w:start w:val="4"/>
    </w:lvl>
    <w:lvl w:ilvl="1">
      <w:lvlJc w:val="left"/>
      <w:lvlText w:val="(%2)"/>
      <w:numFmt w:val="lowerLetter"/>
      <w:start w:val="1"/>
    </w:lvl>
  </w:abstractNum>
  <w:abstractNum w:abstractNumId="60">
    <w:nsid w:val="78DF6A55"/>
    <w:multiLevelType w:val="hybridMultilevel"/>
    <w:lvl w:ilvl="0">
      <w:lvlJc w:val="left"/>
      <w:lvlText w:val="(%1)"/>
      <w:numFmt w:val="lowerLetter"/>
      <w:start w:val="3"/>
    </w:lvl>
  </w:abstractNum>
  <w:abstractNum w:abstractNumId="61">
    <w:nsid w:val="39B7AAA2"/>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62">
    <w:nsid w:val="2B0D8DBE"/>
    <w:multiLevelType w:val="hybridMultilevel"/>
    <w:lvl w:ilvl="0">
      <w:lvlJc w:val="left"/>
      <w:lvlText w:val="(%1)"/>
      <w:numFmt w:val="lowerRoman"/>
      <w:start w:val="5"/>
    </w:lvl>
  </w:abstractNum>
  <w:abstractNum w:abstractNumId="63">
    <w:nsid w:val="6C80EC70"/>
    <w:multiLevelType w:val="hybridMultilevel"/>
    <w:lvl w:ilvl="0">
      <w:lvlJc w:val="left"/>
      <w:lvlText w:val="(%1)"/>
      <w:numFmt w:val="lowerLetter"/>
      <w:start w:val="2"/>
    </w:lvl>
  </w:abstractNum>
  <w:abstractNum w:abstractNumId="64">
    <w:nsid w:val="379E21B5"/>
    <w:multiLevelType w:val="hybridMultilevel"/>
    <w:lvl w:ilvl="0">
      <w:lvlJc w:val="left"/>
      <w:lvlText w:val="(%1)"/>
      <w:numFmt w:val="lowerLetter"/>
      <w:start w:val="3"/>
    </w:lvl>
    <w:lvl w:ilvl="1">
      <w:lvlJc w:val="left"/>
      <w:lvlText w:val="(%2)"/>
      <w:numFmt w:val="lowerRoman"/>
      <w:start w:val="1"/>
    </w:lvl>
  </w:abstractNum>
  <w:abstractNum w:abstractNumId="65">
    <w:nsid w:val="69E373"/>
    <w:multiLevelType w:val="hybridMultilevel"/>
    <w:lvl w:ilvl="0">
      <w:lvlJc w:val="left"/>
      <w:lvlText w:val="(%1)"/>
      <w:numFmt w:val="lowerLetter"/>
      <w:start w:val="5"/>
    </w:lvl>
  </w:abstractNum>
  <w:abstractNum w:abstractNumId="66">
    <w:nsid w:val="2C27173B"/>
    <w:multiLevelType w:val="hybridMultilevel"/>
    <w:lvl w:ilvl="0">
      <w:lvlJc w:val="left"/>
      <w:lvlText w:val="(%1)"/>
      <w:numFmt w:val="decimal"/>
      <w:start w:val="3"/>
    </w:lvl>
  </w:abstractNum>
  <w:abstractNum w:abstractNumId="67">
    <w:nsid w:val="4C9B0904"/>
    <w:multiLevelType w:val="hybridMultilevel"/>
    <w:lvl w:ilvl="0">
      <w:lvlJc w:val="left"/>
      <w:lvlText w:val="(%1)"/>
      <w:numFmt w:val="lowerRoman"/>
      <w:start w:val="1"/>
    </w:lvl>
  </w:abstractNum>
  <w:abstractNum w:abstractNumId="68">
    <w:nsid w:val="6AA7B75C"/>
    <w:multiLevelType w:val="hybridMultilevel"/>
    <w:lvl w:ilvl="0">
      <w:lvlJc w:val="left"/>
      <w:lvlText w:val="(%1)"/>
      <w:numFmt w:val="lowerLetter"/>
      <w:start w:val="6"/>
    </w:lvl>
  </w:abstractNum>
  <w:abstractNum w:abstractNumId="69">
    <w:nsid w:val="1DF029D3"/>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9"/>
    </w:lvl>
  </w:abstractNum>
  <w:abstractNum w:abstractNumId="70">
    <w:nsid w:val="5675FF36"/>
    <w:multiLevelType w:val="hybridMultilevel"/>
    <w:lvl w:ilvl="0">
      <w:lvlJc w:val="left"/>
      <w:lvlText w:val="(%1)"/>
      <w:numFmt w:val="lowerRoman"/>
      <w:start w:val="2"/>
    </w:lvl>
  </w:abstractNum>
  <w:abstractNum w:abstractNumId="71">
    <w:nsid w:val="3DD15094"/>
    <w:multiLevelType w:val="hybridMultilevel"/>
    <w:lvl w:ilvl="0">
      <w:lvlJc w:val="left"/>
      <w:lvlText w:val="(%1)"/>
      <w:numFmt w:val="lowerLetter"/>
      <w:start w:val="3"/>
    </w:lvl>
  </w:abstractNum>
  <w:abstractNum w:abstractNumId="72">
    <w:nsid w:val="3DB012B3"/>
    <w:multiLevelType w:val="hybridMultilevel"/>
    <w:lvl w:ilvl="0">
      <w:lvlJc w:val="left"/>
      <w:lvlText w:val="(%1)"/>
      <w:numFmt w:val="lowerLetter"/>
      <w:start w:val="4"/>
    </w:lvl>
    <w:lvl w:ilvl="1">
      <w:lvlJc w:val="left"/>
      <w:lvlText w:val="(%2)"/>
      <w:numFmt w:val="lowerRoman"/>
      <w:start w:val="1"/>
    </w:lvl>
  </w:abstractNum>
  <w:abstractNum w:abstractNumId="73">
    <w:nsid w:val="2708C9AF"/>
    <w:multiLevelType w:val="hybridMultilevel"/>
    <w:lvl w:ilvl="0">
      <w:lvlJc w:val="left"/>
      <w:lvlText w:val="%1."/>
      <w:numFmt w:val="decimal"/>
      <w:start w:val="7"/>
    </w:lvl>
  </w:abstractNum>
  <w:abstractNum w:abstractNumId="74">
    <w:nsid w:val="5B25ACE2"/>
    <w:multiLevelType w:val="hybridMultilevel"/>
    <w:lvl w:ilvl="0">
      <w:lvlJc w:val="left"/>
      <w:lvlText w:val="%1."/>
      <w:numFmt w:val="decimal"/>
      <w:start w:val="12"/>
    </w:lvl>
    <w:lvl w:ilvl="1">
      <w:lvlJc w:val="left"/>
      <w:lvlText w:val="(%2)"/>
      <w:numFmt w:val="lowerLetter"/>
      <w:start w:val="1"/>
    </w:lvl>
  </w:abstractNum>
  <w:abstractNum w:abstractNumId="75">
    <w:nsid w:val="175DFCF0"/>
    <w:multiLevelType w:val="hybridMultilevel"/>
    <w:lvl w:ilvl="0">
      <w:lvlJc w:val="left"/>
      <w:lvlText w:val="%1"/>
      <w:numFmt w:val="decimal"/>
      <w:start w:val="1"/>
    </w:lvl>
    <w:lvl w:ilvl="1">
      <w:lvlJc w:val="left"/>
      <w:lvlText w:val="(%2)"/>
      <w:numFmt w:val="lowerLetter"/>
      <w:start w:val="4"/>
    </w:lvl>
  </w:abstractNum>
  <w:abstractNum w:abstractNumId="76">
    <w:nsid w:val="4F97E3E4"/>
    <w:multiLevelType w:val="hybridMultilevel"/>
    <w:lvl w:ilvl="0">
      <w:lvlJc w:val="left"/>
      <w:lvlText w:val="%1."/>
      <w:numFmt w:val="decimal"/>
      <w:start w:val="14"/>
    </w:lvl>
    <w:lvl w:ilvl="1">
      <w:lvlJc w:val="left"/>
      <w:lvlText w:val="%2"/>
      <w:numFmt w:val="lowerLetter"/>
      <w:start w:val="1"/>
    </w:lvl>
  </w:abstractNum>
  <w:abstractNum w:abstractNumId="77">
    <w:nsid w:val="53B0A9E"/>
    <w:multiLevelType w:val="hybridMultilevel"/>
    <w:lvl w:ilvl="0">
      <w:lvlJc w:val="left"/>
      <w:lvlText w:val="%1."/>
      <w:numFmt w:val="decimal"/>
      <w:start w:val="16"/>
    </w:lvl>
    <w:lvl w:ilvl="1">
      <w:lvlJc w:val="left"/>
      <w:lvlText w:val="(%2)"/>
      <w:numFmt w:val="lowerLetter"/>
      <w:start w:val="1"/>
    </w:lvl>
  </w:abstractNum>
  <w:abstractNum w:abstractNumId="78">
    <w:nsid w:val="34FD6B4F"/>
    <w:multiLevelType w:val="hybridMultilevel"/>
    <w:lvl w:ilvl="0">
      <w:lvlJc w:val="left"/>
      <w:lvlText w:val="(%1)"/>
      <w:numFmt w:val="lowerLetter"/>
      <w:start w:val="3"/>
    </w:lvl>
    <w:lvl w:ilvl="1">
      <w:lvlJc w:val="left"/>
      <w:lvlText w:val="(%2)"/>
      <w:numFmt w:val="lowerRoman"/>
      <w:start w:val="1"/>
    </w:lvl>
  </w:abstractNum>
  <w:abstractNum w:abstractNumId="79">
    <w:nsid w:val="5915FF32"/>
    <w:multiLevelType w:val="hybridMultilevel"/>
    <w:lvl w:ilvl="0">
      <w:lvlJc w:val="left"/>
      <w:lvlText w:val="(%1)"/>
      <w:numFmt w:val="lowerRoman"/>
      <w:start w:val="5"/>
    </w:lvl>
  </w:abstractNum>
  <w:abstractNum w:abstractNumId="80">
    <w:nsid w:val="56438D15"/>
    <w:multiLevelType w:val="hybridMultilevel"/>
    <w:lvl w:ilvl="0">
      <w:lvlJc w:val="left"/>
      <w:lvlText w:val="%1."/>
      <w:numFmt w:val="decimal"/>
      <w:start w:val="17"/>
    </w:lvl>
  </w:abstractNum>
  <w:abstractNum w:abstractNumId="81">
    <w:nsid w:val="519E3149"/>
    <w:multiLevelType w:val="hybridMultilevel"/>
    <w:lvl w:ilvl="0">
      <w:lvlJc w:val="left"/>
      <w:lvlText w:val="\ldblquote"/>
      <w:numFmt w:val="bullet"/>
      <w:start w:val="1"/>
    </w:lvl>
  </w:abstractNum>
  <w:abstractNum w:abstractNumId="82">
    <w:nsid w:val="2C6E4AFD"/>
    <w:multiLevelType w:val="hybridMultilevel"/>
    <w:lvl w:ilvl="0">
      <w:lvlJc w:val="left"/>
      <w:lvlText w:val="%1."/>
      <w:numFmt w:val="upperLetter"/>
      <w:start w:val="1"/>
    </w:lvl>
  </w:abstractNum>
  <w:abstractNum w:abstractNumId="83">
    <w:nsid w:val="17A1B582"/>
    <w:multiLevelType w:val="hybridMultilevel"/>
    <w:lvl w:ilvl="0">
      <w:lvlJc w:val="left"/>
      <w:lvlText w:val="%1."/>
      <w:numFmt w:val="decimal"/>
      <w:start w:val="1"/>
    </w:lvl>
    <w:lvl w:ilvl="1">
      <w:lvlJc w:val="left"/>
      <w:lvlText w:val="(%2)"/>
      <w:numFmt w:val="lowerLetter"/>
      <w:start w:val="1"/>
    </w:lvl>
  </w:abstractNum>
  <w:abstractNum w:abstractNumId="84">
    <w:nsid w:val="4DF72E4E"/>
    <w:multiLevelType w:val="hybridMultilevel"/>
    <w:lvl w:ilvl="0">
      <w:lvlJc w:val="left"/>
      <w:lvlText w:val="%1."/>
      <w:numFmt w:val="decimal"/>
      <w:start w:val="3"/>
    </w:lvl>
  </w:abstractNum>
  <w:abstractNum w:abstractNumId="85">
    <w:nsid w:val="5046B5A9"/>
    <w:multiLevelType w:val="hybridMultilevel"/>
    <w:lvl w:ilvl="0">
      <w:lvlJc w:val="left"/>
      <w:lvlText w:val="%1"/>
      <w:numFmt w:val="decimal"/>
      <w:start w:val="1"/>
    </w:lvl>
    <w:lvl w:ilvl="1">
      <w:lvlJc w:val="left"/>
      <w:lvlText w:val="(%2)"/>
      <w:numFmt w:val="lowerLetter"/>
      <w:start w:val="1"/>
    </w:lvl>
  </w:abstractNum>
  <w:abstractNum w:abstractNumId="86">
    <w:nsid w:val="5D888A08"/>
    <w:multiLevelType w:val="hybridMultilevel"/>
    <w:lvl w:ilvl="0">
      <w:lvlJc w:val="left"/>
      <w:lvlText w:val="%1."/>
      <w:numFmt w:val="decimal"/>
      <w:start w:val="4"/>
    </w:lvl>
    <w:lvl w:ilvl="1">
      <w:lvlJc w:val="left"/>
      <w:lvlText w:val="(%2)"/>
      <w:numFmt w:val="lowerLetter"/>
      <w:start w:val="1"/>
    </w:lvl>
  </w:abstractNum>
  <w:abstractNum w:abstractNumId="87">
    <w:nsid w:val="2A082C70"/>
    <w:multiLevelType w:val="hybridMultilevel"/>
    <w:lvl w:ilvl="0">
      <w:lvlJc w:val="left"/>
      <w:lvlText w:val="%1"/>
      <w:numFmt w:val="decimal"/>
      <w:start w:val="1"/>
    </w:lvl>
    <w:lvl w:ilvl="1">
      <w:lvlJc w:val="left"/>
      <w:lvlText w:val="(%2)"/>
      <w:numFmt w:val="lowerLetter"/>
      <w:start w:val="3"/>
    </w:lvl>
  </w:abstractNum>
  <w:abstractNum w:abstractNumId="88">
    <w:nsid w:val="5EC6AFD4"/>
    <w:multiLevelType w:val="hybridMultilevel"/>
    <w:lvl w:ilvl="0">
      <w:lvlJc w:val="left"/>
      <w:lvlText w:val="%1."/>
      <w:numFmt w:val="decimal"/>
      <w:start w:val="5"/>
    </w:lvl>
    <w:lvl w:ilvl="1">
      <w:lvlJc w:val="left"/>
      <w:lvlText w:val="(%2)"/>
      <w:numFmt w:val="lowerLetter"/>
      <w:start w:val="1"/>
    </w:lvl>
  </w:abstractNum>
  <w:abstractNum w:abstractNumId="89">
    <w:nsid w:val="19E21BB2"/>
    <w:multiLevelType w:val="hybridMultilevel"/>
    <w:lvl w:ilvl="0">
      <w:lvlJc w:val="left"/>
      <w:lvlText w:val="(%1)"/>
      <w:numFmt w:val="lowerRoman"/>
      <w:start w:val="1"/>
    </w:lvl>
  </w:abstractNum>
  <w:abstractNum w:abstractNumId="90">
    <w:nsid w:val="75E0858A"/>
    <w:multiLevelType w:val="hybridMultilevel"/>
    <w:lvl w:ilvl="0">
      <w:lvlJc w:val="left"/>
      <w:lvlText w:val="(%1)"/>
      <w:numFmt w:val="lowerRoman"/>
      <w:start w:val="5"/>
    </w:lvl>
  </w:abstractNum>
  <w:abstractNum w:abstractNumId="91">
    <w:nsid w:val="57A61A29"/>
    <w:multiLevelType w:val="hybridMultilevel"/>
    <w:lvl w:ilvl="0">
      <w:lvlJc w:val="left"/>
      <w:lvlText w:val="(%1)"/>
      <w:numFmt w:val="lowerLetter"/>
      <w:start w:val="2"/>
    </w:lvl>
  </w:abstractNum>
  <w:abstractNum w:abstractNumId="92">
    <w:nsid w:val="5399C654"/>
    <w:multiLevelType w:val="hybridMultilevel"/>
    <w:lvl w:ilvl="0">
      <w:lvlJc w:val="left"/>
      <w:lvlText w:val="(%1)"/>
      <w:numFmt w:val="lowerLetter"/>
      <w:start w:val="3"/>
    </w:lvl>
    <w:lvl w:ilvl="1">
      <w:lvlJc w:val="left"/>
      <w:lvlText w:val="(%2)"/>
      <w:numFmt w:val="lowerRoman"/>
      <w:start w:val="1"/>
    </w:lvl>
  </w:abstractNum>
  <w:abstractNum w:abstractNumId="93">
    <w:nsid w:val="20EE1348"/>
    <w:multiLevelType w:val="hybridMultilevel"/>
    <w:lvl w:ilvl="0">
      <w:lvlJc w:val="left"/>
      <w:lvlText w:val="(%1)"/>
      <w:numFmt w:val="lowerLetter"/>
      <w:start w:val="5"/>
    </w:lvl>
  </w:abstractNum>
  <w:abstractNum w:abstractNumId="94">
    <w:nsid w:val="4427069A"/>
    <w:multiLevelType w:val="hybridMultilevel"/>
    <w:lvl w:ilvl="0">
      <w:lvlJc w:val="left"/>
      <w:lvlText w:val="(%1)"/>
      <w:numFmt w:val="decimal"/>
      <w:start w:val="3"/>
    </w:lvl>
  </w:abstractNum>
  <w:abstractNum w:abstractNumId="95">
    <w:nsid w:val="B37E80A"/>
    <w:multiLevelType w:val="hybridMultilevel"/>
    <w:lvl w:ilvl="0">
      <w:lvlJc w:val="left"/>
      <w:lvlText w:val="(%1)"/>
      <w:numFmt w:val="lowerRoman"/>
      <w:start w:val="1"/>
    </w:lvl>
  </w:abstractNum>
  <w:abstractNum w:abstractNumId="96">
    <w:nsid w:val="2157F6BC"/>
    <w:multiLevelType w:val="hybridMultilevel"/>
    <w:lvl w:ilvl="0">
      <w:lvlJc w:val="left"/>
      <w:lvlText w:val="%1"/>
      <w:numFmt w:val="decimal"/>
      <w:start w:val="1"/>
    </w:lvl>
    <w:lvl w:ilvl="1">
      <w:lvlJc w:val="left"/>
      <w:lvlText w:val="(%2)"/>
      <w:numFmt w:val="lowerLetter"/>
      <w:start w:val="6"/>
    </w:lvl>
  </w:abstractNum>
  <w:abstractNum w:abstractNumId="97">
    <w:nsid w:val="704E1DD5"/>
    <w:multiLevelType w:val="hybridMultilevel"/>
    <w:lvl w:ilvl="0">
      <w:lvlJc w:val="left"/>
      <w:lvlText w:val="%1."/>
      <w:numFmt w:val="decimal"/>
      <w:start w:val="6"/>
    </w:lvl>
    <w:lvl w:ilvl="1">
      <w:lvlJc w:val="left"/>
      <w:lvlText w:val="(%2)"/>
      <w:numFmt w:val="lowerLetter"/>
      <w:start w:val="1"/>
    </w:lvl>
  </w:abstractNum>
  <w:abstractNum w:abstractNumId="98">
    <w:nsid w:val="57D2F10E"/>
    <w:multiLevelType w:val="hybridMultilevel"/>
    <w:lvl w:ilvl="0">
      <w:lvlJc w:val="left"/>
      <w:lvlText w:val="(%1)"/>
      <w:numFmt w:val="lowerLetter"/>
      <w:start w:val="2"/>
    </w:lvl>
    <w:lvl w:ilvl="1">
      <w:lvlJc w:val="left"/>
      <w:lvlText w:val="(%2)"/>
      <w:numFmt w:val="lowerRoman"/>
      <w:start w:val="1"/>
    </w:lvl>
  </w:abstractNum>
  <w:abstractNum w:abstractNumId="99">
    <w:nsid w:val="BFFAE18"/>
    <w:multiLevelType w:val="hybridMultilevel"/>
    <w:lvl w:ilvl="0">
      <w:lvlJc w:val="left"/>
      <w:lvlText w:val="(%1)"/>
      <w:numFmt w:val="lowerLetter"/>
      <w:start w:val="3"/>
    </w:lvl>
  </w:abstractNum>
  <w:abstractNum w:abstractNumId="100">
    <w:nsid w:val="E3E47A8"/>
    <w:multiLevelType w:val="hybridMultilevel"/>
    <w:lvl w:ilvl="0">
      <w:lvlJc w:val="left"/>
      <w:lvlText w:val="(%1)"/>
      <w:numFmt w:val="lowerLetter"/>
      <w:start w:val="4"/>
    </w:lvl>
    <w:lvl w:ilvl="1">
      <w:lvlJc w:val="left"/>
      <w:lvlText w:val="(%2)"/>
      <w:numFmt w:val="lowerRoman"/>
      <w:start w:val="1"/>
    </w:lvl>
  </w:abstractNum>
  <w:abstractNum w:abstractNumId="101">
    <w:nsid w:val="2E48F044"/>
    <w:multiLevelType w:val="hybridMultilevel"/>
    <w:lvl w:ilvl="0">
      <w:lvlJc w:val="left"/>
      <w:lvlText w:val="%1."/>
      <w:numFmt w:val="decimal"/>
      <w:start w:val="7"/>
    </w:lvl>
  </w:abstractNum>
  <w:abstractNum w:abstractNumId="102">
    <w:nsid w:val="49D0FEAC"/>
    <w:multiLevelType w:val="hybridMultilevel"/>
    <w:lvl w:ilvl="0">
      <w:lvlJc w:val="left"/>
      <w:lvlText w:val="%1."/>
      <w:numFmt w:val="decimal"/>
      <w:start w:val="12"/>
    </w:lvl>
    <w:lvl w:ilvl="1">
      <w:lvlJc w:val="left"/>
      <w:lvlText w:val="(%2)"/>
      <w:numFmt w:val="lowerLetter"/>
      <w:start w:val="1"/>
    </w:lvl>
  </w:abstractNum>
  <w:abstractNum w:abstractNumId="103">
    <w:nsid w:val="4BEE5A5B"/>
    <w:multiLevelType w:val="hybridMultilevel"/>
    <w:lvl w:ilvl="0">
      <w:lvlJc w:val="left"/>
      <w:lvlText w:val="%1."/>
      <w:numFmt w:val="decimal"/>
      <w:start w:val="14"/>
    </w:lvl>
    <w:lvl w:ilvl="1">
      <w:lvlJc w:val="left"/>
      <w:lvlText w:val="(%2)"/>
      <w:numFmt w:val="lowerLetter"/>
      <w:start w:val="1"/>
    </w:lvl>
  </w:abstractNum>
  <w:abstractNum w:abstractNumId="104">
    <w:nsid w:val="5551B9F3"/>
    <w:multiLevelType w:val="hybridMultilevel"/>
    <w:lvl w:ilvl="0">
      <w:lvlJc w:val="left"/>
      <w:lvlText w:val="(%1)"/>
      <w:numFmt w:val="lowerLetter"/>
      <w:start w:val="3"/>
    </w:lvl>
    <w:lvl w:ilvl="1">
      <w:lvlJc w:val="left"/>
      <w:lvlText w:val="(%2)"/>
      <w:numFmt w:val="lowerLetter"/>
      <w:start w:val="9"/>
    </w:lvl>
  </w:abstractNum>
  <w:abstractNum w:abstractNumId="105">
    <w:nsid w:val="24F6AB8E"/>
    <w:multiLevelType w:val="hybridMultilevel"/>
    <w:lvl w:ilvl="0">
      <w:lvlJc w:val="left"/>
      <w:lvlText w:val="(%1)"/>
      <w:numFmt w:val="lowerRoman"/>
      <w:start w:val="2"/>
    </w:lvl>
  </w:abstractNum>
  <w:abstractNum w:abstractNumId="106">
    <w:nsid w:val="634C574C"/>
    <w:multiLevelType w:val="hybridMultilevel"/>
    <w:lvl w:ilvl="0">
      <w:lvlJc w:val="left"/>
      <w:lvlText w:val="%1"/>
      <w:numFmt w:val="decimal"/>
      <w:start w:val="1"/>
    </w:lvl>
    <w:lvl w:ilvl="1">
      <w:lvlJc w:val="left"/>
      <w:lvlText w:val="(%2)"/>
      <w:numFmt w:val="lowerRoman"/>
      <w:start w:val="5"/>
    </w:lvl>
  </w:abstractNum>
  <w:abstractNum w:abstractNumId="107">
    <w:nsid w:val="24E99DD7"/>
    <w:multiLevelType w:val="hybridMultilevel"/>
    <w:lvl w:ilvl="0">
      <w:lvlJc w:val="left"/>
      <w:lvlText w:val="%1."/>
      <w:numFmt w:val="decimal"/>
      <w:start w:val="17"/>
    </w:lvl>
    <w:lvl w:ilvl="1">
      <w:lvlJc w:val="left"/>
      <w:lvlText w:val="%2"/>
      <w:numFmt w:val="lowerRoman"/>
      <w:start w:val="1"/>
    </w:lvl>
  </w:abstractNum>
  <w:abstractNum w:abstractNumId="108">
    <w:nsid w:val="2A31B62D"/>
    <w:multiLevelType w:val="hybridMultilevel"/>
    <w:lvl w:ilvl="0">
      <w:lvlJc w:val="left"/>
      <w:lvlText w:val="%1."/>
      <w:numFmt w:val="decimal"/>
      <w:start w:val="19"/>
    </w:lvl>
  </w:abstractNum>
  <w:abstractNum w:abstractNumId="109">
    <w:nsid w:val="1849C29B"/>
    <w:multiLevelType w:val="hybridMultilevel"/>
    <w:lvl w:ilvl="0">
      <w:lvlJc w:val="left"/>
      <w:lvlText w:val="\ldblquote"/>
      <w:numFmt w:val="bullet"/>
      <w:start w:val="1"/>
    </w:lvl>
  </w:abstractNum>
  <w:abstractNum w:abstractNumId="110">
    <w:nsid w:val="7DFF9D09"/>
    <w:multiLevelType w:val="hybridMultilevel"/>
    <w:lvl w:ilvl="0">
      <w:lvlJc w:val="left"/>
      <w:lvlText w:val="%1."/>
      <w:numFmt w:val="upperLetter"/>
      <w:start w:val="1"/>
    </w:lvl>
  </w:abstractNum>
  <w:abstractNum w:abstractNumId="111">
    <w:nsid w:val="754342"/>
    <w:multiLevelType w:val="hybridMultilevel"/>
    <w:lvl w:ilvl="0">
      <w:lvlJc w:val="left"/>
      <w:lvlText w:val="%1."/>
      <w:numFmt w:val="decimal"/>
      <w:start w:val="1"/>
    </w:lvl>
    <w:lvl w:ilvl="1">
      <w:lvlJc w:val="left"/>
      <w:lvlText w:val="(%2)"/>
      <w:numFmt w:val="lowerLetter"/>
      <w:start w:val="1"/>
    </w:lvl>
  </w:abstractNum>
  <w:abstractNum w:abstractNumId="112">
    <w:nsid w:val="69E7F3E5"/>
    <w:multiLevelType w:val="hybridMultilevel"/>
    <w:lvl w:ilvl="0">
      <w:lvlJc w:val="left"/>
      <w:lvlText w:val="%1"/>
      <w:numFmt w:val="decimal"/>
      <w:start w:val="1"/>
    </w:lvl>
    <w:lvl w:ilvl="1">
      <w:lvlJc w:val="left"/>
      <w:lvlText w:val="(%2)"/>
      <w:numFmt w:val="lowerLetter"/>
      <w:start w:val="2"/>
    </w:lvl>
  </w:abstractNum>
  <w:abstractNum w:abstractNumId="113">
    <w:nsid w:val="2A6DE806"/>
    <w:multiLevelType w:val="hybridMultilevel"/>
    <w:lvl w:ilvl="0">
      <w:lvlJc w:val="left"/>
      <w:lvlText w:val="%1."/>
      <w:numFmt w:val="decimal"/>
      <w:start w:val="4"/>
    </w:lvl>
    <w:lvl w:ilvl="1">
      <w:lvlJc w:val="left"/>
      <w:lvlText w:val="(%2)"/>
      <w:numFmt w:val="lowerLetter"/>
      <w:start w:val="1"/>
    </w:lvl>
  </w:abstractNum>
  <w:abstractNum w:abstractNumId="114">
    <w:nsid w:val="1816F8C4"/>
    <w:multiLevelType w:val="hybridMultilevel"/>
    <w:lvl w:ilvl="0">
      <w:lvlJc w:val="left"/>
      <w:lvlText w:val="%1"/>
      <w:numFmt w:val="decimal"/>
      <w:start w:val="1"/>
    </w:lvl>
    <w:lvl w:ilvl="1">
      <w:lvlJc w:val="left"/>
      <w:lvlText w:val="(%2)"/>
      <w:numFmt w:val="lowerLetter"/>
      <w:start w:val="3"/>
    </w:lvl>
  </w:abstractNum>
  <w:abstractNum w:abstractNumId="115">
    <w:nsid w:val="37DF2233"/>
    <w:multiLevelType w:val="hybridMultilevel"/>
    <w:lvl w:ilvl="0">
      <w:lvlJc w:val="left"/>
      <w:lvlText w:val="%1."/>
      <w:numFmt w:val="decimal"/>
      <w:start w:val="5"/>
    </w:lvl>
    <w:lvl w:ilvl="1">
      <w:lvlJc w:val="left"/>
      <w:lvlText w:val="(%2)"/>
      <w:numFmt w:val="lowerLetter"/>
      <w:start w:val="1"/>
    </w:lvl>
  </w:abstractNum>
  <w:abstractNum w:abstractNumId="116">
    <w:nsid w:val="7AB49DAF"/>
    <w:multiLevelType w:val="hybridMultilevel"/>
    <w:lvl w:ilvl="0">
      <w:lvlJc w:val="left"/>
      <w:lvlText w:val="(%1)"/>
      <w:numFmt w:val="lowerRoman"/>
      <w:start w:val="1"/>
    </w:lvl>
  </w:abstractNum>
  <w:abstractNum w:abstractNumId="117">
    <w:nsid w:val="759F82CD"/>
    <w:multiLevelType w:val="hybridMultilevel"/>
    <w:lvl w:ilvl="0">
      <w:lvlJc w:val="left"/>
      <w:lvlText w:val="(%1)"/>
      <w:numFmt w:val="lowerRoman"/>
      <w:start w:val="5"/>
    </w:lvl>
  </w:abstractNum>
  <w:abstractNum w:abstractNumId="118">
    <w:nsid w:val="61E74EA3"/>
    <w:multiLevelType w:val="hybridMultilevel"/>
    <w:lvl w:ilvl="0">
      <w:lvlJc w:val="left"/>
      <w:lvlText w:val="(%1)"/>
      <w:numFmt w:val="lowerLetter"/>
      <w:start w:val="2"/>
    </w:lvl>
    <w:lvl w:ilvl="1">
      <w:lvlJc w:val="left"/>
      <w:lvlText w:val="(%2)"/>
      <w:numFmt w:val="lowerLetter"/>
      <w:start w:val="9"/>
    </w:lvl>
  </w:abstractNum>
  <w:abstractNum w:abstractNumId="119">
    <w:nsid w:val="597B4D84"/>
    <w:multiLevelType w:val="hybridMultilevel"/>
    <w:lvl w:ilvl="0">
      <w:lvlJc w:val="left"/>
      <w:lvlText w:val="(%1)"/>
      <w:numFmt w:val="decimal"/>
      <w:start w:val="12"/>
    </w:lvl>
    <w:lvl w:ilvl="1">
      <w:lvlJc w:val="left"/>
      <w:lvlText w:val="(%2)"/>
      <w:numFmt w:val="lowerLetter"/>
      <w:start w:val="3"/>
    </w:lvl>
    <w:lvl w:ilvl="2">
      <w:lvlJc w:val="left"/>
      <w:lvlText w:val="(%3)"/>
      <w:numFmt w:val="lowerLetter"/>
      <w:start w:val="35"/>
    </w:lvl>
  </w:abstractNum>
  <w:abstractNum w:abstractNumId="120">
    <w:nsid w:val="F819E7F"/>
    <w:multiLevelType w:val="hybridMultilevel"/>
    <w:lvl w:ilvl="0">
      <w:lvlJc w:val="left"/>
      <w:lvlText w:val="(%1)"/>
      <w:numFmt w:val="lowerLetter"/>
      <w:start w:val="5"/>
    </w:lvl>
  </w:abstractNum>
  <w:abstractNum w:abstractNumId="121">
    <w:nsid w:val="57C7D42D"/>
    <w:multiLevelType w:val="hybridMultilevel"/>
    <w:lvl w:ilvl="0">
      <w:lvlJc w:val="left"/>
      <w:lvlText w:val="(%1)"/>
      <w:numFmt w:val="decimal"/>
      <w:start w:val="3"/>
    </w:lvl>
  </w:abstractNum>
  <w:abstractNum w:abstractNumId="122">
    <w:nsid w:val="312167AD"/>
    <w:multiLevelType w:val="hybridMultilevel"/>
    <w:lvl w:ilvl="0">
      <w:lvlJc w:val="left"/>
      <w:lvlText w:val="(%1)"/>
      <w:numFmt w:val="lowerRoman"/>
      <w:start w:val="1"/>
    </w:lvl>
  </w:abstractNum>
  <w:abstractNum w:abstractNumId="123">
    <w:nsid w:val="631B64D4"/>
    <w:multiLevelType w:val="hybridMultilevel"/>
    <w:lvl w:ilvl="0">
      <w:lvlJc w:val="left"/>
      <w:lvlText w:val="%1"/>
      <w:numFmt w:val="decimal"/>
      <w:start w:val="1"/>
    </w:lvl>
    <w:lvl w:ilvl="1">
      <w:lvlJc w:val="left"/>
      <w:lvlText w:val="(%2)"/>
      <w:numFmt w:val="lowerLetter"/>
      <w:start w:val="6"/>
    </w:lvl>
  </w:abstractNum>
  <w:abstractNum w:abstractNumId="124">
    <w:nsid w:val="78B5E776"/>
    <w:multiLevelType w:val="hybridMultilevel"/>
    <w:lvl w:ilvl="0">
      <w:lvlJc w:val="left"/>
      <w:lvlText w:val="%1."/>
      <w:numFmt w:val="decimal"/>
      <w:start w:val="6"/>
    </w:lvl>
    <w:lvl w:ilvl="1">
      <w:lvlJc w:val="left"/>
      <w:lvlText w:val="(%2)"/>
      <w:numFmt w:val="lowerLetter"/>
      <w:start w:val="1"/>
    </w:lvl>
  </w:abstractNum>
  <w:abstractNum w:abstractNumId="125">
    <w:nsid w:val="75486E47"/>
    <w:multiLevelType w:val="hybridMultilevel"/>
    <w:lvl w:ilvl="0">
      <w:lvlJc w:val="left"/>
      <w:lvlText w:val="(%1)"/>
      <w:numFmt w:val="lowerLetter"/>
      <w:start w:val="2"/>
    </w:lvl>
    <w:lvl w:ilvl="1">
      <w:lvlJc w:val="left"/>
      <w:lvlText w:val="(%2)"/>
      <w:numFmt w:val="lowerRoman"/>
      <w:start w:val="1"/>
    </w:lvl>
  </w:abstractNum>
  <w:abstractNum w:abstractNumId="126">
    <w:nsid w:val="6E534CDE"/>
    <w:multiLevelType w:val="hybridMultilevel"/>
    <w:lvl w:ilvl="0">
      <w:lvlJc w:val="left"/>
      <w:lvlText w:val="(%1)"/>
      <w:numFmt w:val="lowerLetter"/>
      <w:start w:val="3"/>
    </w:lvl>
  </w:abstractNum>
  <w:abstractNum w:abstractNumId="127">
    <w:nsid w:val="1A0DDE32"/>
    <w:multiLevelType w:val="hybridMultilevel"/>
    <w:lvl w:ilvl="0">
      <w:lvlJc w:val="left"/>
      <w:lvlText w:val="(%1)"/>
      <w:numFmt w:val="lowerLetter"/>
      <w:start w:val="5"/>
    </w:lvl>
    <w:lvl w:ilvl="1">
      <w:lvlJc w:val="left"/>
      <w:lvlText w:val="(%2)"/>
      <w:numFmt w:val="lowerRoman"/>
      <w:start w:val="1"/>
    </w:lvl>
  </w:abstractNum>
  <w:abstractNum w:abstractNumId="128">
    <w:nsid w:val="65968C1C"/>
    <w:multiLevelType w:val="hybridMultilevel"/>
    <w:lvl w:ilvl="0">
      <w:lvlJc w:val="left"/>
      <w:lvlText w:val="%1."/>
      <w:numFmt w:val="decimal"/>
      <w:start w:val="7"/>
    </w:lvl>
  </w:abstractNum>
  <w:abstractNum w:abstractNumId="129">
    <w:nsid w:val="46263DEC"/>
    <w:multiLevelType w:val="hybridMultilevel"/>
    <w:lvl w:ilvl="0">
      <w:lvlJc w:val="left"/>
      <w:lvlText w:val="%1."/>
      <w:numFmt w:val="decimal"/>
      <w:start w:val="12"/>
    </w:lvl>
    <w:lvl w:ilvl="1">
      <w:lvlJc w:val="left"/>
      <w:lvlText w:val="(%2)"/>
      <w:numFmt w:val="lowerLetter"/>
      <w:start w:val="1"/>
    </w:lvl>
  </w:abstractNum>
  <w:abstractNum w:abstractNumId="130">
    <w:nsid w:val="260D8C4A"/>
    <w:multiLevelType w:val="hybridMultilevel"/>
    <w:lvl w:ilvl="0">
      <w:lvlJc w:val="left"/>
      <w:lvlText w:val="%1."/>
      <w:numFmt w:val="decimal"/>
      <w:start w:val="14"/>
    </w:lvl>
    <w:lvl w:ilvl="1">
      <w:lvlJc w:val="left"/>
      <w:lvlText w:val="(%2)"/>
      <w:numFmt w:val="lowerLetter"/>
      <w:start w:val="1"/>
    </w:lvl>
  </w:abstractNum>
  <w:abstractNum w:abstractNumId="131">
    <w:nsid w:val="73D4D3C4"/>
    <w:multiLevelType w:val="hybridMultilevel"/>
    <w:lvl w:ilvl="0">
      <w:lvlJc w:val="left"/>
      <w:lvlText w:val="(%1)"/>
      <w:numFmt w:val="lowerLetter"/>
      <w:start w:val="3"/>
    </w:lvl>
    <w:lvl w:ilvl="1">
      <w:lvlJc w:val="left"/>
      <w:lvlText w:val="(%2)"/>
      <w:numFmt w:val="lowerLetter"/>
      <w:start w:val="9"/>
    </w:lvl>
  </w:abstractNum>
  <w:abstractNum w:abstractNumId="132">
    <w:nsid w:val="746F2E30"/>
    <w:multiLevelType w:val="hybridMultilevel"/>
    <w:lvl w:ilvl="0">
      <w:lvlJc w:val="left"/>
      <w:lvlText w:val="(%1)"/>
      <w:numFmt w:val="lowerRoman"/>
      <w:start w:val="2"/>
    </w:lvl>
  </w:abstractNum>
  <w:abstractNum w:abstractNumId="133">
    <w:nsid w:val="6FDE8AF6"/>
    <w:multiLevelType w:val="hybridMultilevel"/>
    <w:lvl w:ilvl="0">
      <w:lvlJc w:val="left"/>
      <w:lvlText w:val="%1"/>
      <w:numFmt w:val="decimal"/>
      <w:start w:val="1"/>
    </w:lvl>
    <w:lvl w:ilvl="1">
      <w:lvlJc w:val="left"/>
      <w:lvlText w:val="(%2)"/>
      <w:numFmt w:val="lowerRoman"/>
      <w:start w:val="5"/>
    </w:lvl>
  </w:abstractNum>
  <w:abstractNum w:abstractNumId="134">
    <w:nsid w:val="3FC32E20"/>
    <w:multiLevelType w:val="hybridMultilevel"/>
    <w:lvl w:ilvl="0">
      <w:lvlJc w:val="left"/>
      <w:lvlText w:val="%1."/>
      <w:numFmt w:val="decimal"/>
      <w:start w:val="17"/>
    </w:lvl>
    <w:lvl w:ilvl="1">
      <w:lvlJc w:val="left"/>
      <w:lvlText w:val="%2"/>
      <w:numFmt w:val="lowerRoman"/>
      <w:start w:val="1"/>
    </w:lvl>
  </w:abstractNum>
  <w:abstractNum w:abstractNumId="135">
    <w:nsid w:val="49C0E823"/>
    <w:multiLevelType w:val="hybridMultilevel"/>
    <w:lvl w:ilvl="0">
      <w:lvlJc w:val="left"/>
      <w:lvlText w:val="%1."/>
      <w:numFmt w:val="decimal"/>
      <w:start w:val="19"/>
    </w:lvl>
  </w:abstractNum>
  <w:abstractNum w:abstractNumId="136">
    <w:nsid w:val="14D53685"/>
    <w:multiLevelType w:val="hybridMultilevel"/>
    <w:lvl w:ilvl="0">
      <w:lvlJc w:val="left"/>
      <w:lvlText w:val="\ldblquote"/>
      <w:numFmt w:val="bullet"/>
      <w:start w:val="1"/>
    </w:lvl>
  </w:abstractNum>
  <w:abstractNum w:abstractNumId="137">
    <w:nsid w:val="230F856C"/>
    <w:multiLevelType w:val="hybridMultilevel"/>
    <w:lvl w:ilvl="0">
      <w:lvlJc w:val="left"/>
      <w:lvlText w:val="%1."/>
      <w:numFmt w:val="upperLetter"/>
      <w:start w:val="1"/>
    </w:lvl>
  </w:abstractNum>
  <w:abstractNum w:abstractNumId="138">
    <w:nsid w:val="6EAA85F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39">
    <w:nsid w:val="3F06ECB2"/>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2"/>
    </w:lvl>
  </w:abstractNum>
  <w:abstractNum w:abstractNumId="140">
    <w:nsid w:val="3B594807"/>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41">
    <w:nsid w:val="6CAA2304"/>
    <w:multiLevelType w:val="hybridMultilevel"/>
    <w:lvl w:ilvl="0">
      <w:lvlJc w:val="left"/>
      <w:lvlText w:val="%1"/>
      <w:numFmt w:val="decimal"/>
      <w:start w:val="1"/>
    </w:lvl>
    <w:lvl w:ilvl="1">
      <w:lvlJc w:val="left"/>
      <w:lvlText w:val="(%2)"/>
      <w:numFmt w:val="lowerLetter"/>
      <w:start w:val="2"/>
    </w:lvl>
  </w:abstractNum>
  <w:abstractNum w:abstractNumId="142">
    <w:nsid w:val="3F7C2FF4"/>
    <w:multiLevelType w:val="hybridMultilevel"/>
    <w:lvl w:ilvl="0">
      <w:lvlJc w:val="left"/>
      <w:lvlText w:val="%1."/>
      <w:numFmt w:val="decimal"/>
      <w:start w:val="4"/>
    </w:lvl>
    <w:lvl w:ilvl="1">
      <w:lvlJc w:val="left"/>
      <w:lvlText w:val="(%2)"/>
      <w:numFmt w:val="lowerLetter"/>
      <w:start w:val="1"/>
    </w:lvl>
  </w:abstractNum>
  <w:abstractNum w:abstractNumId="143">
    <w:nsid w:val="25413BEC"/>
    <w:multiLevelType w:val="hybridMultilevel"/>
    <w:lvl w:ilvl="0">
      <w:lvlJc w:val="left"/>
      <w:lvlText w:val="%1"/>
      <w:numFmt w:val="decimal"/>
      <w:start w:val="1"/>
    </w:lvl>
    <w:lvl w:ilvl="1">
      <w:lvlJc w:val="left"/>
      <w:lvlText w:val="(%2)"/>
      <w:numFmt w:val="lowerLetter"/>
      <w:start w:val="3"/>
    </w:lvl>
  </w:abstractNum>
  <w:abstractNum w:abstractNumId="144">
    <w:nsid w:val="17180B0B"/>
    <w:multiLevelType w:val="hybridMultilevel"/>
    <w:lvl w:ilvl="0">
      <w:lvlJc w:val="left"/>
      <w:lvlText w:val="%1."/>
      <w:numFmt w:val="decimal"/>
      <w:start w:val="5"/>
    </w:lvl>
    <w:lvl w:ilvl="1">
      <w:lvlJc w:val="left"/>
      <w:lvlText w:val="(%2)"/>
      <w:numFmt w:val="lowerLetter"/>
      <w:start w:val="1"/>
    </w:lvl>
  </w:abstractNum>
  <w:abstractNum w:abstractNumId="145">
    <w:nsid w:val="579328B9"/>
    <w:multiLevelType w:val="hybridMultilevel"/>
    <w:lvl w:ilvl="0">
      <w:lvlJc w:val="left"/>
      <w:lvlText w:val="(%1)"/>
      <w:numFmt w:val="lowerRoman"/>
      <w:start w:val="1"/>
    </w:lvl>
  </w:abstractNum>
  <w:abstractNum w:abstractNumId="146">
    <w:nsid w:val="5D205E20"/>
    <w:multiLevelType w:val="hybridMultilevel"/>
    <w:lvl w:ilvl="0">
      <w:lvlJc w:val="left"/>
      <w:lvlText w:val="(%1)"/>
      <w:numFmt w:val="lowerRoman"/>
      <w:start w:val="5"/>
    </w:lvl>
  </w:abstractNum>
  <w:abstractNum w:abstractNumId="147">
    <w:nsid w:val="11CCA8BA"/>
    <w:multiLevelType w:val="hybridMultilevel"/>
    <w:lvl w:ilvl="0">
      <w:lvlJc w:val="left"/>
      <w:lvlText w:val="(%1)"/>
      <w:numFmt w:val="lowerLetter"/>
      <w:start w:val="2"/>
    </w:lvl>
    <w:lvl w:ilvl="1">
      <w:lvlJc w:val="left"/>
      <w:lvlText w:val="(%2)"/>
      <w:numFmt w:val="lowerLetter"/>
      <w:start w:val="9"/>
    </w:lvl>
  </w:abstractNum>
  <w:abstractNum w:abstractNumId="148">
    <w:nsid w:val="4D32AB86"/>
    <w:multiLevelType w:val="hybridMultilevel"/>
    <w:lvl w:ilvl="0">
      <w:lvlJc w:val="left"/>
      <w:lvlText w:val="(%1)"/>
      <w:numFmt w:val="decimal"/>
      <w:start w:val="12"/>
    </w:lvl>
    <w:lvl w:ilvl="1">
      <w:lvlJc w:val="left"/>
      <w:lvlText w:val="(%2)"/>
      <w:numFmt w:val="lowerLetter"/>
      <w:start w:val="3"/>
    </w:lvl>
    <w:lvl w:ilvl="2">
      <w:lvlJc w:val="left"/>
      <w:lvlText w:val="(%3)"/>
      <w:numFmt w:val="lowerLetter"/>
      <w:start w:val="35"/>
    </w:lvl>
  </w:abstractNum>
  <w:abstractNum w:abstractNumId="149">
    <w:nsid w:val="3F07ACC3"/>
    <w:multiLevelType w:val="hybridMultilevel"/>
    <w:lvl w:ilvl="0">
      <w:lvlJc w:val="left"/>
      <w:lvlText w:val="(%1)"/>
      <w:numFmt w:val="decimal"/>
      <w:start w:val="30"/>
    </w:lvl>
    <w:lvl w:ilvl="1">
      <w:lvlJc w:val="left"/>
      <w:lvlText w:val="%2"/>
      <w:numFmt w:val="lowerLetter"/>
      <w:start w:val="1"/>
    </w:lvl>
    <w:lvl w:ilvl="2">
      <w:lvlJc w:val="left"/>
      <w:lvlText w:val="%3"/>
      <w:numFmt w:val="lowerLetter"/>
      <w:start w:val="1"/>
    </w:lvl>
  </w:abstractNum>
  <w:abstractNum w:abstractNumId="150">
    <w:nsid w:val="6B47F63E"/>
    <w:multiLevelType w:val="hybridMultilevel"/>
    <w:lvl w:ilvl="0">
      <w:lvlJc w:val="left"/>
      <w:lvlText w:val="(%1)"/>
      <w:numFmt w:val="lowerLetter"/>
      <w:start w:val="5"/>
    </w:lvl>
  </w:abstractNum>
  <w:abstractNum w:abstractNumId="151">
    <w:nsid w:val="5CB44A05"/>
    <w:multiLevelType w:val="hybridMultilevel"/>
    <w:lvl w:ilvl="0">
      <w:lvlJc w:val="left"/>
      <w:lvlText w:val="(%1)"/>
      <w:numFmt w:val="decimal"/>
      <w:start w:val="3"/>
    </w:lvl>
  </w:abstractNum>
  <w:abstractNum w:abstractNumId="152">
    <w:nsid w:val="16CF80F1"/>
    <w:multiLevelType w:val="hybridMultilevel"/>
    <w:lvl w:ilvl="0">
      <w:lvlJc w:val="left"/>
      <w:lvlText w:val="(%1)"/>
      <w:numFmt w:val="lowerRoman"/>
      <w:start w:val="1"/>
    </w:lvl>
  </w:abstractNum>
  <w:abstractNum w:abstractNumId="153">
    <w:nsid w:val="1C695DEC"/>
    <w:multiLevelType w:val="hybridMultilevel"/>
    <w:lvl w:ilvl="0">
      <w:lvlJc w:val="left"/>
      <w:lvlText w:val="%1"/>
      <w:numFmt w:val="decimal"/>
      <w:start w:val="1"/>
    </w:lvl>
    <w:lvl w:ilvl="1">
      <w:lvlJc w:val="left"/>
      <w:lvlText w:val="(%2)"/>
      <w:numFmt w:val="lowerLetter"/>
      <w:start w:val="6"/>
    </w:lvl>
  </w:abstractNum>
  <w:abstractNum w:abstractNumId="154">
    <w:nsid w:val="3FCFAED9"/>
    <w:multiLevelType w:val="hybridMultilevel"/>
    <w:lvl w:ilvl="0">
      <w:lvlJc w:val="left"/>
      <w:lvlText w:val="%1."/>
      <w:numFmt w:val="decimal"/>
      <w:start w:val="6"/>
    </w:lvl>
    <w:lvl w:ilvl="1">
      <w:lvlJc w:val="left"/>
      <w:lvlText w:val="(%2)"/>
      <w:numFmt w:val="lowerLetter"/>
      <w:start w:val="1"/>
    </w:lvl>
  </w:abstractNum>
  <w:abstractNum w:abstractNumId="155">
    <w:nsid w:val="F856867"/>
    <w:multiLevelType w:val="hybridMultilevel"/>
    <w:lvl w:ilvl="0">
      <w:lvlJc w:val="left"/>
      <w:lvlText w:val="(%1)"/>
      <w:numFmt w:val="lowerLetter"/>
      <w:start w:val="2"/>
    </w:lvl>
    <w:lvl w:ilvl="1">
      <w:lvlJc w:val="left"/>
      <w:lvlText w:val="(%2)"/>
      <w:numFmt w:val="lowerRoman"/>
      <w:start w:val="1"/>
    </w:lvl>
  </w:abstractNum>
  <w:abstractNum w:abstractNumId="156">
    <w:nsid w:val="11B1CC33"/>
    <w:multiLevelType w:val="hybridMultilevel"/>
    <w:lvl w:ilvl="0">
      <w:lvlJc w:val="left"/>
      <w:lvlText w:val="(%1)"/>
      <w:numFmt w:val="lowerLetter"/>
      <w:start w:val="3"/>
    </w:lvl>
  </w:abstractNum>
  <w:abstractNum w:abstractNumId="157">
    <w:nsid w:val="2E22FBB7"/>
    <w:multiLevelType w:val="hybridMultilevel"/>
    <w:lvl w:ilvl="0">
      <w:lvlJc w:val="left"/>
      <w:lvlText w:val="(%1)"/>
      <w:numFmt w:val="lowerLetter"/>
      <w:start w:val="5"/>
    </w:lvl>
    <w:lvl w:ilvl="1">
      <w:lvlJc w:val="left"/>
      <w:lvlText w:val="(%2)"/>
      <w:numFmt w:val="lowerRoman"/>
      <w:start w:val="1"/>
    </w:lvl>
  </w:abstractNum>
  <w:abstractNum w:abstractNumId="158">
    <w:nsid w:val="29934699"/>
    <w:multiLevelType w:val="hybridMultilevel"/>
    <w:lvl w:ilvl="0">
      <w:lvlJc w:val="left"/>
      <w:lvlText w:val="%1."/>
      <w:numFmt w:val="decimal"/>
      <w:start w:val="7"/>
    </w:lvl>
  </w:abstractNum>
  <w:abstractNum w:abstractNumId="159">
    <w:nsid w:val="77485850"/>
    <w:multiLevelType w:val="hybridMultilevel"/>
    <w:lvl w:ilvl="0">
      <w:lvlJc w:val="left"/>
      <w:lvlText w:val="%1."/>
      <w:numFmt w:val="decimal"/>
      <w:start w:val="12"/>
    </w:lvl>
    <w:lvl w:ilvl="1">
      <w:lvlJc w:val="left"/>
      <w:lvlText w:val="(%2)"/>
      <w:numFmt w:val="lowerLetter"/>
      <w:start w:val="1"/>
    </w:lvl>
  </w:abstractNum>
  <w:abstractNum w:abstractNumId="160">
    <w:nsid w:val="744939A3"/>
    <w:multiLevelType w:val="hybridMultilevel"/>
    <w:lvl w:ilvl="0">
      <w:lvlJc w:val="left"/>
      <w:lvlText w:val="%1."/>
      <w:numFmt w:val="decimal"/>
      <w:start w:val="14"/>
    </w:lvl>
    <w:lvl w:ilvl="1">
      <w:lvlJc w:val="left"/>
      <w:lvlText w:val="(%2)"/>
      <w:numFmt w:val="lowerLetter"/>
      <w:start w:val="1"/>
    </w:lvl>
  </w:abstractNum>
  <w:abstractNum w:abstractNumId="161">
    <w:nsid w:val="4FA0D2E3"/>
    <w:multiLevelType w:val="hybridMultilevel"/>
    <w:lvl w:ilvl="0">
      <w:lvlJc w:val="left"/>
      <w:lvlText w:val="(%1)"/>
      <w:numFmt w:val="lowerLetter"/>
      <w:start w:val="3"/>
    </w:lvl>
    <w:lvl w:ilvl="1">
      <w:lvlJc w:val="left"/>
      <w:lvlText w:val="(%2)"/>
      <w:numFmt w:val="lowerLetter"/>
      <w:start w:val="9"/>
    </w:lvl>
  </w:abstractNum>
  <w:abstractNum w:abstractNumId="162">
    <w:nsid w:val="6B1D2C14"/>
    <w:multiLevelType w:val="hybridMultilevel"/>
    <w:lvl w:ilvl="0">
      <w:lvlJc w:val="left"/>
      <w:lvlText w:val="(%1)"/>
      <w:numFmt w:val="lowerRoman"/>
      <w:start w:val="2"/>
    </w:lvl>
  </w:abstractNum>
  <w:abstractNum w:abstractNumId="163">
    <w:nsid w:val="68B867D3"/>
    <w:multiLevelType w:val="hybridMultilevel"/>
    <w:lvl w:ilvl="0">
      <w:lvlJc w:val="left"/>
      <w:lvlText w:val="%1"/>
      <w:numFmt w:val="decimal"/>
      <w:start w:val="1"/>
    </w:lvl>
    <w:lvl w:ilvl="1">
      <w:lvlJc w:val="left"/>
      <w:lvlText w:val="(%2)"/>
      <w:numFmt w:val="lowerRoman"/>
      <w:start w:val="5"/>
    </w:lvl>
  </w:abstractNum>
  <w:abstractNum w:abstractNumId="164">
    <w:nsid w:val="3F7F5DD9"/>
    <w:multiLevelType w:val="hybridMultilevel"/>
    <w:lvl w:ilvl="0">
      <w:lvlJc w:val="left"/>
      <w:lvlText w:val="%1."/>
      <w:numFmt w:val="decimal"/>
      <w:start w:val="17"/>
    </w:lvl>
    <w:lvl w:ilvl="1">
      <w:lvlJc w:val="left"/>
      <w:lvlText w:val="%2"/>
      <w:numFmt w:val="lowerRoman"/>
      <w:start w:val="1"/>
    </w:lvl>
  </w:abstractNum>
  <w:abstractNum w:abstractNumId="165">
    <w:nsid w:val="2AE05A34"/>
    <w:multiLevelType w:val="hybridMultilevel"/>
    <w:lvl w:ilvl="0">
      <w:lvlJc w:val="left"/>
      <w:lvlText w:val="%1."/>
      <w:numFmt w:val="decimal"/>
      <w:start w:val="19"/>
    </w:lvl>
  </w:abstractNum>
  <w:abstractNum w:abstractNumId="166">
    <w:nsid w:val="32794FF7"/>
    <w:multiLevelType w:val="hybridMultilevel"/>
    <w:lvl w:ilvl="0">
      <w:lvlJc w:val="left"/>
      <w:lvlText w:val="\ldblquote"/>
      <w:numFmt w:val="bullet"/>
      <w:start w:val="1"/>
    </w:lvl>
  </w:abstractNum>
  <w:abstractNum w:abstractNumId="167">
    <w:nsid w:val="5454945E"/>
    <w:multiLevelType w:val="hybridMultilevel"/>
    <w:lvl w:ilvl="0">
      <w:lvlJc w:val="left"/>
      <w:lvlText w:val="%1."/>
      <w:numFmt w:val="decimal"/>
      <w:start w:val="1"/>
    </w:lvl>
    <w:lvl w:ilvl="1">
      <w:lvlJc w:val="left"/>
      <w:lvlText w:val="%2)"/>
      <w:numFmt w:val="lowerLetter"/>
      <w:start w:val="1"/>
    </w:lvl>
  </w:abstractNum>
  <w:abstractNum w:abstractNumId="168">
    <w:nsid w:val="4DEFDFA0"/>
    <w:multiLevelType w:val="hybridMultilevel"/>
    <w:lvl w:ilvl="0">
      <w:lvlJc w:val="left"/>
      <w:lvlText w:val="%1."/>
      <w:numFmt w:val="decimal"/>
      <w:start w:val="1"/>
    </w:lvl>
    <w:lvl w:ilvl="1">
      <w:lvlJc w:val="left"/>
      <w:lvlText w:val="%2)"/>
      <w:numFmt w:val="lowerLetter"/>
      <w:start w:val="1"/>
    </w:lvl>
  </w:abstractNum>
  <w:abstractNum w:abstractNumId="169">
    <w:nsid w:val="2123D5F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jpe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jpe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jpe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jpe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jpe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2025-02-05T15:33:54Z</dcterms:created>
  <dcterms:modified xsi:type="dcterms:W3CDTF">2025-02-05T15:33:54Z</dcterms:modified>
</cp:coreProperties>
</file>