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ACCURAY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Neuberger Berman Group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4,270,281.00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6,073,663.00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6,073,663.00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Neuberger Berman Investment Advisers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3,747,364.00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5,550,746.00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5,550,746.00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64"/>
        <w:gridCol w:w="8886"/>
        <w:gridCol w:w="155"/>
      </w:tblGrid>
      <w:tr>
        <w:trPr/>
        <w:tc>
          <w:tcPr>
            <w:tcW w:w="1164" w:type="dxa"/>
            <w:tcBorders/>
            <w:vAlign w:val="center"/>
          </w:tcPr>
          <w:p>
            <w:pPr>
              <w:pStyle w:val="TableContents"/>
              <w:bidi w:val="0"/>
              <w:spacing w:before="0" w:after="283"/>
              <w:jc w:val="left"/>
              <w:rPr/>
            </w:pPr>
            <w:r>
              <w:rPr/>
              <w:t>Item 1.</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issuer: </w:t>
            </w:r>
          </w:p>
          <w:p>
            <w:pPr>
              <w:pStyle w:val="TableContents"/>
              <w:bidi w:val="0"/>
              <w:spacing w:before="0" w:after="0"/>
              <w:jc w:val="left"/>
              <w:rPr/>
            </w:pPr>
            <w:r>
              <w:rPr/>
              <w:t>ACCURAY INC</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1240 Deming Way , Madison, WI, 53717.</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2.</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person filing: </w:t>
            </w:r>
          </w:p>
          <w:p>
            <w:pPr>
              <w:pStyle w:val="TableContents"/>
              <w:bidi w:val="0"/>
              <w:spacing w:before="0" w:after="0"/>
              <w:jc w:val="left"/>
              <w:rPr/>
            </w:pPr>
            <w:r>
              <w:rPr/>
              <w:t>Neuberger Berman Group LLC Neuberger Berman Investment Advisers LLC</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1290 Avenue of the Americas New York, NY 10104</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3.</w:t>
            </w:r>
          </w:p>
        </w:tc>
        <w:tc>
          <w:tcPr>
            <w:tcW w:w="888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(f)</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(g)</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(h)</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(j)</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(k)</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9041"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4.</w:t>
            </w:r>
          </w:p>
        </w:tc>
        <w:tc>
          <w:tcPr>
            <w:tcW w:w="888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6,073,663 Neuberger Berman Trust Co N.A., Neuberger Berman Trust Co of Delaware N.A., Neuberger Berman Asia Ltd., Neuberger Berman Canada ULC, and Neuberger Berman Investment Advisers LLC and certain affiliated persons may be deemed to beneficially own the securities covered by this report in their various fiduciary capacities by virtue of the provisions of Exchange Act Rule 13d-3. Neuberger Berman Group LLC, through its subsidiaries Neuberger Berman Investment Advisers Holdings LLC and Neuberger Trust Holdings LLC controls Neuberger Berman Trust Co N.A., Neuberger Berman Asia Ltd., Neuberger Berman Canada ULC, Neuberger Berman Trust Co of Delaware N.A. and Neuberger Berman Investment Advisers LLC and certain affiliated persons. This report is not an admission that any of these entities are the beneficial owner of the securities covered by this report and each of Neuberger Berman Group LLC, Neuberger Berman Investment Advisers Holdings LLC, Neuberger Trust Holdings LLC, Neuberger Berman Trust Co N.A., Neuberger Berman Asia Ltd., Neuberger Berman Canada ULC, Neuberger Berman Trust Co of Delaware N.A. and Neuberger Berman Investment Advisers LLC and certain affiliated persons disclaim beneficial ownership of the securities covered by this statement pursuant to Exchange Act Rule 13d-4. The information in this filing reports securities of the issuer that may be deemed to be beneficially owned by Neuberger Berman Group LLC, Neuberger Berman Investment Advisers Holdings LLC, Neuberger Trust Holdings LLC, Neuberger Berman Trust Co N.A., Neuberger Berman Asia Ltd., Neuberger Berman Canada ULC, Neuberger Berman Trust Co of Delaware N.A. and Neuberger Berman Investment Advisers LLC ("NBG Filers"). The securities of the issuer, if any, that may be deemed to be beneficially owned by NB Alternatives Advisers LLC and other subsidiaries of Neuberger Berman Group LLC that are separated from the NBG Filers by an information barrier in accordance with SEC Release No. 34-39538 (January 12, 1998) are not reflected in this filing.</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4,270,281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6,073,663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5.</w:t>
            </w:r>
          </w:p>
        </w:tc>
        <w:tc>
          <w:tcPr>
            <w:tcW w:w="888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6.</w:t>
            </w:r>
          </w:p>
        </w:tc>
        <w:tc>
          <w:tcPr>
            <w:tcW w:w="888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Neuberger Berman Group LLC and its affiliates may be deemed to be beneficial owners of securities for purposes of Exchange Act Rule 13d-3 because they or certain affiliated persons have shared power to retain, dispose of or vote the securities of unrelated clients. Neuberger Berman Group LLC or its affiliated persons do not, however, have any economic interest in the securities of those clients. The clients have the sole right to receive and the power to direct the receipt of dividends from or proceeds from the sale of such securities. Other than named in this filing, no one client has an interest of more than 5% of the issuer. With regard to the shares set forth under item 4(c) (ii), Neuberger Berman Group LLC may be deemed to be the beneficial owner for purposes of Rule 13d-3 because certain affiliated persons have shared power to retain, dispose of and vote the securities. In addition to the holdings of individual advisory clients, Neuberger Berman Investment Advisers LLC serves as investment manager of Neuberger Berman Group LLC's various registered mutual funds which hold such shares. The holdings belonging to clients of Neuberger Berman Trust Co N.A., Neuberger Berman Trust Co of Delaware N.A., Neuberger Berman Asia Ltd., Neuberger Berman Canada ULC and Neuberger Berman Investment Advisers LLC are also aggregated to comprise the holdings referenced herein. In addition to the shares set forth under Item 4(c)(ii) for which Neuberger entities also have shared power to dispose of the shares, item 4(c)(iv) also includes shares from individual client accounts over which Neuberger Berman Investment Advisers LLC has shared power to dispose but does not have voting power over these shares. The holdings of Neuberger Berman Trust Co N.A., Neuberger Berman Trust Co of Delaware N.A., Neuberger Berman Asia Ltd., Neuberger Berman Canada ULC and Neuberger Berman Investment Advisers LLC, are also aggregated to comprise the holdings referenced herein.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7.</w:t>
            </w:r>
          </w:p>
        </w:tc>
        <w:tc>
          <w:tcPr>
            <w:tcW w:w="888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8.</w:t>
            </w:r>
          </w:p>
        </w:tc>
        <w:tc>
          <w:tcPr>
            <w:tcW w:w="888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9.</w:t>
            </w:r>
          </w:p>
        </w:tc>
        <w:tc>
          <w:tcPr>
            <w:tcW w:w="888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Neuberger Berman Group LLC</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3"/>
        <w:gridCol w:w="4292"/>
      </w:tblGrid>
      <w:tr>
        <w:trPr/>
        <w:tc>
          <w:tcPr>
            <w:tcW w:w="59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 xml:space="preserve">Brad Cetron </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Brad Cetron / Managing Director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292" w:type="dxa"/>
            <w:tcBorders/>
            <w:vAlign w:val="center"/>
          </w:tcPr>
          <w:p>
            <w:pPr>
              <w:pStyle w:val="TableContents"/>
              <w:bidi w:val="0"/>
              <w:spacing w:before="0" w:after="283"/>
              <w:jc w:val="left"/>
              <w:rPr>
                <w:sz w:val="4"/>
                <w:szCs w:val="4"/>
              </w:rPr>
            </w:pPr>
            <w:r>
              <w:rPr>
                <w:sz w:val="4"/>
                <w:szCs w:val="4"/>
              </w:rPr>
            </w:r>
          </w:p>
        </w:tc>
      </w:tr>
    </w:tbl>
    <w:tbl>
      <w:tblPr>
        <w:tblW w:w="9324" w:type="dxa"/>
        <w:jc w:val="left"/>
        <w:tblInd w:w="0" w:type="dxa"/>
        <w:tblLayout w:type="fixed"/>
        <w:tblCellMar>
          <w:top w:w="28" w:type="dxa"/>
          <w:left w:w="28" w:type="dxa"/>
          <w:bottom w:w="28" w:type="dxa"/>
          <w:right w:w="28" w:type="dxa"/>
        </w:tblCellMar>
      </w:tblPr>
      <w:tblGrid>
        <w:gridCol w:w="4662"/>
        <w:gridCol w:w="4662"/>
      </w:tblGrid>
      <w:tr>
        <w:trPr/>
        <w:tc>
          <w:tcPr>
            <w:tcW w:w="4662" w:type="dxa"/>
            <w:tcBorders/>
            <w:vAlign w:val="center"/>
          </w:tcPr>
          <w:p>
            <w:pPr>
              <w:pStyle w:val="TableContents"/>
              <w:bidi w:val="0"/>
              <w:spacing w:before="0" w:after="0"/>
              <w:jc w:val="left"/>
              <w:rPr/>
            </w:pPr>
            <w:r>
              <w:rPr/>
              <w:t> </w:t>
            </w:r>
          </w:p>
          <w:tbl>
            <w:tblPr>
              <w:tblW w:w="4501" w:type="dxa"/>
              <w:jc w:val="left"/>
              <w:tblInd w:w="0" w:type="dxa"/>
              <w:tblLayout w:type="fixed"/>
              <w:tblCellMar>
                <w:top w:w="28" w:type="dxa"/>
                <w:left w:w="28" w:type="dxa"/>
                <w:bottom w:w="28" w:type="dxa"/>
                <w:right w:w="28" w:type="dxa"/>
              </w:tblCellMar>
            </w:tblPr>
            <w:tblGrid>
              <w:gridCol w:w="4501"/>
            </w:tblGrid>
            <w:tr>
              <w:trPr/>
              <w:tc>
                <w:tcPr>
                  <w:tcW w:w="4501" w:type="dxa"/>
                  <w:tcBorders/>
                  <w:vAlign w:val="center"/>
                </w:tcPr>
                <w:p>
                  <w:pPr>
                    <w:pStyle w:val="TableContents"/>
                    <w:bidi w:val="0"/>
                    <w:spacing w:before="0" w:after="0"/>
                    <w:jc w:val="left"/>
                    <w:rPr/>
                  </w:pPr>
                  <w:r>
                    <w:rPr/>
                    <w:t>Neuberger Berman Investment Advisers LLC</w:t>
                  </w:r>
                </w:p>
              </w:tc>
            </w:tr>
          </w:tbl>
          <w:p>
            <w:pPr>
              <w:pStyle w:val="TableContents"/>
              <w:bidi w:val="0"/>
              <w:spacing w:before="0" w:after="283"/>
              <w:jc w:val="left"/>
              <w:rPr/>
            </w:pPr>
            <w:r>
              <w:rPr/>
            </w:r>
          </w:p>
        </w:tc>
        <w:tc>
          <w:tcPr>
            <w:tcW w:w="46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3"/>
        <w:gridCol w:w="4292"/>
      </w:tblGrid>
      <w:tr>
        <w:trPr/>
        <w:tc>
          <w:tcPr>
            <w:tcW w:w="59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 xml:space="preserve">Brad Cetron </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Brad Cetron / Managing Director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29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1566</Words>
  <Characters>8226</Characters>
  <CharactersWithSpaces>9765</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