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May 29, 2026</w:t>
      </w:r>
    </w:p>
    <w:p>
      <w:pPr>
        <w:spacing w:after="0" w:line="41"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7"/>
          <w:szCs w:val="17"/>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335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240030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139700</wp:posOffset>
            </wp:positionV>
            <wp:extent cx="1798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8320" cy="25400"/>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S-8</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jc w:val="center"/>
        <w:ind w:right="-19"/>
        <w:spacing w:after="0" w:line="238" w:lineRule="auto"/>
        <w:rPr>
          <w:sz w:val="20"/>
          <w:szCs w:val="20"/>
          <w:color w:val="auto"/>
        </w:rPr>
      </w:pPr>
      <w:r>
        <w:rPr>
          <w:rFonts w:ascii="Times New Roman" w:cs="Times New Roman" w:eastAsia="Times New Roman" w:hAnsi="Times New Roman"/>
          <w:sz w:val="21"/>
          <w:szCs w:val="21"/>
          <w:b w:val="1"/>
          <w:b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THE SECURITIES ACT OF 1933</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color w:val="auto"/>
        </w:rPr>
        <w:t>ACCURAY INCORPORATED</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4" w:right="339"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0"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7"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20-8370041</w:t>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(I.R.S. Employer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2">
            <w:col w:w="7000" w:space="720"/>
            <w:col w:w="3520"/>
          </w:cols>
          <w:pgMar w:left="320" w:top="224" w:right="339" w:bottom="1440" w:gutter="0" w:footer="0" w:header="0"/>
          <w:type w:val="continuous"/>
        </w:sectPr>
      </w:pPr>
    </w:p>
    <w:p>
      <w:pPr>
        <w:spacing w:after="0" w:line="1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1240 Deming Way</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Madison, Wisconsin 53717</w:t>
      </w:r>
    </w:p>
    <w:p>
      <w:pPr>
        <w:sectPr>
          <w:pgSz w:w="11900" w:h="16838" w:orient="portrait"/>
          <w:cols w:equalWidth="0" w:num="1">
            <w:col w:w="11240"/>
          </w:cols>
          <w:pgMar w:left="320" w:top="224" w:right="339" w:bottom="1440" w:gutter="0" w:footer="0" w:header="0"/>
          <w:type w:val="continuous"/>
        </w:sect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287655</wp:posOffset>
            </wp:positionV>
            <wp:extent cx="173863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863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line="256" w:lineRule="auto"/>
        <w:rPr>
          <w:sz w:val="20"/>
          <w:szCs w:val="20"/>
          <w:color w:val="auto"/>
        </w:rPr>
      </w:pPr>
      <w:r>
        <w:rPr>
          <w:rFonts w:ascii="Times New Roman" w:cs="Times New Roman" w:eastAsia="Times New Roman" w:hAnsi="Times New Roman"/>
          <w:sz w:val="18"/>
          <w:szCs w:val="18"/>
          <w:b w:val="1"/>
          <w:bCs w:val="1"/>
          <w:color w:val="auto"/>
        </w:rPr>
        <w:t>Accuray Incorporated Stand-Alone Inducement Restricted Stock Unit Agreement for David Shin Accuray Incorporated Stand-Alone Inducement Restricted Stock Unit Agreement for Paul Miele Accuray Incorporated Stand-Alone Inducement Performance Unit Agreement for David Shin Accuray Incorporated Stand-Alone Inducement Performance Unit Agreement for Paul Miele (</w:t>
      </w: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127635</wp:posOffset>
            </wp:positionV>
            <wp:extent cx="173863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8630" cy="2540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2240" w:type="dxa"/>
        <w:tblCellMar>
          <w:top w:w="0" w:type="dxa"/>
          <w:left w:w="0" w:type="dxa"/>
          <w:bottom w:w="0" w:type="dxa"/>
          <w:right w:w="0" w:type="dxa"/>
        </w:tblCellMar>
      </w:tblPr>
      <w:tr>
        <w:trPr>
          <w:trHeight w:val="214"/>
        </w:trPr>
        <w:tc>
          <w:tcPr>
            <w:tcW w:w="3460" w:type="dxa"/>
            <w:vAlign w:val="bottom"/>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8"/>
              </w:rPr>
              <w:t>Stephen La Neve</w:t>
            </w:r>
          </w:p>
        </w:tc>
        <w:tc>
          <w:tcPr>
            <w:tcW w:w="3580" w:type="dxa"/>
            <w:vAlign w:val="bottom"/>
          </w:tcPr>
          <w:p>
            <w:pPr>
              <w:jc w:val="center"/>
              <w:ind w:left="471"/>
              <w:spacing w:after="0"/>
              <w:rPr>
                <w:sz w:val="20"/>
                <w:szCs w:val="20"/>
                <w:color w:val="auto"/>
              </w:rPr>
            </w:pPr>
            <w:r>
              <w:rPr>
                <w:rFonts w:ascii="Times New Roman" w:cs="Times New Roman" w:eastAsia="Times New Roman" w:hAnsi="Times New Roman"/>
                <w:sz w:val="18"/>
                <w:szCs w:val="18"/>
                <w:b w:val="1"/>
                <w:bCs w:val="1"/>
                <w:color w:val="auto"/>
                <w:w w:val="99"/>
              </w:rPr>
              <w:t>Copy to:</w:t>
            </w:r>
          </w:p>
        </w:tc>
      </w:tr>
      <w:tr>
        <w:trPr>
          <w:trHeight w:val="214"/>
        </w:trPr>
        <w:tc>
          <w:tcPr>
            <w:tcW w:w="3460" w:type="dxa"/>
            <w:vAlign w:val="bottom"/>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8"/>
              </w:rPr>
              <w:t>President and Chief Executive Officer</w:t>
            </w:r>
          </w:p>
        </w:tc>
        <w:tc>
          <w:tcPr>
            <w:tcW w:w="3580" w:type="dxa"/>
            <w:vAlign w:val="bottom"/>
          </w:tcPr>
          <w:p>
            <w:pPr>
              <w:jc w:val="center"/>
              <w:ind w:left="471"/>
              <w:spacing w:after="0"/>
              <w:rPr>
                <w:sz w:val="20"/>
                <w:szCs w:val="20"/>
                <w:color w:val="auto"/>
              </w:rPr>
            </w:pPr>
            <w:r>
              <w:rPr>
                <w:rFonts w:ascii="Times New Roman" w:cs="Times New Roman" w:eastAsia="Times New Roman" w:hAnsi="Times New Roman"/>
                <w:sz w:val="18"/>
                <w:szCs w:val="18"/>
                <w:b w:val="1"/>
                <w:bCs w:val="1"/>
                <w:color w:val="auto"/>
                <w:w w:val="98"/>
              </w:rPr>
              <w:t>Katharine A. Martin</w:t>
            </w:r>
          </w:p>
        </w:tc>
      </w:tr>
      <w:tr>
        <w:trPr>
          <w:trHeight w:val="214"/>
        </w:trPr>
        <w:tc>
          <w:tcPr>
            <w:tcW w:w="3460" w:type="dxa"/>
            <w:vAlign w:val="bottom"/>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7"/>
              </w:rPr>
              <w:t>Accuray Incorporated</w:t>
            </w:r>
          </w:p>
        </w:tc>
        <w:tc>
          <w:tcPr>
            <w:tcW w:w="3580" w:type="dxa"/>
            <w:vAlign w:val="bottom"/>
          </w:tcPr>
          <w:p>
            <w:pPr>
              <w:jc w:val="center"/>
              <w:ind w:left="471"/>
              <w:spacing w:after="0"/>
              <w:rPr>
                <w:sz w:val="20"/>
                <w:szCs w:val="20"/>
                <w:color w:val="auto"/>
              </w:rPr>
            </w:pPr>
            <w:r>
              <w:rPr>
                <w:rFonts w:ascii="Times New Roman" w:cs="Times New Roman" w:eastAsia="Times New Roman" w:hAnsi="Times New Roman"/>
                <w:sz w:val="18"/>
                <w:szCs w:val="18"/>
                <w:b w:val="1"/>
                <w:bCs w:val="1"/>
                <w:color w:val="auto"/>
                <w:w w:val="98"/>
              </w:rPr>
              <w:t>Lisa L. Stimmell</w:t>
            </w:r>
          </w:p>
        </w:tc>
      </w:tr>
      <w:tr>
        <w:trPr>
          <w:trHeight w:val="214"/>
        </w:trPr>
        <w:tc>
          <w:tcPr>
            <w:tcW w:w="3460" w:type="dxa"/>
            <w:vAlign w:val="bottom"/>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9"/>
              </w:rPr>
              <w:t>1240 Deming Way</w:t>
            </w:r>
          </w:p>
        </w:tc>
        <w:tc>
          <w:tcPr>
            <w:tcW w:w="3580" w:type="dxa"/>
            <w:vAlign w:val="bottom"/>
          </w:tcPr>
          <w:p>
            <w:pPr>
              <w:jc w:val="center"/>
              <w:ind w:left="471"/>
              <w:spacing w:after="0"/>
              <w:rPr>
                <w:sz w:val="20"/>
                <w:szCs w:val="20"/>
                <w:color w:val="auto"/>
              </w:rPr>
            </w:pPr>
            <w:r>
              <w:rPr>
                <w:rFonts w:ascii="Times New Roman" w:cs="Times New Roman" w:eastAsia="Times New Roman" w:hAnsi="Times New Roman"/>
                <w:sz w:val="18"/>
                <w:szCs w:val="18"/>
                <w:b w:val="1"/>
                <w:bCs w:val="1"/>
                <w:color w:val="auto"/>
                <w:w w:val="98"/>
              </w:rPr>
              <w:t>Wilson Sonsini Goodrich &amp; Rosati, P.C.</w:t>
            </w:r>
          </w:p>
        </w:tc>
      </w:tr>
      <w:tr>
        <w:trPr>
          <w:trHeight w:val="214"/>
        </w:trPr>
        <w:tc>
          <w:tcPr>
            <w:tcW w:w="3460" w:type="dxa"/>
            <w:vAlign w:val="bottom"/>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8"/>
              </w:rPr>
              <w:t>Madison, WI 53717</w:t>
            </w:r>
          </w:p>
        </w:tc>
        <w:tc>
          <w:tcPr>
            <w:tcW w:w="3580" w:type="dxa"/>
            <w:vAlign w:val="bottom"/>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w w:val="98"/>
              </w:rPr>
              <w:t>650 Page Mill Road</w:t>
            </w:r>
          </w:p>
        </w:tc>
      </w:tr>
      <w:tr>
        <w:trPr>
          <w:trHeight w:val="214"/>
        </w:trPr>
        <w:tc>
          <w:tcPr>
            <w:tcW w:w="3460" w:type="dxa"/>
            <w:vAlign w:val="bottom"/>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9"/>
              </w:rPr>
              <w:t>(608) 824-2800</w:t>
            </w:r>
          </w:p>
        </w:tc>
        <w:tc>
          <w:tcPr>
            <w:tcW w:w="3580" w:type="dxa"/>
            <w:vAlign w:val="bottom"/>
          </w:tcPr>
          <w:p>
            <w:pPr>
              <w:jc w:val="center"/>
              <w:ind w:left="471"/>
              <w:spacing w:after="0"/>
              <w:rPr>
                <w:sz w:val="20"/>
                <w:szCs w:val="20"/>
                <w:color w:val="auto"/>
              </w:rPr>
            </w:pPr>
            <w:r>
              <w:rPr>
                <w:rFonts w:ascii="Times New Roman" w:cs="Times New Roman" w:eastAsia="Times New Roman" w:hAnsi="Times New Roman"/>
                <w:sz w:val="18"/>
                <w:szCs w:val="18"/>
                <w:b w:val="1"/>
                <w:bCs w:val="1"/>
                <w:color w:val="auto"/>
                <w:w w:val="98"/>
              </w:rPr>
              <w:t>Palo Alto, CA 94304</w:t>
            </w:r>
          </w:p>
        </w:tc>
      </w:tr>
      <w:tr>
        <w:trPr>
          <w:trHeight w:val="237"/>
        </w:trPr>
        <w:tc>
          <w:tcPr>
            <w:tcW w:w="3460" w:type="dxa"/>
            <w:vAlign w:val="bottom"/>
          </w:tcPr>
          <w:p>
            <w:pPr>
              <w:spacing w:after="0"/>
              <w:rPr>
                <w:sz w:val="20"/>
                <w:szCs w:val="20"/>
                <w:color w:val="auto"/>
              </w:rPr>
            </w:pPr>
          </w:p>
        </w:tc>
        <w:tc>
          <w:tcPr>
            <w:tcW w:w="3580" w:type="dxa"/>
            <w:vAlign w:val="bottom"/>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w w:val="99"/>
              </w:rPr>
              <w:t>(650) 493-9300</w:t>
            </w:r>
          </w:p>
        </w:tc>
      </w:tr>
    </w:tbl>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Address, Including Zip Code, and Telephone Number,</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Including Area Code, of Agent for Service)</w:t>
      </w:r>
    </w:p>
    <w:p>
      <w:pPr>
        <w:spacing w:after="0" w:line="202" w:lineRule="exact"/>
        <w:rPr>
          <w:sz w:val="24"/>
          <w:szCs w:val="24"/>
          <w:color w:val="auto"/>
        </w:rPr>
      </w:pPr>
    </w:p>
    <w:p>
      <w:pPr>
        <w:jc w:val="both"/>
        <w:ind w:firstLine="16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4" w:right="339" w:bottom="1440" w:gutter="0" w:footer="0" w:header="0"/>
          <w:type w:val="continuous"/>
        </w:sectPr>
      </w:pPr>
    </w:p>
    <w:p>
      <w:pPr>
        <w:spacing w:after="0" w:line="136" w:lineRule="exact"/>
        <w:rPr>
          <w:sz w:val="24"/>
          <w:szCs w:val="24"/>
          <w:color w:val="auto"/>
        </w:rPr>
      </w:pP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700" w:space="720"/>
            <w:col w:w="4820"/>
          </w:cols>
          <w:pgMar w:left="320" w:top="224" w:right="339" w:bottom="1440" w:gutter="0" w:footer="0" w:header="0"/>
          <w:type w:val="continuous"/>
        </w:sectPr>
      </w:pPr>
    </w:p>
    <w:p>
      <w:pPr>
        <w:spacing w:after="0" w:line="32" w:lineRule="exact"/>
        <w:rPr>
          <w:sz w:val="24"/>
          <w:szCs w:val="24"/>
          <w:color w:val="auto"/>
        </w:rPr>
      </w:pP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620" w:space="720"/>
            <w:col w:w="4900"/>
          </w:cols>
          <w:pgMar w:left="320" w:top="224" w:right="339" w:bottom="1440" w:gutter="0" w:footer="0" w:header="0"/>
          <w:type w:val="continuous"/>
        </w:sectPr>
      </w:pPr>
    </w:p>
    <w:p>
      <w:pPr>
        <w:spacing w:after="0" w:line="32" w:lineRule="exact"/>
        <w:rPr>
          <w:sz w:val="24"/>
          <w:szCs w:val="24"/>
          <w:color w:val="auto"/>
        </w:rPr>
      </w:pPr>
    </w:p>
    <w:p>
      <w:pPr>
        <w:ind w:left="54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4" w:right="339" w:bottom="1440" w:gutter="0" w:footer="0" w:header="0"/>
          <w:type w:val="continuous"/>
        </w:sectPr>
      </w:pPr>
    </w:p>
    <w:p>
      <w:pPr>
        <w:spacing w:after="0" w:line="273"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71335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following documents, which were filed with the Securities and Exchange Commission (the “Commission”), are incorporated herein by reference (excluding any portions of such documents that have been “furnished” but not “filed” for purposes of the Securities Exchange Act of 1934, as amended (the “Exchange Act”)):</w:t>
      </w:r>
    </w:p>
    <w:p>
      <w:pPr>
        <w:spacing w:after="0" w:line="177" w:lineRule="exact"/>
        <w:rPr>
          <w:sz w:val="20"/>
          <w:szCs w:val="20"/>
          <w:color w:val="auto"/>
        </w:rPr>
      </w:pPr>
    </w:p>
    <w:p>
      <w:pPr>
        <w:ind w:left="960" w:right="20" w:hanging="312"/>
        <w:spacing w:after="0" w:line="257" w:lineRule="auto"/>
        <w:tabs>
          <w:tab w:leader="none" w:pos="9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Annual Report on </w:t>
      </w:r>
      <w:hyperlink r:id="rId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June 30, 2025, filed with the Commission on August 28, 2025 (File No. 001-33301), as amended by Amendment No. 1 to the Registrant’s Annual Report on </w:t>
      </w:r>
      <w:hyperlink r:id="rId15">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June 30, 2025, filed </w:t>
      </w:r>
      <w:hyperlink r:id="rId16">
        <w:r>
          <w:rPr>
            <w:rFonts w:ascii="Times New Roman" w:cs="Times New Roman" w:eastAsia="Times New Roman" w:hAnsi="Times New Roman"/>
            <w:sz w:val="18"/>
            <w:szCs w:val="18"/>
            <w:color w:val="auto"/>
          </w:rPr>
          <w:t xml:space="preserve">with the Commission on February 17, 2026 (File No. 001-33301) (including portions incorporated by reference to the Registrant’s </w:t>
        </w:r>
        <w:r>
          <w:rPr>
            <w:rFonts w:ascii="Times New Roman" w:cs="Times New Roman" w:eastAsia="Times New Roman" w:hAnsi="Times New Roman"/>
            <w:sz w:val="18"/>
            <w:szCs w:val="18"/>
            <w:u w:val="single" w:color="auto"/>
            <w:color w:val="0000EE"/>
          </w:rPr>
          <w:t>Definitive</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Proxy Statement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 Schedule 14A, as filed with the Commission on October 1, 2025);</w:t>
        </w:r>
      </w:hyperlink>
    </w:p>
    <w:p>
      <w:pPr>
        <w:spacing w:after="0" w:line="182" w:lineRule="exact"/>
        <w:rPr>
          <w:rFonts w:ascii="Times New Roman" w:cs="Times New Roman" w:eastAsia="Times New Roman" w:hAnsi="Times New Roman"/>
          <w:sz w:val="18"/>
          <w:szCs w:val="18"/>
          <w:color w:val="0000EE"/>
        </w:rPr>
      </w:pPr>
    </w:p>
    <w:p>
      <w:pPr>
        <w:ind w:left="960" w:right="60" w:hanging="312"/>
        <w:spacing w:after="0" w:line="255" w:lineRule="auto"/>
        <w:tabs>
          <w:tab w:leader="none" w:pos="9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Quarterly Reports on Form 10-Q for the fiscal quarter ended September 30, 2025, filed with the Commission (File No. 001-33301) on </w:t>
      </w:r>
      <w:hyperlink r:id="rId17">
        <w:r>
          <w:rPr>
            <w:rFonts w:ascii="Times New Roman" w:cs="Times New Roman" w:eastAsia="Times New Roman" w:hAnsi="Times New Roman"/>
            <w:sz w:val="18"/>
            <w:szCs w:val="18"/>
            <w:u w:val="single" w:color="auto"/>
            <w:color w:val="0000EE"/>
          </w:rPr>
          <w:t>November 5, 2025</w:t>
        </w:r>
      </w:hyperlink>
      <w:r>
        <w:rPr>
          <w:rFonts w:ascii="Times New Roman" w:cs="Times New Roman" w:eastAsia="Times New Roman" w:hAnsi="Times New Roman"/>
          <w:sz w:val="18"/>
          <w:szCs w:val="18"/>
          <w:color w:val="auto"/>
        </w:rPr>
        <w:t xml:space="preserve">, as amended by Amendment No. 1 to Form 10-Q for the fiscal quarter ended September 30, 2025, filed with the Commission (File No. 001-33301) on </w:t>
      </w:r>
      <w:hyperlink r:id="rId18">
        <w:r>
          <w:rPr>
            <w:rFonts w:ascii="Times New Roman" w:cs="Times New Roman" w:eastAsia="Times New Roman" w:hAnsi="Times New Roman"/>
            <w:sz w:val="18"/>
            <w:szCs w:val="18"/>
            <w:u w:val="single" w:color="auto"/>
            <w:color w:val="0000EE"/>
          </w:rPr>
          <w:t>February 17, 2026</w:t>
        </w:r>
      </w:hyperlink>
      <w:r>
        <w:rPr>
          <w:rFonts w:ascii="Times New Roman" w:cs="Times New Roman" w:eastAsia="Times New Roman" w:hAnsi="Times New Roman"/>
          <w:sz w:val="18"/>
          <w:szCs w:val="18"/>
          <w:color w:val="auto"/>
        </w:rPr>
        <w:t xml:space="preserve">, for the fiscal quarter ended December 31, 2025, filed with the Commission (File No. </w:t>
      </w:r>
      <w:hyperlink r:id="rId19">
        <w:r>
          <w:rPr>
            <w:rFonts w:ascii="Times New Roman" w:cs="Times New Roman" w:eastAsia="Times New Roman" w:hAnsi="Times New Roman"/>
            <w:sz w:val="18"/>
            <w:szCs w:val="18"/>
            <w:color w:val="auto"/>
          </w:rPr>
          <w:t xml:space="preserve">001-33301) on </w:t>
        </w:r>
        <w:r>
          <w:rPr>
            <w:rFonts w:ascii="Times New Roman" w:cs="Times New Roman" w:eastAsia="Times New Roman" w:hAnsi="Times New Roman"/>
            <w:sz w:val="18"/>
            <w:szCs w:val="18"/>
            <w:u w:val="single" w:color="auto"/>
            <w:color w:val="0000EE"/>
          </w:rPr>
          <w:t>February 17 , 2026</w:t>
        </w:r>
        <w:r>
          <w:rPr>
            <w:rFonts w:ascii="Times New Roman" w:cs="Times New Roman" w:eastAsia="Times New Roman" w:hAnsi="Times New Roman"/>
            <w:sz w:val="18"/>
            <w:szCs w:val="18"/>
            <w:color w:val="auto"/>
          </w:rPr>
          <w:t xml:space="preserve"> and for the fiscal quarter ended March 31, 2026, filed with the Commission (File No. 001-33301) on </w:t>
        </w:r>
        <w:r>
          <w:rPr>
            <w:rFonts w:ascii="Times New Roman" w:cs="Times New Roman" w:eastAsia="Times New Roman" w:hAnsi="Times New Roman"/>
            <w:sz w:val="18"/>
            <w:szCs w:val="18"/>
            <w:u w:val="single" w:color="auto"/>
            <w:color w:val="0000EE"/>
          </w:rPr>
          <w:t>May 6,</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182" w:lineRule="exact"/>
        <w:rPr>
          <w:rFonts w:ascii="Times New Roman" w:cs="Times New Roman" w:eastAsia="Times New Roman" w:hAnsi="Times New Roman"/>
          <w:sz w:val="18"/>
          <w:szCs w:val="18"/>
          <w:color w:val="0000EE"/>
        </w:rPr>
      </w:pPr>
    </w:p>
    <w:p>
      <w:pPr>
        <w:ind w:left="960" w:right="60" w:hanging="312"/>
        <w:spacing w:after="0" w:line="262" w:lineRule="auto"/>
        <w:tabs>
          <w:tab w:leader="none" w:pos="9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filed with the Commission (File No. 001-33301) on </w:t>
      </w:r>
      <w:hyperlink r:id="rId20">
        <w:r>
          <w:rPr>
            <w:rFonts w:ascii="Times New Roman" w:cs="Times New Roman" w:eastAsia="Times New Roman" w:hAnsi="Times New Roman"/>
            <w:sz w:val="18"/>
            <w:szCs w:val="18"/>
            <w:u w:val="single" w:color="auto"/>
            <w:color w:val="0000EE"/>
          </w:rPr>
          <w:t>August 22, 2025</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September 19, 2025</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October 20,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19,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16,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31,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20,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6,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9,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w:t>
        </w:r>
      </w:hyperlink>
      <w:r>
        <w:rPr>
          <w:rFonts w:ascii="Times New Roman" w:cs="Times New Roman" w:eastAsia="Times New Roman" w:hAnsi="Times New Roman"/>
          <w:sz w:val="18"/>
          <w:szCs w:val="18"/>
          <w:color w:val="0000EE"/>
        </w:rPr>
        <w:t xml:space="preserve"> </w:t>
      </w:r>
      <w:hyperlink r:id="rId22">
        <w:r>
          <w:rPr>
            <w:rFonts w:ascii="Times New Roman" w:cs="Times New Roman" w:eastAsia="Times New Roman" w:hAnsi="Times New Roman"/>
            <w:sz w:val="18"/>
            <w:szCs w:val="18"/>
            <w:u w:val="single" w:color="auto"/>
            <w:color w:val="0000EE"/>
          </w:rPr>
          <w:t>19, 2026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April 7, 2026</w:t>
        </w:r>
      </w:hyperlink>
      <w:hyperlink r:id="rId22">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 xml:space="preserve">April 28, 2026 </w:t>
        </w:r>
      </w:hyperlink>
      <w:hyperlink r:id="rId22">
        <w:r>
          <w:rPr>
            <w:rFonts w:ascii="Times New Roman" w:cs="Times New Roman" w:eastAsia="Times New Roman" w:hAnsi="Times New Roman"/>
            <w:sz w:val="18"/>
            <w:szCs w:val="18"/>
            <w:color w:val="000000"/>
          </w:rPr>
          <w:t>(other than the portions of these documents not deemed to be filed); and</w:t>
        </w:r>
      </w:hyperlink>
    </w:p>
    <w:p>
      <w:pPr>
        <w:spacing w:after="0" w:line="177" w:lineRule="exact"/>
        <w:rPr>
          <w:rFonts w:ascii="Times New Roman" w:cs="Times New Roman" w:eastAsia="Times New Roman" w:hAnsi="Times New Roman"/>
          <w:sz w:val="18"/>
          <w:szCs w:val="18"/>
          <w:color w:val="0000EE"/>
        </w:rPr>
      </w:pPr>
    </w:p>
    <w:p>
      <w:pPr>
        <w:ind w:left="960" w:right="660" w:hanging="312"/>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contained in the Registrant’s Registration Statement on </w:t>
      </w:r>
      <w:hyperlink r:id="rId2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February 7, 2007 (File No. 001-33301), including any subsequently filed amendments and reports updating that description.</w:t>
      </w:r>
    </w:p>
    <w:p>
      <w:pPr>
        <w:spacing w:after="0" w:line="163" w:lineRule="exact"/>
        <w:rPr>
          <w:rFonts w:ascii="Times New Roman" w:cs="Times New Roman" w:eastAsia="Times New Roman" w:hAnsi="Times New Roman"/>
          <w:sz w:val="18"/>
          <w:szCs w:val="18"/>
          <w:color w:val="0000EE"/>
        </w:rPr>
      </w:pPr>
    </w:p>
    <w:p>
      <w:pPr>
        <w:jc w:val="both"/>
        <w:ind w:firstLine="641"/>
        <w:spacing w:after="0" w:line="268" w:lineRule="auto"/>
        <w:rPr>
          <w:sz w:val="20"/>
          <w:szCs w:val="20"/>
          <w:color w:val="auto"/>
        </w:rPr>
      </w:pPr>
      <w:r>
        <w:rPr>
          <w:rFonts w:ascii="Times New Roman" w:cs="Times New Roman" w:eastAsia="Times New Roman" w:hAnsi="Times New Roman"/>
          <w:sz w:val="17"/>
          <w:szCs w:val="17"/>
          <w:color w:val="auto"/>
        </w:rPr>
        <w:t>All documents subsequently filed by the Registrant pursuant to Section 13(a), 13(c), 14 or 15(d) of the Exchange Act on or after the date of this Registration Statement and prior to the filing of a post-effective amendment which indicates that all securities offered hereby have been sold or deregistering all securities then remaining unsold, shall be deemed to be incorporated by reference herein and to be a part of this Registration Statement from the date of the filing of such documents. Any statement contained in a document incorporated or deemed to be incorporated by reference herein shall be deemed to be modified or superseded for purposes of this Registration Statement to the extent that a statement contained in this Registration Statement, or in any subsequently filed document which also is or is deemed to be incorporated by reference in this Registration Statement, modifies or supersedes such statement. Any statement so modified or superseded shall not be deemed, except as so modified or superseded, to be a part of this Registration Statement. Information contained in a Current Report on Form 8-K furnished to the Commission will not be incorporated by reference into this Registration Statement.</w:t>
      </w:r>
    </w:p>
    <w:p>
      <w:pPr>
        <w:spacing w:after="0" w:line="173"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4"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The Common Stock being registered hereunder has been registered pursuant to Section 12 of the Exchange Act.</w:t>
      </w:r>
    </w:p>
    <w:p>
      <w:pPr>
        <w:spacing w:after="0" w:line="216"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4"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4" w:lineRule="exact"/>
        <w:rPr>
          <w:rFonts w:ascii="Times New Roman" w:cs="Times New Roman" w:eastAsia="Times New Roman" w:hAnsi="Times New Roman"/>
          <w:sz w:val="18"/>
          <w:szCs w:val="18"/>
          <w:color w:val="0000EE"/>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(the “DGCL”) authorizes a corporation’s board of directors to grant, and authorizes a court to award, indemnity to officers, directors and other corporate agents under certain circumstances.</w:t>
      </w:r>
    </w:p>
    <w:p>
      <w:pPr>
        <w:spacing w:after="0" w:line="163" w:lineRule="exact"/>
        <w:rPr>
          <w:rFonts w:ascii="Times New Roman" w:cs="Times New Roman" w:eastAsia="Times New Roman" w:hAnsi="Times New Roman"/>
          <w:sz w:val="18"/>
          <w:szCs w:val="18"/>
          <w:color w:val="0000EE"/>
        </w:rPr>
      </w:pPr>
    </w:p>
    <w:p>
      <w:pPr>
        <w:jc w:val="both"/>
        <w:ind w:firstLine="641"/>
        <w:spacing w:after="0" w:line="285" w:lineRule="auto"/>
        <w:rPr>
          <w:sz w:val="20"/>
          <w:szCs w:val="20"/>
          <w:color w:val="auto"/>
        </w:rPr>
      </w:pPr>
      <w:r>
        <w:rPr>
          <w:rFonts w:ascii="Times New Roman" w:cs="Times New Roman" w:eastAsia="Times New Roman" w:hAnsi="Times New Roman"/>
          <w:sz w:val="17"/>
          <w:szCs w:val="17"/>
          <w:color w:val="auto"/>
        </w:rPr>
        <w:t>As permitted by Section 102(b)(7) of the DGCL, the Registrant’s amended and restated certificate of incorporation contains provisions that limit the liability of its directors for monetary damages to the fullest extent permitted by Delaware law. Consequently, the Registrant’s directors will not be personally liable to the Registrant or its stockholders for monetary damages for any breach of fiduciary duties as directors, except liability for the following:</w:t>
      </w:r>
    </w:p>
    <w:p>
      <w:pPr>
        <w:spacing w:after="0" w:line="159" w:lineRule="exact"/>
        <w:rPr>
          <w:rFonts w:ascii="Times New Roman" w:cs="Times New Roman" w:eastAsia="Times New Roman" w:hAnsi="Times New Roman"/>
          <w:sz w:val="18"/>
          <w:szCs w:val="18"/>
          <w:color w:val="0000EE"/>
        </w:rPr>
      </w:pPr>
    </w:p>
    <w:p>
      <w:pPr>
        <w:ind w:left="960" w:hanging="31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to its stockholders;</w:t>
      </w:r>
    </w:p>
    <w:p>
      <w:pPr>
        <w:spacing w:after="0" w:line="247"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247"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247"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47" w:lineRule="exact"/>
        <w:rPr>
          <w:rFonts w:ascii="Times New Roman" w:cs="Times New Roman" w:eastAsia="Times New Roman" w:hAnsi="Times New Roman"/>
          <w:sz w:val="18"/>
          <w:szCs w:val="18"/>
          <w:color w:val="0000EE"/>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The Registrant’s certificate of incorporation provides that it may indemnify to the fullest extent permitted by law any person made or threatened to be made a party to an action or proceeding, whether criminal, civil, administrative or investigative, by reason of the fact that he, his testator or intestate is or was a director, officer, employee or agent of the Registrant or any predecessor of the Registrant, or serves or served at any other enterprise as a director, officer, employee or agent at the request of the Registrant or any predecessor to the Registrant.</w:t>
      </w:r>
    </w:p>
    <w:p>
      <w:pPr>
        <w:spacing w:after="0" w:line="182" w:lineRule="exact"/>
        <w:rPr>
          <w:rFonts w:ascii="Times New Roman" w:cs="Times New Roman" w:eastAsia="Times New Roman" w:hAnsi="Times New Roman"/>
          <w:sz w:val="18"/>
          <w:szCs w:val="18"/>
          <w:color w:val="0000EE"/>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the Registrant’s directors will be eliminated or limited to the fullest extent permitted by Delaware law, as so amended. The Registrant’s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w:t>
      </w:r>
    </w:p>
    <w:p>
      <w:pPr>
        <w:sectPr>
          <w:pgSz w:w="11900" w:h="16838" w:orient="portrait"/>
          <w:cols w:equalWidth="0" w:num="1">
            <w:col w:w="11240"/>
          </w:cols>
          <w:pgMar w:left="320" w:top="571" w:right="339" w:bottom="172" w:gutter="0" w:footer="0" w:header="0"/>
        </w:sectPr>
      </w:pPr>
    </w:p>
    <w:bookmarkStart w:id="2" w:name="page3"/>
    <w:bookmarkEnd w:id="2"/>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The Registrant’s amended and restated bylaws provide that the Registrant shall indemnify and hold harmless, to the fullest extent permitted by the DGCL as it presently exists or may hereafter be amended, any director or officer of the Registrant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officer, employee or agent of the Registrant or is or was serving at the request of the Registrant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action, suit or proceeding.</w:t>
      </w:r>
    </w:p>
    <w:p>
      <w:pPr>
        <w:spacing w:after="0" w:line="189"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Further, the Registrant has entered into indemnification agreements with each of its current directors and officers. These agreements provide for the indemnification of the Registrant’s directors and officers for all reasonable expenses and liabilities incurred in connection with any action or proceeding brought against them by reason of the fact that they are or were the Registrant’s agents. The Registrant also maintains directors’ and officers’ liability insurance.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40" w:type="dxa"/>
            <w:vAlign w:val="bottom"/>
          </w:tcPr>
          <w:p>
            <w:pPr>
              <w:spacing w:after="0"/>
              <w:rPr>
                <w:sz w:val="20"/>
                <w:szCs w:val="20"/>
                <w:color w:val="auto"/>
              </w:rPr>
            </w:pPr>
          </w:p>
        </w:tc>
        <w:tc>
          <w:tcPr>
            <w:tcW w:w="4980" w:type="dxa"/>
            <w:vAlign w:val="bottom"/>
            <w:gridSpan w:val="14"/>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601"/>
        </w:trPr>
        <w:tc>
          <w:tcPr>
            <w:tcW w:w="59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Exhibit No. Exhibit Descriptions</w:t>
            </w:r>
          </w:p>
        </w:tc>
      </w:tr>
      <w:tr>
        <w:trPr>
          <w:trHeight w:val="20"/>
        </w:trPr>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4"/>
        </w:trPr>
        <w:tc>
          <w:tcPr>
            <w:tcW w:w="88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4.1</w:t>
            </w:r>
            <w:r>
              <w:rPr>
                <w:rFonts w:ascii="Times New Roman" w:cs="Times New Roman" w:eastAsia="Times New Roman" w:hAnsi="Times New Roman"/>
                <w:sz w:val="22"/>
                <w:szCs w:val="22"/>
                <w:color w:val="auto"/>
                <w:vertAlign w:val="superscript"/>
              </w:rPr>
              <w:t>(1)</w:t>
            </w:r>
          </w:p>
        </w:tc>
        <w:tc>
          <w:tcPr>
            <w:tcW w:w="40" w:type="dxa"/>
            <w:vAlign w:val="bottom"/>
          </w:tcPr>
          <w:p>
            <w:pPr>
              <w:spacing w:after="0"/>
              <w:rPr>
                <w:sz w:val="16"/>
                <w:szCs w:val="16"/>
                <w:color w:val="auto"/>
              </w:rPr>
            </w:pPr>
          </w:p>
        </w:tc>
        <w:tc>
          <w:tcPr>
            <w:tcW w:w="4980" w:type="dxa"/>
            <w:vAlign w:val="bottom"/>
            <w:gridSpan w:val="14"/>
          </w:tcPr>
          <w:p>
            <w:pPr>
              <w:spacing w:after="0" w:line="194"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 of Common Stock Certificate</w:t>
              </w:r>
            </w:hyperlink>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4"/>
        </w:trPr>
        <w:tc>
          <w:tcPr>
            <w:tcW w:w="88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5.1</w:t>
            </w:r>
            <w:r>
              <w:rPr>
                <w:rFonts w:ascii="Times New Roman" w:cs="Times New Roman" w:eastAsia="Times New Roman" w:hAnsi="Times New Roman"/>
                <w:sz w:val="22"/>
                <w:szCs w:val="22"/>
                <w:color w:val="auto"/>
                <w:vertAlign w:val="superscript"/>
              </w:rPr>
              <w:t>(2)</w:t>
            </w:r>
          </w:p>
        </w:tc>
        <w:tc>
          <w:tcPr>
            <w:tcW w:w="40" w:type="dxa"/>
            <w:vAlign w:val="bottom"/>
          </w:tcPr>
          <w:p>
            <w:pPr>
              <w:spacing w:after="0"/>
              <w:rPr>
                <w:sz w:val="16"/>
                <w:szCs w:val="16"/>
                <w:color w:val="auto"/>
              </w:rPr>
            </w:pPr>
          </w:p>
        </w:tc>
        <w:tc>
          <w:tcPr>
            <w:tcW w:w="498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Opinion of Wilson Sonsini Goodrich &amp; Rosati, Professional</w:t>
            </w:r>
          </w:p>
        </w:tc>
      </w:tr>
      <w:tr>
        <w:trPr>
          <w:trHeight w:val="194"/>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80" w:type="dxa"/>
            <w:vAlign w:val="bottom"/>
            <w:tcBorders>
              <w:top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Corporation</w:t>
            </w:r>
          </w:p>
        </w:tc>
        <w:tc>
          <w:tcPr>
            <w:tcW w:w="700" w:type="dxa"/>
            <w:vAlign w:val="bottom"/>
            <w:gridSpan w:val="3"/>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5"/>
        </w:trPr>
        <w:tc>
          <w:tcPr>
            <w:tcW w:w="8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23.1</w:t>
            </w:r>
            <w:r>
              <w:rPr>
                <w:rFonts w:ascii="Times New Roman" w:cs="Times New Roman" w:eastAsia="Times New Roman" w:hAnsi="Times New Roman"/>
                <w:sz w:val="24"/>
                <w:szCs w:val="24"/>
                <w:color w:val="auto"/>
                <w:vertAlign w:val="superscript"/>
              </w:rPr>
              <w:t>(2)</w:t>
            </w:r>
          </w:p>
        </w:tc>
        <w:tc>
          <w:tcPr>
            <w:tcW w:w="40" w:type="dxa"/>
            <w:vAlign w:val="bottom"/>
          </w:tcPr>
          <w:p>
            <w:pPr>
              <w:spacing w:after="0"/>
              <w:rPr>
                <w:sz w:val="18"/>
                <w:szCs w:val="18"/>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Consent of Wilson Sonsini Goodrich &amp; Rosati, Professional</w:t>
            </w:r>
          </w:p>
        </w:tc>
      </w:tr>
      <w:tr>
        <w:trPr>
          <w:trHeight w:val="192"/>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80" w:type="dxa"/>
            <w:vAlign w:val="bottom"/>
            <w:gridSpan w:val="14"/>
          </w:tcPr>
          <w:p>
            <w:pPr>
              <w:spacing w:after="0" w:line="192" w:lineRule="exact"/>
              <w:rPr>
                <w:sz w:val="20"/>
                <w:szCs w:val="20"/>
                <w:color w:val="auto"/>
              </w:rPr>
            </w:pPr>
            <w:r>
              <w:rPr>
                <w:rFonts w:ascii="Times New Roman" w:cs="Times New Roman" w:eastAsia="Times New Roman" w:hAnsi="Times New Roman"/>
                <w:sz w:val="18"/>
                <w:szCs w:val="18"/>
                <w:color w:val="auto"/>
              </w:rPr>
              <w:t xml:space="preserve">Corporation (included in </w:t>
            </w:r>
            <w:r>
              <w:rPr>
                <w:rFonts w:ascii="Times New Roman" w:cs="Times New Roman" w:eastAsia="Times New Roman" w:hAnsi="Times New Roman"/>
                <w:sz w:val="18"/>
                <w:szCs w:val="18"/>
                <w:color w:val="0000EE"/>
              </w:rPr>
              <w:t>Exhibit 5.1</w:t>
            </w:r>
            <w:r>
              <w:rPr>
                <w:rFonts w:ascii="Times New Roman" w:cs="Times New Roman" w:eastAsia="Times New Roman" w:hAnsi="Times New Roman"/>
                <w:sz w:val="18"/>
                <w:szCs w:val="18"/>
                <w:color w:val="auto"/>
              </w:rPr>
              <w:t>).</w:t>
            </w: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4"/>
        </w:trPr>
        <w:tc>
          <w:tcPr>
            <w:tcW w:w="88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23.2</w:t>
            </w:r>
            <w:r>
              <w:rPr>
                <w:rFonts w:ascii="Times New Roman" w:cs="Times New Roman" w:eastAsia="Times New Roman" w:hAnsi="Times New Roman"/>
                <w:sz w:val="22"/>
                <w:szCs w:val="22"/>
                <w:color w:val="auto"/>
                <w:vertAlign w:val="superscript"/>
              </w:rPr>
              <w:t>(2)</w:t>
            </w:r>
          </w:p>
        </w:tc>
        <w:tc>
          <w:tcPr>
            <w:tcW w:w="40" w:type="dxa"/>
            <w:vAlign w:val="bottom"/>
          </w:tcPr>
          <w:p>
            <w:pPr>
              <w:spacing w:after="0"/>
              <w:rPr>
                <w:sz w:val="16"/>
                <w:szCs w:val="16"/>
                <w:color w:val="auto"/>
              </w:rPr>
            </w:pPr>
          </w:p>
        </w:tc>
        <w:tc>
          <w:tcPr>
            <w:tcW w:w="4480" w:type="dxa"/>
            <w:vAlign w:val="bottom"/>
            <w:tcBorders>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8"/>
              </w:rPr>
              <w:t>Consent of Grant Thornton LLP, independent registered public</w:t>
            </w:r>
          </w:p>
        </w:tc>
        <w:tc>
          <w:tcPr>
            <w:tcW w:w="500" w:type="dxa"/>
            <w:vAlign w:val="bottom"/>
            <w:gridSpan w:val="2"/>
          </w:tcPr>
          <w:p>
            <w:pPr>
              <w:spacing w:after="0"/>
              <w:rPr>
                <w:sz w:val="16"/>
                <w:szCs w:val="16"/>
                <w:color w:val="auto"/>
              </w:rPr>
            </w:pPr>
          </w:p>
        </w:tc>
      </w:tr>
      <w:tr>
        <w:trPr>
          <w:trHeight w:val="194"/>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8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accounting firm.</w:t>
            </w: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4"/>
        </w:trPr>
        <w:tc>
          <w:tcPr>
            <w:tcW w:w="88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24.1</w:t>
            </w:r>
            <w:r>
              <w:rPr>
                <w:rFonts w:ascii="Times New Roman" w:cs="Times New Roman" w:eastAsia="Times New Roman" w:hAnsi="Times New Roman"/>
                <w:sz w:val="22"/>
                <w:szCs w:val="22"/>
                <w:color w:val="auto"/>
                <w:vertAlign w:val="superscript"/>
              </w:rPr>
              <w:t>(2)</w:t>
            </w:r>
          </w:p>
        </w:tc>
        <w:tc>
          <w:tcPr>
            <w:tcW w:w="40" w:type="dxa"/>
            <w:vAlign w:val="bottom"/>
          </w:tcPr>
          <w:p>
            <w:pPr>
              <w:spacing w:after="0"/>
              <w:rPr>
                <w:sz w:val="16"/>
                <w:szCs w:val="16"/>
                <w:color w:val="auto"/>
              </w:rPr>
            </w:pPr>
          </w:p>
        </w:tc>
        <w:tc>
          <w:tcPr>
            <w:tcW w:w="498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Power of Attorney (contained on signature page hereto).</w:t>
            </w: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4"/>
        </w:trPr>
        <w:tc>
          <w:tcPr>
            <w:tcW w:w="88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99.1</w:t>
            </w:r>
            <w:r>
              <w:rPr>
                <w:rFonts w:ascii="Times New Roman" w:cs="Times New Roman" w:eastAsia="Times New Roman" w:hAnsi="Times New Roman"/>
                <w:sz w:val="22"/>
                <w:szCs w:val="22"/>
                <w:color w:val="auto"/>
                <w:vertAlign w:val="superscript"/>
              </w:rPr>
              <w:t>(2)</w:t>
            </w:r>
          </w:p>
        </w:tc>
        <w:tc>
          <w:tcPr>
            <w:tcW w:w="40" w:type="dxa"/>
            <w:vAlign w:val="bottom"/>
          </w:tcPr>
          <w:p>
            <w:pPr>
              <w:spacing w:after="0"/>
              <w:rPr>
                <w:sz w:val="16"/>
                <w:szCs w:val="16"/>
                <w:color w:val="auto"/>
              </w:rPr>
            </w:pPr>
          </w:p>
        </w:tc>
        <w:tc>
          <w:tcPr>
            <w:tcW w:w="498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Form of Accuray Incorporated Stand-Alone Inducement Restricted</w:t>
            </w:r>
          </w:p>
        </w:tc>
      </w:tr>
      <w:tr>
        <w:trPr>
          <w:trHeight w:val="194"/>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20" w:type="dxa"/>
            <w:vAlign w:val="bottom"/>
            <w:tcBorders>
              <w:top w:val="single" w:sz="8" w:color="0000EE"/>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8"/>
              </w:rPr>
              <w:t>Stock Unit Agreement for David Shin</w:t>
            </w:r>
          </w:p>
        </w:tc>
        <w:tc>
          <w:tcPr>
            <w:tcW w:w="2060" w:type="dxa"/>
            <w:vAlign w:val="bottom"/>
            <w:tcBorders>
              <w:top w:val="single" w:sz="8" w:color="0000EE"/>
            </w:tcBorders>
            <w:gridSpan w:val="4"/>
          </w:tcPr>
          <w:p>
            <w:pPr>
              <w:spacing w:after="0"/>
              <w:rPr>
                <w:sz w:val="16"/>
                <w:szCs w:val="16"/>
                <w:color w:val="auto"/>
              </w:rPr>
            </w:pPr>
          </w:p>
        </w:tc>
        <w:tc>
          <w:tcPr>
            <w:tcW w:w="200" w:type="dxa"/>
            <w:vAlign w:val="bottom"/>
          </w:tcPr>
          <w:p>
            <w:pPr>
              <w:spacing w:after="0"/>
              <w:rPr>
                <w:sz w:val="16"/>
                <w:szCs w:val="16"/>
                <w:color w:val="auto"/>
              </w:rPr>
            </w:pPr>
          </w:p>
        </w:tc>
      </w:tr>
      <w:tr>
        <w:trPr>
          <w:trHeight w:val="194"/>
        </w:trPr>
        <w:tc>
          <w:tcPr>
            <w:tcW w:w="88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99.2</w:t>
            </w:r>
            <w:r>
              <w:rPr>
                <w:rFonts w:ascii="Times New Roman" w:cs="Times New Roman" w:eastAsia="Times New Roman" w:hAnsi="Times New Roman"/>
                <w:sz w:val="22"/>
                <w:szCs w:val="22"/>
                <w:color w:val="auto"/>
                <w:vertAlign w:val="superscript"/>
              </w:rPr>
              <w:t>(2)</w:t>
            </w:r>
          </w:p>
        </w:tc>
        <w:tc>
          <w:tcPr>
            <w:tcW w:w="40" w:type="dxa"/>
            <w:vAlign w:val="bottom"/>
          </w:tcPr>
          <w:p>
            <w:pPr>
              <w:spacing w:after="0"/>
              <w:rPr>
                <w:sz w:val="16"/>
                <w:szCs w:val="16"/>
                <w:color w:val="auto"/>
              </w:rPr>
            </w:pPr>
          </w:p>
        </w:tc>
        <w:tc>
          <w:tcPr>
            <w:tcW w:w="498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Form of Accuray Incorporated Stand-Alone Inducement Restricted</w:t>
            </w:r>
          </w:p>
        </w:tc>
      </w:tr>
      <w:tr>
        <w:trPr>
          <w:trHeight w:val="194"/>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780" w:type="dxa"/>
            <w:vAlign w:val="bottom"/>
            <w:tcBorders>
              <w:top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Stock Unit Agreement for Paul Miele</w:t>
            </w:r>
          </w:p>
        </w:tc>
        <w:tc>
          <w:tcPr>
            <w:tcW w:w="20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99.3</w:t>
            </w:r>
            <w:r>
              <w:rPr>
                <w:rFonts w:ascii="Times New Roman" w:cs="Times New Roman" w:eastAsia="Times New Roman" w:hAnsi="Times New Roman"/>
                <w:sz w:val="14"/>
                <w:szCs w:val="14"/>
                <w:color w:val="auto"/>
              </w:rPr>
              <w:t>(2)(3)</w:t>
            </w:r>
          </w:p>
        </w:tc>
        <w:tc>
          <w:tcPr>
            <w:tcW w:w="40" w:type="dxa"/>
            <w:vAlign w:val="bottom"/>
          </w:tcPr>
          <w:p>
            <w:pPr>
              <w:spacing w:after="0"/>
              <w:rPr>
                <w:sz w:val="16"/>
                <w:szCs w:val="16"/>
                <w:color w:val="auto"/>
              </w:rPr>
            </w:pPr>
          </w:p>
        </w:tc>
        <w:tc>
          <w:tcPr>
            <w:tcW w:w="498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8"/>
              </w:rPr>
              <w:t>Form of Accuray Incorporated Stand-Alone Inducement Performance</w:t>
            </w:r>
          </w:p>
        </w:tc>
      </w:tr>
      <w:tr>
        <w:trPr>
          <w:trHeight w:val="194"/>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8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Unit Agreement for David Shin</w:t>
            </w: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2720" w:type="dxa"/>
            <w:vAlign w:val="bottom"/>
            <w:gridSpan w:val="9"/>
          </w:tcPr>
          <w:p>
            <w:pPr>
              <w:spacing w:after="0" w:line="20" w:lineRule="exact"/>
              <w:rPr>
                <w:sz w:val="1"/>
                <w:szCs w:val="1"/>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99.4</w:t>
            </w:r>
            <w:r>
              <w:rPr>
                <w:rFonts w:ascii="Times New Roman" w:cs="Times New Roman" w:eastAsia="Times New Roman" w:hAnsi="Times New Roman"/>
                <w:sz w:val="14"/>
                <w:szCs w:val="14"/>
                <w:color w:val="auto"/>
              </w:rPr>
              <w:t>(2)(3)</w:t>
            </w:r>
          </w:p>
        </w:tc>
        <w:tc>
          <w:tcPr>
            <w:tcW w:w="40" w:type="dxa"/>
            <w:vAlign w:val="bottom"/>
          </w:tcPr>
          <w:p>
            <w:pPr>
              <w:spacing w:after="0"/>
              <w:rPr>
                <w:sz w:val="16"/>
                <w:szCs w:val="16"/>
                <w:color w:val="auto"/>
              </w:rPr>
            </w:pPr>
          </w:p>
        </w:tc>
        <w:tc>
          <w:tcPr>
            <w:tcW w:w="498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8"/>
              </w:rPr>
              <w:t>Form of Accuray Incorporated Stand-Alone Inducement Performance</w:t>
            </w:r>
          </w:p>
        </w:tc>
      </w:tr>
      <w:tr>
        <w:trPr>
          <w:trHeight w:val="194"/>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6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8"/>
              </w:rPr>
              <w:t>Unit Agreement for Paul Miele</w:t>
            </w:r>
          </w:p>
        </w:tc>
        <w:tc>
          <w:tcPr>
            <w:tcW w:w="2720" w:type="dxa"/>
            <w:vAlign w:val="bottom"/>
            <w:gridSpan w:val="9"/>
          </w:tcPr>
          <w:p>
            <w:pPr>
              <w:spacing w:after="0"/>
              <w:rPr>
                <w:sz w:val="16"/>
                <w:szCs w:val="16"/>
                <w:color w:val="auto"/>
              </w:rPr>
            </w:pPr>
          </w:p>
        </w:tc>
      </w:tr>
      <w:tr>
        <w:trPr>
          <w:trHeight w:val="194"/>
        </w:trPr>
        <w:tc>
          <w:tcPr>
            <w:tcW w:w="88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107.1</w:t>
            </w:r>
            <w:r>
              <w:rPr>
                <w:rFonts w:ascii="Times New Roman" w:cs="Times New Roman" w:eastAsia="Times New Roman" w:hAnsi="Times New Roman"/>
                <w:sz w:val="22"/>
                <w:szCs w:val="22"/>
                <w:color w:val="auto"/>
                <w:vertAlign w:val="superscript"/>
              </w:rPr>
              <w:t>(2)</w:t>
            </w:r>
          </w:p>
        </w:tc>
        <w:tc>
          <w:tcPr>
            <w:tcW w:w="40" w:type="dxa"/>
            <w:vAlign w:val="bottom"/>
          </w:tcPr>
          <w:p>
            <w:pPr>
              <w:spacing w:after="0"/>
              <w:rPr>
                <w:sz w:val="16"/>
                <w:szCs w:val="16"/>
                <w:color w:val="auto"/>
              </w:rPr>
            </w:pPr>
          </w:p>
        </w:tc>
        <w:tc>
          <w:tcPr>
            <w:tcW w:w="118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7"/>
              </w:rPr>
              <w:t>Filing Fee Table</w:t>
            </w:r>
          </w:p>
        </w:tc>
        <w:tc>
          <w:tcPr>
            <w:tcW w:w="3800" w:type="dxa"/>
            <w:vAlign w:val="bottom"/>
            <w:gridSpan w:val="12"/>
          </w:tcPr>
          <w:p>
            <w:pPr>
              <w:spacing w:after="0"/>
              <w:rPr>
                <w:sz w:val="16"/>
                <w:szCs w:val="16"/>
                <w:color w:val="auto"/>
              </w:rPr>
            </w:pPr>
          </w:p>
        </w:tc>
      </w:tr>
    </w:tbl>
    <w:p>
      <w:pPr>
        <w:spacing w:after="0" w:line="222" w:lineRule="exact"/>
        <w:rPr>
          <w:sz w:val="20"/>
          <w:szCs w:val="20"/>
          <w:color w:val="auto"/>
        </w:rPr>
      </w:pPr>
    </w:p>
    <w:p>
      <w:pPr>
        <w:ind w:left="320" w:right="80" w:hanging="313"/>
        <w:spacing w:after="0" w:line="258"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4.3 filed with the Registrant’s Registration Statement on Form S-1/A (Registration No. 333-138622), filed with the Commission on February 5, 2007.</w:t>
      </w:r>
    </w:p>
    <w:p>
      <w:pPr>
        <w:spacing w:after="0" w:line="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 w:lineRule="exact"/>
        <w:rPr>
          <w:rFonts w:ascii="Times New Roman" w:cs="Times New Roman" w:eastAsia="Times New Roman" w:hAnsi="Times New Roman"/>
          <w:sz w:val="18"/>
          <w:szCs w:val="18"/>
          <w:color w:val="auto"/>
        </w:rPr>
      </w:pPr>
    </w:p>
    <w:p>
      <w:pPr>
        <w:ind w:left="320" w:right="40" w:hanging="313"/>
        <w:spacing w:after="0" w:line="251"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Regulation S-K, Item 601(b)(10)(iv) of the Securities Exchange Act of 1934, as amended, certain confidential portions of this exhibit have been redacted from the publicly filed document. The Registrant agrees to furnish supplementally an unredacted copy of the exhibit to the Securities and Exchange Commission upon its request.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ind w:left="1240" w:hanging="592"/>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rFonts w:ascii="Times New Roman" w:cs="Times New Roman" w:eastAsia="Times New Roman" w:hAnsi="Times New Roman"/>
          <w:sz w:val="18"/>
          <w:szCs w:val="18"/>
          <w:color w:val="auto"/>
        </w:rPr>
      </w:pPr>
    </w:p>
    <w:p>
      <w:pPr>
        <w:ind w:left="1820" w:hanging="602"/>
        <w:spacing w:after="0"/>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2500" w:hanging="570"/>
        <w:spacing w:after="0"/>
        <w:tabs>
          <w:tab w:leader="none" w:pos="25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jc w:val="both"/>
        <w:ind w:firstLine="1930"/>
        <w:spacing w:after="0" w:line="253" w:lineRule="auto"/>
        <w:tabs>
          <w:tab w:leader="none" w:pos="258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 in the effective Registration Statement.</w:t>
      </w:r>
    </w:p>
    <w:p>
      <w:pPr>
        <w:spacing w:after="0" w:line="186" w:lineRule="exact"/>
        <w:rPr>
          <w:rFonts w:ascii="Times New Roman" w:cs="Times New Roman" w:eastAsia="Times New Roman" w:hAnsi="Times New Roman"/>
          <w:sz w:val="18"/>
          <w:szCs w:val="18"/>
          <w:color w:val="auto"/>
        </w:rPr>
      </w:pPr>
    </w:p>
    <w:p>
      <w:pPr>
        <w:ind w:right="20" w:firstLine="1930"/>
        <w:spacing w:after="0" w:line="277" w:lineRule="auto"/>
        <w:tabs>
          <w:tab w:leader="none" w:pos="2667"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176" w:lineRule="exact"/>
        <w:rPr>
          <w:sz w:val="20"/>
          <w:szCs w:val="20"/>
          <w:color w:val="auto"/>
        </w:rPr>
      </w:pPr>
    </w:p>
    <w:p>
      <w:pPr>
        <w:jc w:val="both"/>
        <w:ind w:firstLine="1218"/>
        <w:spacing w:after="0" w:line="262" w:lineRule="auto"/>
        <w:tabs>
          <w:tab w:leader="none" w:pos="18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390" w:lineRule="exact"/>
        <w:rPr>
          <w:rFonts w:ascii="Times New Roman" w:cs="Times New Roman" w:eastAsia="Times New Roman" w:hAnsi="Times New Roman"/>
          <w:sz w:val="18"/>
          <w:szCs w:val="18"/>
          <w:color w:val="auto"/>
        </w:rPr>
      </w:pPr>
    </w:p>
    <w:p>
      <w:pPr>
        <w:ind w:right="20" w:firstLine="1218"/>
        <w:spacing w:after="0" w:line="277" w:lineRule="auto"/>
        <w:tabs>
          <w:tab w:leader="none" w:pos="18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1240"/>
          </w:cols>
          <w:pgMar w:left="320" w:top="121" w:right="339" w:bottom="0" w:gutter="0" w:footer="0" w:header="0"/>
        </w:sectPr>
      </w:pPr>
    </w:p>
    <w:bookmarkStart w:id="3" w:name="page4"/>
    <w:bookmarkEnd w:id="3"/>
    <w:p>
      <w:pPr>
        <w:jc w:val="both"/>
        <w:ind w:left="-648" w:firstLine="648"/>
        <w:spacing w:after="0" w:line="255" w:lineRule="auto"/>
        <w:tabs>
          <w:tab w:leader="none" w:pos="7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jc w:val="both"/>
        <w:ind w:left="-648" w:firstLine="648"/>
        <w:spacing w:after="0" w:line="270" w:lineRule="auto"/>
        <w:tabs>
          <w:tab w:leader="none" w:pos="6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340360</wp:posOffset>
            </wp:positionV>
            <wp:extent cx="7133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592"/>
          </w:cols>
          <w:pgMar w:left="968" w:top="12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Madison, State of Wisconsin, on the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20" w:type="dxa"/>
            <w:vAlign w:val="bottom"/>
          </w:tcPr>
          <w:p>
            <w:pPr>
              <w:ind w:left="53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ccuray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ncorporated</w:t>
            </w:r>
          </w:p>
        </w:tc>
        <w:tc>
          <w:tcPr>
            <w:tcW w:w="4120" w:type="dxa"/>
            <w:vAlign w:val="bottom"/>
          </w:tcPr>
          <w:p>
            <w:pPr>
              <w:spacing w:after="0"/>
              <w:rPr>
                <w:sz w:val="20"/>
                <w:szCs w:val="20"/>
                <w:color w:val="auto"/>
              </w:rPr>
            </w:pPr>
          </w:p>
        </w:tc>
      </w:tr>
      <w:tr>
        <w:trPr>
          <w:trHeight w:val="409"/>
        </w:trPr>
        <w:tc>
          <w:tcPr>
            <w:tcW w:w="7120" w:type="dxa"/>
            <w:vAlign w:val="bottom"/>
          </w:tcPr>
          <w:p>
            <w:pPr>
              <w:ind w:left="532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jc w:val="center"/>
              <w:ind w:right="11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tephen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a</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eve</w:t>
            </w:r>
          </w:p>
        </w:tc>
      </w:tr>
      <w:tr>
        <w:trPr>
          <w:trHeight w:val="212"/>
        </w:trPr>
        <w:tc>
          <w:tcPr>
            <w:tcW w:w="7120" w:type="dxa"/>
            <w:vAlign w:val="bottom"/>
          </w:tcPr>
          <w:p>
            <w:pPr>
              <w:spacing w:after="0"/>
              <w:rPr>
                <w:sz w:val="18"/>
                <w:szCs w:val="18"/>
                <w:color w:val="auto"/>
              </w:rPr>
            </w:pPr>
          </w:p>
        </w:tc>
        <w:tc>
          <w:tcPr>
            <w:tcW w:w="4120" w:type="dxa"/>
            <w:vAlign w:val="bottom"/>
          </w:tcPr>
          <w:p>
            <w:pPr>
              <w:jc w:val="center"/>
              <w:ind w:right="1151"/>
              <w:spacing w:after="0"/>
              <w:rPr>
                <w:sz w:val="20"/>
                <w:szCs w:val="20"/>
                <w:color w:val="auto"/>
              </w:rPr>
            </w:pPr>
            <w:r>
              <w:rPr>
                <w:rFonts w:ascii="Times New Roman" w:cs="Times New Roman" w:eastAsia="Times New Roman" w:hAnsi="Times New Roman"/>
                <w:sz w:val="18"/>
                <w:szCs w:val="18"/>
                <w:color w:val="auto"/>
                <w:w w:val="99"/>
              </w:rPr>
              <w:t>Stephen La Neve</w:t>
            </w:r>
          </w:p>
        </w:tc>
      </w:tr>
      <w:tr>
        <w:trPr>
          <w:trHeight w:val="235"/>
        </w:trPr>
        <w:tc>
          <w:tcPr>
            <w:tcW w:w="7120" w:type="dxa"/>
            <w:vAlign w:val="bottom"/>
          </w:tcPr>
          <w:p>
            <w:pPr>
              <w:spacing w:after="0"/>
              <w:rPr>
                <w:sz w:val="20"/>
                <w:szCs w:val="20"/>
                <w:color w:val="auto"/>
              </w:rPr>
            </w:pPr>
          </w:p>
        </w:tc>
        <w:tc>
          <w:tcPr>
            <w:tcW w:w="4120" w:type="dxa"/>
            <w:vAlign w:val="bottom"/>
          </w:tcPr>
          <w:p>
            <w:pPr>
              <w:jc w:val="center"/>
              <w:ind w:right="1131"/>
              <w:spacing w:after="0"/>
              <w:rPr>
                <w:sz w:val="20"/>
                <w:szCs w:val="20"/>
                <w:color w:val="auto"/>
              </w:rPr>
            </w:pPr>
            <w:r>
              <w:rPr>
                <w:rFonts w:ascii="Times New Roman" w:cs="Times New Roman" w:eastAsia="Times New Roman" w:hAnsi="Times New Roman"/>
                <w:sz w:val="18"/>
                <w:szCs w:val="18"/>
                <w:i w:val="1"/>
                <w:iCs w:val="1"/>
                <w:color w:val="auto"/>
                <w:w w:val="98"/>
              </w:rPr>
              <w:t>President and Chief Executive Officer</w:t>
            </w:r>
          </w:p>
        </w:tc>
      </w:tr>
      <w:tr>
        <w:trPr>
          <w:trHeight w:val="995"/>
        </w:trPr>
        <w:tc>
          <w:tcPr>
            <w:tcW w:w="7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Stephen La Neve and Ali Pervaiz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registration statement on Form S-8, and to file the same,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her or their substitutes, may lawfully do or cause to be done by virtue hereof.</w:t>
      </w:r>
    </w:p>
    <w:p>
      <w:pPr>
        <w:spacing w:after="0" w:line="185"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571" w:right="339" w:bottom="1440" w:gutter="0" w:footer="0" w:header="0"/>
        </w:sectPr>
      </w:pPr>
    </w:p>
    <w:p>
      <w:pPr>
        <w:spacing w:after="0" w:line="159"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31"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tephen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a</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eve</w:t>
      </w:r>
    </w:p>
    <w:p>
      <w:pPr>
        <w:spacing w:after="0" w:line="2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Stephen La Neve</w:t>
      </w:r>
    </w:p>
    <w:p>
      <w:pPr>
        <w:spacing w:after="0" w:line="308"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li</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ervaiz</w:t>
      </w:r>
    </w:p>
    <w:p>
      <w:pPr>
        <w:spacing w:after="0" w:line="2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Ali Pervaiz</w:t>
      </w:r>
    </w:p>
    <w:p>
      <w:pPr>
        <w:spacing w:after="0" w:line="202"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oseph</w:t>
      </w:r>
      <w:r>
        <w:rPr>
          <w:rFonts w:ascii="Times New Roman" w:cs="Times New Roman" w:eastAsia="Times New Roman" w:hAnsi="Times New Roman"/>
          <w:sz w:val="18"/>
          <w:szCs w:val="18"/>
          <w:color w:val="auto"/>
        </w:rPr>
        <w:t xml:space="preserve"> E. W</w:t>
      </w:r>
      <w:r>
        <w:rPr>
          <w:rFonts w:ascii="Times New Roman" w:cs="Times New Roman" w:eastAsia="Times New Roman" w:hAnsi="Times New Roman"/>
          <w:sz w:val="12"/>
          <w:szCs w:val="12"/>
          <w:color w:val="auto"/>
        </w:rPr>
        <w:t>hitters</w:t>
      </w:r>
    </w:p>
    <w:p>
      <w:pPr>
        <w:spacing w:after="0" w:line="2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Joseph E. Whitters</w:t>
      </w:r>
    </w:p>
    <w:p>
      <w:pPr>
        <w:spacing w:after="0" w:line="202"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han</w:t>
      </w:r>
      <w:r>
        <w:rPr>
          <w:rFonts w:ascii="Times New Roman" w:cs="Times New Roman" w:eastAsia="Times New Roman" w:hAnsi="Times New Roman"/>
          <w:sz w:val="18"/>
          <w:szCs w:val="18"/>
          <w:color w:val="auto"/>
        </w:rPr>
        <w:t xml:space="preserve"> W. G</w:t>
      </w:r>
      <w:r>
        <w:rPr>
          <w:rFonts w:ascii="Times New Roman" w:cs="Times New Roman" w:eastAsia="Times New Roman" w:hAnsi="Times New Roman"/>
          <w:sz w:val="12"/>
          <w:szCs w:val="12"/>
          <w:color w:val="auto"/>
        </w:rPr>
        <w:t>albato</w:t>
      </w:r>
    </w:p>
    <w:p>
      <w:pPr>
        <w:spacing w:after="0" w:line="2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Chan W. Galbato</w:t>
      </w:r>
    </w:p>
    <w:p>
      <w:pPr>
        <w:spacing w:after="0" w:line="202"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ames</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2"/>
          <w:szCs w:val="12"/>
          <w:color w:val="auto"/>
        </w:rPr>
        <w:t>indman</w:t>
      </w:r>
    </w:p>
    <w:p>
      <w:pPr>
        <w:spacing w:after="0" w:line="2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James M. Hindman</w:t>
      </w:r>
    </w:p>
    <w:p>
      <w:pPr>
        <w:spacing w:after="0" w:line="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B</w:t>
      </w:r>
      <w:r>
        <w:rPr>
          <w:rFonts w:ascii="Times New Roman" w:cs="Times New Roman" w:eastAsia="Times New Roman" w:hAnsi="Times New Roman"/>
          <w:sz w:val="12"/>
          <w:szCs w:val="12"/>
          <w:color w:val="auto"/>
        </w:rPr>
        <w:t>everly</w:t>
      </w:r>
      <w:r>
        <w:rPr>
          <w:rFonts w:ascii="Times New Roman" w:cs="Times New Roman" w:eastAsia="Times New Roman" w:hAnsi="Times New Roman"/>
          <w:sz w:val="18"/>
          <w:szCs w:val="18"/>
          <w:color w:val="auto"/>
        </w:rPr>
        <w:t xml:space="preserve"> A. H</w:t>
      </w:r>
      <w:r>
        <w:rPr>
          <w:rFonts w:ascii="Times New Roman" w:cs="Times New Roman" w:eastAsia="Times New Roman" w:hAnsi="Times New Roman"/>
          <w:sz w:val="12"/>
          <w:szCs w:val="12"/>
          <w:color w:val="auto"/>
        </w:rPr>
        <w:t>uss</w:t>
      </w:r>
    </w:p>
    <w:p>
      <w:pPr>
        <w:spacing w:after="0" w:line="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Beverly A. Huss</w:t>
      </w:r>
    </w:p>
    <w:p>
      <w:pPr>
        <w:spacing w:after="0" w:line="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nne</w:t>
      </w:r>
      <w:r>
        <w:rPr>
          <w:rFonts w:ascii="Times New Roman" w:cs="Times New Roman" w:eastAsia="Times New Roman" w:hAnsi="Times New Roman"/>
          <w:sz w:val="18"/>
          <w:szCs w:val="18"/>
          <w:color w:val="auto"/>
        </w:rPr>
        <w:t xml:space="preserve"> B. L</w:t>
      </w:r>
      <w:r>
        <w:rPr>
          <w:rFonts w:ascii="Times New Roman" w:cs="Times New Roman" w:eastAsia="Times New Roman" w:hAnsi="Times New Roman"/>
          <w:sz w:val="12"/>
          <w:szCs w:val="12"/>
          <w:color w:val="auto"/>
        </w:rPr>
        <w:t>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rand</w:t>
      </w:r>
    </w:p>
    <w:p>
      <w:pPr>
        <w:spacing w:after="0" w:line="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Anne B. Le Grand</w:t>
      </w:r>
    </w:p>
    <w:p>
      <w:pPr>
        <w:spacing w:after="0" w:line="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teven</w:t>
      </w:r>
      <w:r>
        <w:rPr>
          <w:rFonts w:ascii="Times New Roman" w:cs="Times New Roman" w:eastAsia="Times New Roman" w:hAnsi="Times New Roman"/>
          <w:sz w:val="18"/>
          <w:szCs w:val="18"/>
          <w:color w:val="auto"/>
        </w:rPr>
        <w:t xml:space="preserve"> F. M</w:t>
      </w:r>
      <w:r>
        <w:rPr>
          <w:rFonts w:ascii="Times New Roman" w:cs="Times New Roman" w:eastAsia="Times New Roman" w:hAnsi="Times New Roman"/>
          <w:sz w:val="12"/>
          <w:szCs w:val="12"/>
          <w:color w:val="auto"/>
        </w:rPr>
        <w:t>ayer</w:t>
      </w:r>
    </w:p>
    <w:p>
      <w:pPr>
        <w:spacing w:after="0" w:line="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Steven F. Mayer</w:t>
      </w:r>
    </w:p>
    <w:p>
      <w:pPr>
        <w:spacing w:after="0" w:line="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ika</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ishimura</w:t>
      </w:r>
    </w:p>
    <w:p>
      <w:pPr>
        <w:spacing w:after="0" w:line="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Mika Nishimura</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and Director (principal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(principal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Chairperson of the Board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8"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34"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29, 2026</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29, 2026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29, 2026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29, 2026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29,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29,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29,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29,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29, 2026</w:t>
      </w:r>
    </w:p>
    <w:p>
      <w:pPr>
        <w:sectPr>
          <w:pgSz w:w="11900" w:h="16838" w:orient="portrait"/>
          <w:cols w:equalWidth="0" w:num="3">
            <w:col w:w="6320" w:space="720"/>
            <w:col w:w="2400" w:space="500"/>
            <w:col w:w="1300"/>
          </w:cols>
          <w:pgMar w:left="320" w:top="571" w:right="33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5.1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Accuray Incorporated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1240 Deming 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Madison, Wisconsin 53717</w:t>
      </w:r>
    </w:p>
    <w:p>
      <w:pPr>
        <w:spacing w:after="0" w:line="20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examined the Registration Statement on Form S-8 to be filed by you with the Securities and Exchange Commission on or about May 29, 2026 (the “Registration Statement”), in connection with the registration under the Securities Act of 1933, as amended, of (i) 375,000 shares of your Common Stock available for issuance under the Accuray Incorporated Stand-Alone Inducement Restricted Stock Unit Agreement for David Shin (the “Shin RSU Award”)</w:t>
      </w:r>
    </w:p>
    <w:p>
      <w:pPr>
        <w:jc w:val="both"/>
        <w:ind w:firstLine="7"/>
        <w:spacing w:after="0" w:line="249" w:lineRule="auto"/>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650,000 shares of your Common Stock available for issuance under the Accuray Incorporated Stand-Alone Inducement Restricted Stock Unit Agreement for Paul Miele (the “Miele RSU Award”), (iii) 375,000 shares of your Common Stock available for issuance under the Accuray Incorporated Stand-Alone Performance Unit Agreement for David Shin (the “Shin PSU Award”) and (iv) 650,000 shares of your Common Stock available for issuance under the Accuray Incorporated Stand-Alone Performance Unit Agreement for Paul Miele (the “Miele PSU Award” and together with the Shin RSU Award, the Miele RSU Award and the Miele PSU Award, the “Awards”). All such shares of Common Stock are referred to herein as the “Shares”. As your legal counsel, we have examined the proceedings taken and are familiar with the proceedings proposed to be taken by you in connection with the issuance and sale of the Shares pursuant to the Plans and or the Awards.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It is our opinion that, when issued and sold in compliance with the prospectus delivery requirements and in the manner described in the Plans or the Awards, as applicable, and pursuant to the agreements which accompany each grant or award issued pursuant to the Plans or the Awards, as applicable, the Shares will be legally and validly issued, fully-paid and non-assessable.</w:t>
      </w:r>
    </w:p>
    <w:p>
      <w:pPr>
        <w:spacing w:after="0" w:line="1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hereby consent to the use of this opinion as an exhibit to the Registration Statement, and further consent to the use of our name wherever appearing in the Registration Statement and any amendments thereto.</w:t>
      </w:r>
    </w:p>
    <w:p>
      <w:pPr>
        <w:spacing w:after="0" w:line="16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4313555</wp:posOffset>
            </wp:positionH>
            <wp:positionV relativeFrom="paragraph">
              <wp:posOffset>15875</wp:posOffset>
            </wp:positionV>
            <wp:extent cx="2824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23.2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have issued our report dated August 28, 2025, except for the “Remaining Performance Obligations” included in Note 2, as to which the date is February 17, 2026, with respect to the consolidated financial statements, and our report dated August 28, 2025, except for the material weaknesses described in the third paragraph, as to which the date is February 17, 2026, with respect to internal control over financial reporting of Accuray Incorporated included in the Annual Report on Form 10-K/A for the year ended June 30, 2025, which are incorporated by reference in this Registration Statement. We consent to the incorporation by reference of the aforementioned reports in this Registration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STAND-ALONE INDUCEMENT RESTRICTED STOCK UNIT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RESTRICTED STOCK UNIT GRANT</w:t>
      </w:r>
    </w:p>
    <w:p>
      <w:pPr>
        <w:spacing w:after="0" w:line="220"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b w:val="1"/>
          <w:bCs w:val="1"/>
          <w:color w:val="auto"/>
        </w:rPr>
        <w:t xml:space="preserve">Participant must notify Accuray Incorporated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by the fifteenth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day of the month following the Date of Grant if he or she wishes to reject this Award. Otherwise, Participant will be deemed to have accepted the Award on the terms and conditions on which it is offered.</w:t>
      </w:r>
    </w:p>
    <w:p>
      <w:pPr>
        <w:spacing w:after="0" w:line="195"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Unless otherwise defined herein, each capitalized term used in this Notice of Restricted Stock Unit Grant and all exhibits, appendices, and addenda attached hereto, will have the meaning given such term in the Terms and Conditions of Restricted Stock Unit Grant attached hereto as Exhibit A (together, the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4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Participant Name:</w:t>
      </w:r>
      <w:r>
        <w:rPr>
          <w:sz w:val="20"/>
          <w:szCs w:val="20"/>
          <w:color w:val="auto"/>
        </w:rPr>
        <w:tab/>
      </w:r>
      <w:r>
        <w:rPr>
          <w:rFonts w:ascii="Times New Roman" w:cs="Times New Roman" w:eastAsia="Times New Roman" w:hAnsi="Times New Roman"/>
          <w:sz w:val="17"/>
          <w:szCs w:val="17"/>
          <w:b w:val="1"/>
          <w:bCs w:val="1"/>
          <w:color w:val="auto"/>
        </w:rPr>
        <w:t>David Shin</w:t>
      </w:r>
    </w:p>
    <w:p>
      <w:pPr>
        <w:spacing w:after="0" w:line="220"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8"/>
          <w:szCs w:val="18"/>
          <w:b w:val="1"/>
          <w:bCs w:val="1"/>
          <w:color w:val="auto"/>
        </w:rPr>
        <w:t>[Address]</w:t>
      </w:r>
    </w:p>
    <w:p>
      <w:pPr>
        <w:spacing w:after="0" w:line="22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Participant has been granted the right to receive an Award of Restricted Stock Units, subject to the terms and conditions of this Award Agreement, as follows:</w:t>
      </w:r>
    </w:p>
    <w:p>
      <w:pPr>
        <w:spacing w:after="0" w:line="148"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Grant Number</w:t>
            </w:r>
          </w:p>
        </w:tc>
        <w:tc>
          <w:tcPr>
            <w:tcW w:w="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May 29, 2026</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07"/>
        </w:trPr>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29, 2026</w:t>
            </w:r>
          </w:p>
        </w:tc>
      </w:tr>
      <w:tr>
        <w:trPr>
          <w:trHeight w:val="20"/>
        </w:trPr>
        <w:tc>
          <w:tcPr>
            <w:tcW w:w="2540" w:type="dxa"/>
            <w:vAlign w:val="bottom"/>
            <w:gridSpan w:val="5"/>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07"/>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Number of Restricted Stock Units</w:t>
            </w: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375,000 shares</w:t>
            </w:r>
          </w:p>
        </w:tc>
      </w:tr>
    </w:tbl>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 xml:space="preserve">Subject to Section 5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any acceleration provisions contained in this Award Agreement or any other written agreement authorized by the Administrator between Participant and the Company (or any Parent, Subsidiary or Affiliate of the Company, as applicable) governing the terms of this Award (which, for clarity, includes that certain Executive Employment Agreement previously entered into between the Company and Participant that remains in effect as of the Date of Grant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the Restricted Stock Units will be scheduled to vest according to the following vesting schedule: One-fourth (1/4) of the Total Number of Restricted Stock Units (as set forth above) subject to this Award Agreement will be scheduled to vest on January 29, 2027 and will continue to vest as to one-fourth (1/4) of the Total Number of Restricted Stock Units (as set forth above) subject to this Award Agreement on each of the one (1), two (2), and three (3) year anniversaries of such date, in each case subject to the Participant continuing to be a Service Provider through the applicable vesting date</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 xml:space="preserve">If Participant does not wish to receive this Award and/or does not consent and agree to the terms and conditions on which the Award is offered, as set forth in this Award Agreement, then Participant must reject the Award by notifying the Company at Accuray Incorporated, Attention: Stock Administration, 1240 Deming Way, Madison, WI 53717 no later than </w:t>
      </w:r>
      <w:r>
        <w:rPr>
          <w:rFonts w:ascii="Times New Roman" w:cs="Times New Roman" w:eastAsia="Times New Roman" w:hAnsi="Times New Roman"/>
          <w:sz w:val="18"/>
          <w:szCs w:val="18"/>
          <w:b w:val="1"/>
          <w:bCs w:val="1"/>
          <w:color w:val="auto"/>
        </w:rPr>
        <w:t>the fifteenth (15th) day of the month following the Date of Grant</w:t>
      </w:r>
      <w:r>
        <w:rPr>
          <w:rFonts w:ascii="Times New Roman" w:cs="Times New Roman" w:eastAsia="Times New Roman" w:hAnsi="Times New Roman"/>
          <w:sz w:val="18"/>
          <w:szCs w:val="18"/>
          <w:color w:val="auto"/>
        </w:rPr>
        <w:t>, in which case the Award will be cancelled. Participant’s failure to notify the Company of his or her rejection of the Award within this specified period will constitute Participant’s acceptance of the Award and his or her agreement with all terms and conditions of the Award, as set forth in this Award Agreement.</w:t>
      </w:r>
    </w:p>
    <w:p>
      <w:pPr>
        <w:spacing w:after="0" w:line="18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 xml:space="preserve">Participant has reviewed this Award Agreement in its entirety, has had an opportunity to obtain the advice of counsel prior to executing this Award Agreement and fully understands all provisions of this Award Agreement. By accepting this Award, Participant hereby (i) agrees that this Award of Restricted Stock Units is granted under and governed by the terms and conditions of this Award Agreement, including for clarity the Terms and Conditions of Restricted Stock Unit Grant,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and all other exhibits, appendices and addenda attached hereto, all of which are made a part of this document, (ii) accepts this Award Agreement subject to all of the terms and provisions thereof, (iii) accepts as binding, conclusive and final all decisions or interpretations of the Administrator upon any questions relating to this Award Agreement, and (iv) agrees to notify the Company upon any change in Participant’s residence address indicated below and to provide a valid email address if Participant no longer has a Company email address.</w:t>
      </w:r>
    </w:p>
    <w:p>
      <w:pPr>
        <w:sectPr>
          <w:pgSz w:w="11900" w:h="16838" w:orient="portrait"/>
          <w:cols w:equalWidth="0" w:num="1">
            <w:col w:w="11240"/>
          </w:cols>
          <w:pgMar w:left="320" w:top="335" w:right="339" w:bottom="347"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ACCURAY INCORPORATED</w:t>
      </w:r>
    </w:p>
    <w:p>
      <w:pPr>
        <w:spacing w:after="0" w:line="200" w:lineRule="exact"/>
        <w:rPr>
          <w:sz w:val="20"/>
          <w:szCs w:val="20"/>
          <w:color w:val="auto"/>
        </w:rPr>
      </w:pPr>
    </w:p>
    <w:p>
      <w:pPr>
        <w:sectPr>
          <w:pgSz w:w="11900" w:h="16838" w:orient="portrait"/>
          <w:cols w:equalWidth="0" w:num="2">
            <w:col w:w="1180" w:space="720"/>
            <w:col w:w="9340"/>
          </w:cols>
          <w:pgMar w:left="320" w:top="335" w:right="339" w:bottom="347" w:gutter="0" w:footer="0" w:header="0"/>
          <w:type w:val="continuous"/>
        </w:sectPr>
      </w:pPr>
    </w:p>
    <w:p>
      <w:pPr>
        <w:spacing w:after="0" w:line="28"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b w:val="1"/>
          <w:bCs w:val="1"/>
          <w:color w:val="auto"/>
        </w:rPr>
        <w:t xml:space="preserve">____________________________________ </w:t>
      </w:r>
      <w:r>
        <w:rPr>
          <w:rFonts w:ascii="Times New Roman" w:cs="Times New Roman" w:eastAsia="Times New Roman" w:hAnsi="Times New Roman"/>
          <w:sz w:val="17"/>
          <w:szCs w:val="17"/>
          <w:color w:val="auto"/>
        </w:rPr>
        <w:t>Signature Signature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w:t>
      </w:r>
    </w:p>
    <w:p>
      <w:pPr>
        <w:spacing w:after="0" w:line="445" w:lineRule="exact"/>
        <w:rPr>
          <w:sz w:val="20"/>
          <w:szCs w:val="20"/>
          <w:color w:val="auto"/>
        </w:rPr>
      </w:pPr>
    </w:p>
    <w:p>
      <w:pPr>
        <w:sectPr>
          <w:pgSz w:w="11900" w:h="16838" w:orient="portrait"/>
          <w:cols w:equalWidth="0" w:num="2">
            <w:col w:w="3220" w:space="400"/>
            <w:col w:w="7620"/>
          </w:cols>
          <w:pgMar w:left="320" w:top="335" w:right="339" w:bottom="347" w:gutter="0" w:footer="0" w:header="0"/>
          <w:type w:val="continuous"/>
        </w:sectPr>
      </w:pPr>
    </w:p>
    <w:p>
      <w:pPr>
        <w:spacing w:after="0" w:line="312" w:lineRule="auto"/>
        <w:rPr>
          <w:sz w:val="20"/>
          <w:szCs w:val="20"/>
          <w:color w:val="auto"/>
        </w:rPr>
      </w:pPr>
      <w:r>
        <w:rPr>
          <w:rFonts w:ascii="Times New Roman" w:cs="Times New Roman" w:eastAsia="Times New Roman" w:hAnsi="Times New Roman"/>
          <w:sz w:val="17"/>
          <w:szCs w:val="17"/>
          <w:b w:val="1"/>
          <w:bCs w:val="1"/>
          <w:color w:val="auto"/>
        </w:rPr>
        <w:t xml:space="preserve">____________________________________ </w:t>
      </w:r>
      <w:r>
        <w:rPr>
          <w:rFonts w:ascii="Times New Roman" w:cs="Times New Roman" w:eastAsia="Times New Roman" w:hAnsi="Times New Roman"/>
          <w:sz w:val="17"/>
          <w:szCs w:val="17"/>
          <w:color w:val="auto"/>
        </w:rPr>
        <w:t>Print Name 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w:t>
      </w:r>
    </w:p>
    <w:p>
      <w:pPr>
        <w:spacing w:after="0" w:line="445" w:lineRule="exact"/>
        <w:rPr>
          <w:sz w:val="20"/>
          <w:szCs w:val="20"/>
          <w:color w:val="auto"/>
        </w:rPr>
      </w:pPr>
    </w:p>
    <w:p>
      <w:pPr>
        <w:sectPr>
          <w:pgSz w:w="11900" w:h="16838" w:orient="portrait"/>
          <w:cols w:equalWidth="0" w:num="2">
            <w:col w:w="3220" w:space="400"/>
            <w:col w:w="7620"/>
          </w:cols>
          <w:pgMar w:left="320" w:top="335" w:right="339" w:bottom="347" w:gutter="0" w:footer="0" w:header="0"/>
          <w:type w:val="continuous"/>
        </w:sectPr>
      </w:pPr>
    </w:p>
    <w:p>
      <w:pPr>
        <w:ind w:left="4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Residence Address: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w:t>
      </w:r>
    </w:p>
    <w:p>
      <w:pPr>
        <w:sectPr>
          <w:pgSz w:w="11900" w:h="16838" w:orient="portrait"/>
          <w:cols w:equalWidth="0" w:num="1">
            <w:col w:w="11240"/>
          </w:cols>
          <w:pgMar w:left="320" w:top="335" w:right="339" w:bottom="347" w:gutter="0" w:footer="0" w:header="0"/>
          <w:type w:val="continuous"/>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STAND-ALONE INDUCEMENT RESTRICTED STOCK UNIT AGREEMENT</w:t>
      </w:r>
    </w:p>
    <w:p>
      <w:pPr>
        <w:spacing w:after="0" w:line="22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TERMS AND CONDITIONS OF RESTRICTED STOCK UNIT GRANT</w:t>
      </w:r>
    </w:p>
    <w:p>
      <w:pPr>
        <w:spacing w:after="0" w:line="224"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Definitions. As used herein, the following definitions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-8890</wp:posOffset>
            </wp:positionV>
            <wp:extent cx="6216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621665" cy="8255"/>
                    </a:xfrm>
                    <a:prstGeom prst="rect">
                      <a:avLst/>
                    </a:prstGeom>
                    <a:noFill/>
                  </pic:spPr>
                </pic:pic>
              </a:graphicData>
            </a:graphic>
          </wp:anchor>
        </w:drawing>
      </w:r>
    </w:p>
    <w:p>
      <w:pPr>
        <w:spacing w:after="0" w:line="196"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means the Board or any of its Committees as will be administering the Award Agreement, in accordance with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w:t>
      </w:r>
    </w:p>
    <w:p>
      <w:pPr>
        <w:spacing w:after="0" w:line="198"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any entity that, directly or indirectly, controls, is controlled by, or is under common control with, the Company.</w:t>
      </w:r>
    </w:p>
    <w:p>
      <w:pPr>
        <w:spacing w:after="0" w:line="220" w:lineRule="exact"/>
        <w:rPr>
          <w:sz w:val="20"/>
          <w:szCs w:val="20"/>
          <w:color w:val="auto"/>
        </w:rPr>
      </w:pPr>
    </w:p>
    <w:p>
      <w:pPr>
        <w:ind w:right="120" w:firstLine="1282"/>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that may apply to this Award.</w:t>
      </w:r>
    </w:p>
    <w:p>
      <w:pPr>
        <w:spacing w:after="0" w:line="175"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this award of Restricted Stock Units.</w:t>
      </w:r>
    </w:p>
    <w:p>
      <w:pPr>
        <w:spacing w:after="0" w:line="220"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means this Stand-Alone Inducement Restricted Stock Unit Agreement evidencing the Award.</w:t>
      </w:r>
    </w:p>
    <w:p>
      <w:pPr>
        <w:spacing w:after="0" w:line="220"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w:t>
      </w:r>
    </w:p>
    <w:p>
      <w:pPr>
        <w:spacing w:after="0" w:line="220"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(g)“</w:t>
      </w:r>
      <w:r>
        <w:rPr>
          <w:sz w:val="20"/>
          <w:szCs w:val="20"/>
          <w:color w:val="auto"/>
        </w:rPr>
        <w:tab/>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 the occurrence of any of the following events:</w:t>
      </w:r>
    </w:p>
    <w:p>
      <w:pPr>
        <w:spacing w:after="0" w:line="224" w:lineRule="exact"/>
        <w:rPr>
          <w:sz w:val="20"/>
          <w:szCs w:val="20"/>
          <w:color w:val="auto"/>
        </w:rPr>
      </w:pPr>
    </w:p>
    <w:p>
      <w:pPr>
        <w:ind w:firstLine="2251"/>
        <w:spacing w:after="0" w:line="267" w:lineRule="auto"/>
        <w:tabs>
          <w:tab w:leader="none" w:pos="258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ownership of the Company which occurs on the date that any one person, or more than one person acting as a group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acquires ownership of the stock of the Company that, together with the stock held by such Person, constitutes more than fifty percent (50%) of the total voting power of the stock of the Company; provided, however, that for purposes of this subsection (i),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6" w:lineRule="exact"/>
        <w:rPr>
          <w:rFonts w:ascii="Times New Roman" w:cs="Times New Roman" w:eastAsia="Times New Roman" w:hAnsi="Times New Roman"/>
          <w:sz w:val="17"/>
          <w:szCs w:val="17"/>
          <w:color w:val="auto"/>
        </w:rPr>
      </w:pPr>
    </w:p>
    <w:p>
      <w:pPr>
        <w:ind w:right="20" w:firstLine="2251"/>
        <w:spacing w:after="0" w:line="257" w:lineRule="auto"/>
        <w:tabs>
          <w:tab w:leader="none" w:pos="26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2" w:lineRule="exact"/>
        <w:rPr>
          <w:rFonts w:ascii="Times New Roman" w:cs="Times New Roman" w:eastAsia="Times New Roman" w:hAnsi="Times New Roman"/>
          <w:sz w:val="18"/>
          <w:szCs w:val="18"/>
          <w:color w:val="auto"/>
        </w:rPr>
      </w:pPr>
    </w:p>
    <w:p>
      <w:pPr>
        <w:ind w:right="60" w:firstLine="2251"/>
        <w:spacing w:after="0" w:line="250" w:lineRule="auto"/>
        <w:tabs>
          <w:tab w:leader="none" w:pos="26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jc w:val="both"/>
        <w:ind w:firstLine="1924"/>
        <w:spacing w:after="0" w:line="277"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3" w:lineRule="exact"/>
        <w:rPr>
          <w:sz w:val="20"/>
          <w:szCs w:val="20"/>
          <w:color w:val="auto"/>
        </w:rPr>
      </w:pPr>
    </w:p>
    <w:p>
      <w:pPr>
        <w:jc w:val="both"/>
        <w:ind w:firstLine="1924"/>
        <w:spacing w:after="0" w:line="277"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63" w:lineRule="exact"/>
        <w:rPr>
          <w:sz w:val="20"/>
          <w:szCs w:val="20"/>
          <w:color w:val="auto"/>
        </w:rPr>
      </w:pPr>
    </w:p>
    <w:p>
      <w:pPr>
        <w:jc w:val="both"/>
        <w:ind w:firstLine="1924"/>
        <w:spacing w:after="0" w:line="262" w:lineRule="auto"/>
        <w:rPr>
          <w:sz w:val="20"/>
          <w:szCs w:val="20"/>
          <w:color w:val="auto"/>
        </w:rPr>
      </w:pPr>
      <w:r>
        <w:rPr>
          <w:rFonts w:ascii="Times New Roman" w:cs="Times New Roman" w:eastAsia="Times New Roman" w:hAnsi="Times New Roman"/>
          <w:sz w:val="18"/>
          <w:szCs w:val="18"/>
          <w:color w:val="auto"/>
        </w:rPr>
        <w:t>Further and for purposes of clarity, a transaction will not constitute a Change in Control if: (i) its primary purpose is to change the jurisdiction of the Company’s incorporation, or (ii) its primary purpose is to create a holding company that will be owned in substantially the same proportions by the persons who held the Company’s securities immediately before such transaction.</w:t>
      </w:r>
    </w:p>
    <w:p>
      <w:pPr>
        <w:spacing w:after="0" w:line="173" w:lineRule="exact"/>
        <w:rPr>
          <w:sz w:val="20"/>
          <w:szCs w:val="20"/>
          <w:color w:val="auto"/>
        </w:rPr>
      </w:pPr>
    </w:p>
    <w:p>
      <w:pPr>
        <w:ind w:right="280" w:firstLine="1289"/>
        <w:spacing w:after="0" w:line="265" w:lineRule="auto"/>
        <w:tabs>
          <w:tab w:leader="none" w:pos="17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69" w:lineRule="exact"/>
        <w:rPr>
          <w:sz w:val="20"/>
          <w:szCs w:val="20"/>
          <w:color w:val="auto"/>
        </w:rPr>
      </w:pPr>
    </w:p>
    <w:p>
      <w:pPr>
        <w:ind w:firstLine="1282"/>
        <w:spacing w:after="0" w:line="28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2.</w:t>
      </w:r>
    </w:p>
    <w:p>
      <w:pPr>
        <w:spacing w:after="0" w:line="155"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of the Company.</w:t>
      </w:r>
    </w:p>
    <w:p>
      <w:pPr>
        <w:sectPr>
          <w:pgSz w:w="11900" w:h="16838" w:orient="portrait"/>
          <w:cols w:equalWidth="0" w:num="1">
            <w:col w:w="11240"/>
          </w:cols>
          <w:pgMar w:left="320" w:top="571" w:right="339" w:bottom="0" w:gutter="0" w:footer="0" w:header="0"/>
        </w:sectPr>
      </w:pPr>
    </w:p>
    <w:bookmarkStart w:id="11" w:name="page12"/>
    <w:bookmarkEnd w:id="11"/>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(k)“</w:t>
      </w:r>
      <w:r>
        <w:rPr>
          <w:sz w:val="20"/>
          <w:szCs w:val="20"/>
          <w:color w:val="auto"/>
        </w:rPr>
        <w:tab/>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means Accuray Incorporated, a Delaware corporation, or any successor thereto.</w:t>
      </w:r>
    </w:p>
    <w:p>
      <w:pPr>
        <w:spacing w:after="0" w:line="220" w:lineRule="exact"/>
        <w:rPr>
          <w:sz w:val="20"/>
          <w:szCs w:val="20"/>
          <w:color w:val="auto"/>
        </w:rPr>
      </w:pPr>
    </w:p>
    <w:p>
      <w:pPr>
        <w:ind w:right="180" w:firstLine="1282"/>
        <w:spacing w:after="0" w:line="256"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natural person, including an advisor, engaged by the Company or any Parent, Subsidiary or Affiliate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78" w:lineRule="exact"/>
        <w:rPr>
          <w:sz w:val="20"/>
          <w:szCs w:val="20"/>
          <w:color w:val="auto"/>
        </w:rPr>
      </w:pPr>
    </w:p>
    <w:p>
      <w:pPr>
        <w:ind w:left="1280"/>
        <w:spacing w:after="0"/>
        <w:tabs>
          <w:tab w:leader="none" w:pos="1780" w:val="left"/>
        </w:tabs>
        <w:rPr>
          <w:sz w:val="20"/>
          <w:szCs w:val="20"/>
          <w:color w:val="auto"/>
        </w:rPr>
      </w:pPr>
      <w:r>
        <w:rPr>
          <w:rFonts w:ascii="Times New Roman" w:cs="Times New Roman" w:eastAsia="Times New Roman" w:hAnsi="Times New Roman"/>
          <w:sz w:val="18"/>
          <w:szCs w:val="18"/>
          <w:color w:val="auto"/>
        </w:rPr>
        <w:t>(m)“</w:t>
      </w:r>
      <w:r>
        <w:rPr>
          <w:sz w:val="20"/>
          <w:szCs w:val="20"/>
          <w:color w:val="auto"/>
        </w:rPr>
        <w:tab/>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w:t>
      </w:r>
    </w:p>
    <w:p>
      <w:pPr>
        <w:spacing w:after="0" w:line="220" w:lineRule="exact"/>
        <w:rPr>
          <w:sz w:val="20"/>
          <w:szCs w:val="20"/>
          <w:color w:val="auto"/>
        </w:rPr>
      </w:pPr>
    </w:p>
    <w:p>
      <w:pPr>
        <w:ind w:right="60" w:firstLine="1282"/>
        <w:spacing w:after="0" w:line="312" w:lineRule="auto"/>
        <w:rPr>
          <w:sz w:val="20"/>
          <w:szCs w:val="20"/>
          <w:color w:val="auto"/>
        </w:rPr>
      </w:pPr>
      <w:r>
        <w:rPr>
          <w:rFonts w:ascii="Times New Roman" w:cs="Times New Roman" w:eastAsia="Times New Roman" w:hAnsi="Times New Roman"/>
          <w:sz w:val="17"/>
          <w:szCs w:val="17"/>
          <w:color w:val="auto"/>
        </w:rPr>
        <w:t xml:space="preserve">(n)“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means any person, including Officers and Directors, employed by the Company or any Parent, Subsidiary or Affiliate of the Company. Neither service as a Director nor payment of a director’s fee by the Company will be sufficient to constitute “employment” by the Company.</w:t>
      </w:r>
    </w:p>
    <w:p>
      <w:pPr>
        <w:spacing w:after="0" w:line="133"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U.S. Securities Exchange Act of 1934, as amended, including the rules and regulations promulgated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198"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(p)“</w:t>
      </w:r>
      <w:r>
        <w:rPr>
          <w:sz w:val="20"/>
          <w:szCs w:val="20"/>
          <w:color w:val="auto"/>
        </w:rPr>
        <w:tab/>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means, as of any date and unless the Administrator determines otherwise, the value of a Share determined as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2" w:lineRule="exact"/>
        <w:rPr>
          <w:sz w:val="20"/>
          <w:szCs w:val="20"/>
          <w:color w:val="auto"/>
        </w:rPr>
      </w:pPr>
    </w:p>
    <w:p>
      <w:pPr>
        <w:ind w:right="100" w:firstLine="2251"/>
        <w:spacing w:after="0" w:line="255" w:lineRule="auto"/>
        <w:tabs>
          <w:tab w:leader="none" w:pos="25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The Wall Street Journal or such other source as the Administrator deems reliable;</w:t>
      </w:r>
    </w:p>
    <w:p>
      <w:pPr>
        <w:spacing w:after="0" w:line="182" w:lineRule="exact"/>
        <w:rPr>
          <w:rFonts w:ascii="Times New Roman" w:cs="Times New Roman" w:eastAsia="Times New Roman" w:hAnsi="Times New Roman"/>
          <w:sz w:val="18"/>
          <w:szCs w:val="18"/>
          <w:color w:val="auto"/>
        </w:rPr>
      </w:pPr>
    </w:p>
    <w:p>
      <w:pPr>
        <w:jc w:val="both"/>
        <w:ind w:right="80" w:firstLine="2251"/>
        <w:spacing w:after="0" w:line="257" w:lineRule="auto"/>
        <w:tabs>
          <w:tab w:leader="none" w:pos="2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by a recognized securities dealer but selling prices are not reported, the Fair Market Value will be the mean between the high bid and low asked prices for the Common Stock on the date of determination (or, if no bids and asks were reported on that date, as applicable, on the last Trading Day such bids and asks were reported), as reported in The Wall Street Journal or such other source as the Administrator deems reliable; or</w:t>
      </w:r>
    </w:p>
    <w:p>
      <w:pPr>
        <w:spacing w:after="0" w:line="182" w:lineRule="exact"/>
        <w:rPr>
          <w:rFonts w:ascii="Times New Roman" w:cs="Times New Roman" w:eastAsia="Times New Roman" w:hAnsi="Times New Roman"/>
          <w:sz w:val="18"/>
          <w:szCs w:val="18"/>
          <w:color w:val="auto"/>
        </w:rPr>
      </w:pPr>
    </w:p>
    <w:p>
      <w:pPr>
        <w:ind w:left="2700" w:hanging="449"/>
        <w:spacing w:after="0"/>
        <w:tabs>
          <w:tab w:leader="none" w:pos="27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Stock, the Fair Market Value will be determined in good faith</w:t>
      </w:r>
    </w:p>
    <w:p>
      <w:pPr>
        <w:spacing w:after="0" w:line="3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by the Administrator.</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Notwithstanding the foregoing, for purposes of determining the fair market value of any Shares subject to the Restricted Stock Units for any reason,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78" w:lineRule="exact"/>
        <w:rPr>
          <w:sz w:val="20"/>
          <w:szCs w:val="20"/>
          <w:color w:val="auto"/>
        </w:rPr>
      </w:pPr>
    </w:p>
    <w:p>
      <w:pPr>
        <w:ind w:right="1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55"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(r)“</w:t>
      </w:r>
      <w:r>
        <w:rPr>
          <w:sz w:val="20"/>
          <w:szCs w:val="20"/>
          <w:color w:val="auto"/>
        </w:rPr>
        <w:tab/>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means a “parent corporation,” whether now or hereafter existing, as defined in Section 424(e) of the Code.</w:t>
      </w:r>
    </w:p>
    <w:p>
      <w:pPr>
        <w:spacing w:after="0" w:line="220"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the person named in the Notice of Grant or such person’s successor.</w:t>
      </w:r>
    </w:p>
    <w:p>
      <w:pPr>
        <w:spacing w:after="0" w:line="220" w:lineRule="exact"/>
        <w:rPr>
          <w:sz w:val="20"/>
          <w:szCs w:val="20"/>
          <w:color w:val="auto"/>
        </w:rPr>
      </w:pPr>
    </w:p>
    <w:p>
      <w:pPr>
        <w:ind w:right="58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Each Restricted Stock Unit represents an unfunded and unsecured obligation of the Company.</w:t>
      </w:r>
    </w:p>
    <w:p>
      <w:pPr>
        <w:spacing w:after="0" w:line="155" w:lineRule="exact"/>
        <w:rPr>
          <w:sz w:val="20"/>
          <w:szCs w:val="20"/>
          <w:color w:val="auto"/>
        </w:rPr>
      </w:pPr>
    </w:p>
    <w:p>
      <w:pPr>
        <w:ind w:right="1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Award Agreement.</w:t>
      </w:r>
    </w:p>
    <w:p>
      <w:pPr>
        <w:spacing w:after="0" w:line="155" w:lineRule="exact"/>
        <w:rPr>
          <w:sz w:val="20"/>
          <w:szCs w:val="20"/>
          <w:color w:val="auto"/>
        </w:rPr>
      </w:pPr>
    </w:p>
    <w:p>
      <w:pPr>
        <w:ind w:right="3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 and the U.S. Treasury Regulations and guidance thereunder, and any applicable state law equivalent, as each may be promulgated, amended or modified from time to time.</w:t>
      </w:r>
    </w:p>
    <w:p>
      <w:pPr>
        <w:spacing w:after="0" w:line="155" w:lineRule="exact"/>
        <w:rPr>
          <w:sz w:val="20"/>
          <w:szCs w:val="20"/>
          <w:color w:val="auto"/>
        </w:rPr>
      </w:pPr>
    </w:p>
    <w:p>
      <w:pPr>
        <w:ind w:left="1280"/>
        <w:spacing w:after="0"/>
        <w:tabs>
          <w:tab w:leader="none" w:pos="1780" w:val="left"/>
        </w:tabs>
        <w:rPr>
          <w:sz w:val="20"/>
          <w:szCs w:val="20"/>
          <w:color w:val="auto"/>
        </w:rPr>
      </w:pPr>
      <w:r>
        <w:rPr>
          <w:rFonts w:ascii="Times New Roman" w:cs="Times New Roman" w:eastAsia="Times New Roman" w:hAnsi="Times New Roman"/>
          <w:sz w:val="18"/>
          <w:szCs w:val="18"/>
          <w:color w:val="auto"/>
        </w:rPr>
        <w:t>(w)“</w:t>
      </w:r>
      <w:r>
        <w:rPr>
          <w:sz w:val="20"/>
          <w:szCs w:val="20"/>
          <w:color w:val="auto"/>
        </w:rPr>
        <w:tab/>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U.S. Securities Act of 1933, as amended, including the rules and regulations promulgated thereunder.</w:t>
      </w:r>
    </w:p>
    <w:p>
      <w:pPr>
        <w:spacing w:after="0" w:line="220"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7"/>
          <w:szCs w:val="17"/>
          <w:b w:val="1"/>
          <w:bCs w:val="1"/>
          <w:color w:val="auto"/>
        </w:rPr>
        <w:t>Service Provider</w:t>
      </w:r>
      <w:r>
        <w:rPr>
          <w:rFonts w:ascii="Times New Roman" w:cs="Times New Roman" w:eastAsia="Times New Roman" w:hAnsi="Times New Roman"/>
          <w:sz w:val="17"/>
          <w:szCs w:val="17"/>
          <w:color w:val="auto"/>
        </w:rPr>
        <w:t>” means an Employee, Director or Consultant.</w:t>
      </w:r>
    </w:p>
    <w:p>
      <w:pPr>
        <w:spacing w:after="0" w:line="220"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(y)“</w:t>
      </w:r>
      <w:r>
        <w:rPr>
          <w:sz w:val="20"/>
          <w:szCs w:val="20"/>
          <w:color w:val="auto"/>
        </w:rPr>
        <w:tab/>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means a share of the Common Stock, as adjusted in accordance with Section 15.</w:t>
      </w:r>
    </w:p>
    <w:p>
      <w:pPr>
        <w:spacing w:after="0" w:line="184" w:lineRule="exact"/>
        <w:rPr>
          <w:sz w:val="20"/>
          <w:szCs w:val="20"/>
          <w:color w:val="auto"/>
        </w:rPr>
      </w:pPr>
    </w:p>
    <w:p>
      <w:pPr>
        <w:ind w:left="1280"/>
        <w:spacing w:after="0" w:line="207" w:lineRule="exact"/>
        <w:tabs>
          <w:tab w:leader="none" w:pos="1720" w:val="left"/>
        </w:tabs>
        <w:rPr>
          <w:sz w:val="20"/>
          <w:szCs w:val="20"/>
          <w:color w:val="auto"/>
        </w:rPr>
      </w:pPr>
      <w:r>
        <w:rPr>
          <w:rFonts w:ascii="Times New Roman" w:cs="Times New Roman" w:eastAsia="Times New Roman" w:hAnsi="Times New Roman"/>
          <w:sz w:val="18"/>
          <w:szCs w:val="18"/>
          <w:color w:val="auto"/>
        </w:rPr>
        <w:t>(z)“</w:t>
      </w:r>
      <w:r>
        <w:rPr>
          <w:sz w:val="20"/>
          <w:szCs w:val="20"/>
          <w:color w:val="auto"/>
        </w:rPr>
        <w:tab/>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 “subsidiary corporation,” whether now or hereafter exist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ing, as defined in Section 424(f) of the Code.</w:t>
      </w:r>
    </w:p>
    <w:p>
      <w:pPr>
        <w:spacing w:after="0" w:line="257" w:lineRule="exact"/>
        <w:rPr>
          <w:sz w:val="20"/>
          <w:szCs w:val="20"/>
          <w:color w:val="auto"/>
        </w:rPr>
      </w:pPr>
    </w:p>
    <w:p>
      <w:pPr>
        <w:ind w:right="1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(aa)“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55" w:lineRule="exact"/>
        <w:rPr>
          <w:sz w:val="20"/>
          <w:szCs w:val="20"/>
          <w:color w:val="auto"/>
        </w:rPr>
      </w:pPr>
    </w:p>
    <w:p>
      <w:pPr>
        <w:ind w:right="140" w:firstLine="1282"/>
        <w:spacing w:after="0" w:line="265"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3" w:lineRule="exact"/>
        <w:rPr>
          <w:sz w:val="20"/>
          <w:szCs w:val="20"/>
          <w:color w:val="auto"/>
        </w:rPr>
      </w:pPr>
    </w:p>
    <w:p>
      <w:pPr>
        <w:ind w:left="940" w:hanging="292"/>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w:t>
      </w:r>
    </w:p>
    <w:p>
      <w:pPr>
        <w:spacing w:after="0" w:line="220" w:lineRule="exact"/>
        <w:rPr>
          <w:rFonts w:ascii="Times New Roman" w:cs="Times New Roman" w:eastAsia="Times New Roman" w:hAnsi="Times New Roman"/>
          <w:sz w:val="18"/>
          <w:szCs w:val="18"/>
          <w:color w:val="auto"/>
        </w:rPr>
      </w:pPr>
    </w:p>
    <w:p>
      <w:pPr>
        <w:ind w:left="1660" w:hanging="371"/>
        <w:spacing w:after="0"/>
        <w:tabs>
          <w:tab w:leader="none" w:pos="1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w:t>
      </w:r>
    </w:p>
    <w:p>
      <w:pPr>
        <w:spacing w:after="0" w:line="220" w:lineRule="exact"/>
        <w:rPr>
          <w:rFonts w:ascii="Times New Roman" w:cs="Times New Roman" w:eastAsia="Times New Roman" w:hAnsi="Times New Roman"/>
          <w:sz w:val="18"/>
          <w:szCs w:val="18"/>
          <w:color w:val="auto"/>
        </w:rPr>
      </w:pPr>
    </w:p>
    <w:p>
      <w:pPr>
        <w:ind w:right="500" w:firstLine="2251"/>
        <w:spacing w:after="0" w:line="277" w:lineRule="auto"/>
        <w:tabs>
          <w:tab w:leader="none" w:pos="259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16b-3. To the extent desirable to qualify transactions hereunder as exempt under Rule 16b-3, the transactions contemplated hereunder will be structured to satisfy the requirements for exemption under Rule 16b-3.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-723900</wp:posOffset>
            </wp:positionV>
            <wp:extent cx="79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9121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-452120</wp:posOffset>
            </wp:positionV>
            <wp:extent cx="571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1536065</wp:posOffset>
            </wp:positionH>
            <wp:positionV relativeFrom="paragraph">
              <wp:posOffset>-180975</wp:posOffset>
            </wp:positionV>
            <wp:extent cx="6184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618490" cy="8255"/>
                    </a:xfrm>
                    <a:prstGeom prst="rect">
                      <a:avLst/>
                    </a:prstGeom>
                    <a:noFill/>
                  </pic:spPr>
                </pic:pic>
              </a:graphicData>
            </a:graphic>
          </wp:anchor>
        </w:drawing>
      </w:r>
    </w:p>
    <w:p>
      <w:pPr>
        <w:sectPr>
          <w:pgSz w:w="11900" w:h="16838" w:orient="portrait"/>
          <w:cols w:equalWidth="0" w:num="1">
            <w:col w:w="11240"/>
          </w:cols>
          <w:pgMar w:left="320" w:top="117" w:right="339" w:bottom="72" w:gutter="0" w:footer="0" w:header="0"/>
        </w:sectPr>
      </w:pPr>
    </w:p>
    <w:bookmarkStart w:id="12" w:name="page13"/>
    <w:bookmarkEnd w:id="12"/>
    <w:p>
      <w:pPr>
        <w:ind w:left="2633" w:hanging="389"/>
        <w:spacing w:after="0"/>
        <w:tabs>
          <w:tab w:leader="none" w:pos="2633"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Administration. Other than as provided above, this Award Agreement will be administered by (A) the Board or</w:t>
      </w:r>
    </w:p>
    <w:p>
      <w:pPr>
        <w:spacing w:after="0" w:line="25" w:lineRule="exact"/>
        <w:rPr>
          <w:rFonts w:ascii="Times New Roman" w:cs="Times New Roman" w:eastAsia="Times New Roman" w:hAnsi="Times New Roman"/>
          <w:sz w:val="18"/>
          <w:szCs w:val="18"/>
          <w:color w:val="auto"/>
        </w:rPr>
      </w:pPr>
    </w:p>
    <w:p>
      <w:pPr>
        <w:ind w:left="273" w:hanging="273"/>
        <w:spacing w:after="0"/>
        <w:tabs>
          <w:tab w:leader="none" w:pos="2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which Committee will be constituted to comply with Applicable Laws.</w:t>
      </w:r>
    </w:p>
    <w:p>
      <w:pPr>
        <w:spacing w:after="0" w:line="201" w:lineRule="exact"/>
        <w:rPr>
          <w:rFonts w:ascii="Times New Roman" w:cs="Times New Roman" w:eastAsia="Times New Roman" w:hAnsi="Times New Roman"/>
          <w:sz w:val="18"/>
          <w:szCs w:val="18"/>
          <w:color w:val="auto"/>
        </w:rPr>
      </w:pPr>
    </w:p>
    <w:p>
      <w:pPr>
        <w:ind w:left="-7" w:right="100" w:firstLine="2251"/>
        <w:spacing w:after="0" w:line="262" w:lineRule="auto"/>
        <w:tabs>
          <w:tab w:leader="none" w:pos="268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for Day-to-Day Administration. Except to the extent prohibited by Applicable Laws, the Administrator may delegate to one or more individuals the day-to-day administration of this Award Agreement and any of the functions assigned to it in this Award Agreement. Such delegation may be revoked at any time.</w:t>
      </w:r>
    </w:p>
    <w:p>
      <w:pPr>
        <w:spacing w:after="0" w:line="177" w:lineRule="exact"/>
        <w:rPr>
          <w:rFonts w:ascii="Times New Roman" w:cs="Times New Roman" w:eastAsia="Times New Roman" w:hAnsi="Times New Roman"/>
          <w:sz w:val="18"/>
          <w:szCs w:val="18"/>
          <w:color w:val="auto"/>
        </w:rPr>
      </w:pPr>
    </w:p>
    <w:p>
      <w:pPr>
        <w:ind w:left="-7" w:right="560" w:firstLine="1289"/>
        <w:spacing w:after="0" w:line="277" w:lineRule="auto"/>
        <w:tabs>
          <w:tab w:leader="none" w:pos="166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the Administrator. Subject to the provisions of the Award Agreement, and in the case of a Committee, subject to the specific duties delegated by the Board to such Committee, the Administrator will have the authority, in its discretion:</w:t>
      </w:r>
    </w:p>
    <w:p>
      <w:pPr>
        <w:spacing w:after="0" w:line="163" w:lineRule="exact"/>
        <w:rPr>
          <w:rFonts w:ascii="Times New Roman" w:cs="Times New Roman" w:eastAsia="Times New Roman" w:hAnsi="Times New Roman"/>
          <w:sz w:val="18"/>
          <w:szCs w:val="18"/>
          <w:color w:val="auto"/>
        </w:rPr>
      </w:pPr>
    </w:p>
    <w:p>
      <w:pPr>
        <w:ind w:left="2593" w:hanging="349"/>
        <w:spacing w:after="0"/>
        <w:tabs>
          <w:tab w:leader="none" w:pos="2593"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-1365885</wp:posOffset>
            </wp:positionV>
            <wp:extent cx="1083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1083310" cy="825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-958850</wp:posOffset>
            </wp:positionV>
            <wp:extent cx="26403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-415925</wp:posOffset>
            </wp:positionV>
            <wp:extent cx="13970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00" w:lineRule="exact"/>
        <w:rPr>
          <w:sz w:val="20"/>
          <w:szCs w:val="20"/>
          <w:color w:val="auto"/>
        </w:rPr>
      </w:pPr>
    </w:p>
    <w:p>
      <w:pPr>
        <w:ind w:left="2633" w:hanging="389"/>
        <w:spacing w:after="0"/>
        <w:tabs>
          <w:tab w:leader="none" w:pos="2633"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Award and this Award Agreement;</w:t>
      </w:r>
    </w:p>
    <w:p>
      <w:pPr>
        <w:spacing w:after="0" w:line="220" w:lineRule="exact"/>
        <w:rPr>
          <w:rFonts w:ascii="Times New Roman" w:cs="Times New Roman" w:eastAsia="Times New Roman" w:hAnsi="Times New Roman"/>
          <w:sz w:val="18"/>
          <w:szCs w:val="18"/>
          <w:color w:val="auto"/>
        </w:rPr>
      </w:pPr>
    </w:p>
    <w:p>
      <w:pPr>
        <w:ind w:left="-7" w:right="160" w:firstLine="2251"/>
        <w:spacing w:after="0" w:line="238" w:lineRule="exact"/>
        <w:tabs>
          <w:tab w:leader="none" w:pos="2682"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prescribe, amend and rescind rules and regulations relating to the Award, including easing the administration of the Award and/or qualifying for favorable tax treatment under applicable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laws, in each case as the Administrator may deem necessary or advisable.</w:t>
      </w:r>
    </w:p>
    <w:p>
      <w:pPr>
        <w:spacing w:after="0" w:line="167" w:lineRule="exact"/>
        <w:rPr>
          <w:rFonts w:ascii="Times New Roman" w:cs="Times New Roman" w:eastAsia="Times New Roman" w:hAnsi="Times New Roman"/>
          <w:sz w:val="17"/>
          <w:szCs w:val="17"/>
          <w:color w:val="auto"/>
        </w:rPr>
      </w:pPr>
    </w:p>
    <w:p>
      <w:pPr>
        <w:ind w:left="2673" w:hanging="429"/>
        <w:spacing w:after="0"/>
        <w:tabs>
          <w:tab w:leader="none" w:pos="2673"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the Award;</w:t>
      </w:r>
    </w:p>
    <w:p>
      <w:pPr>
        <w:spacing w:after="0" w:line="220" w:lineRule="exact"/>
        <w:rPr>
          <w:rFonts w:ascii="Times New Roman" w:cs="Times New Roman" w:eastAsia="Times New Roman" w:hAnsi="Times New Roman"/>
          <w:sz w:val="18"/>
          <w:szCs w:val="18"/>
          <w:color w:val="auto"/>
        </w:rPr>
      </w:pPr>
    </w:p>
    <w:p>
      <w:pPr>
        <w:ind w:left="2633" w:hanging="389"/>
        <w:spacing w:after="0"/>
        <w:tabs>
          <w:tab w:leader="none" w:pos="2633"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the Award will be settled in Shares, cash or in any combination thereof; and</w:t>
      </w:r>
    </w:p>
    <w:p>
      <w:pPr>
        <w:spacing w:after="0" w:line="220" w:lineRule="exact"/>
        <w:rPr>
          <w:rFonts w:ascii="Times New Roman" w:cs="Times New Roman" w:eastAsia="Times New Roman" w:hAnsi="Times New Roman"/>
          <w:sz w:val="18"/>
          <w:szCs w:val="18"/>
          <w:color w:val="auto"/>
        </w:rPr>
      </w:pPr>
    </w:p>
    <w:p>
      <w:pPr>
        <w:ind w:left="2673" w:hanging="429"/>
        <w:spacing w:after="0"/>
        <w:tabs>
          <w:tab w:leader="none" w:pos="2673"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all other determinations deemed necessary or advisable for administering the Award and the Award Agreement.</w:t>
      </w:r>
    </w:p>
    <w:p>
      <w:pPr>
        <w:spacing w:after="0" w:line="231" w:lineRule="exact"/>
        <w:rPr>
          <w:rFonts w:ascii="Times New Roman" w:cs="Times New Roman" w:eastAsia="Times New Roman" w:hAnsi="Times New Roman"/>
          <w:sz w:val="17"/>
          <w:szCs w:val="17"/>
          <w:color w:val="auto"/>
        </w:rPr>
      </w:pPr>
    </w:p>
    <w:p>
      <w:pPr>
        <w:ind w:left="-7" w:right="200" w:firstLine="1289"/>
        <w:spacing w:after="0" w:line="277" w:lineRule="auto"/>
        <w:tabs>
          <w:tab w:leader="none" w:pos="16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Administrator’s Decisions. The Administrator’s decisions, determinations, and interpretations will be final and binding on Participant and will be given the maximum deference permitted by Applicable Laws.</w:t>
      </w:r>
    </w:p>
    <w:p>
      <w:pPr>
        <w:spacing w:after="0" w:line="159" w:lineRule="exact"/>
        <w:rPr>
          <w:rFonts w:ascii="Times New Roman" w:cs="Times New Roman" w:eastAsia="Times New Roman" w:hAnsi="Times New Roman"/>
          <w:sz w:val="18"/>
          <w:szCs w:val="18"/>
          <w:color w:val="auto"/>
        </w:rPr>
      </w:pPr>
    </w:p>
    <w:p>
      <w:pPr>
        <w:ind w:left="-7" w:right="280" w:firstLine="648"/>
        <w:spacing w:after="0" w:line="265" w:lineRule="auto"/>
        <w:tabs>
          <w:tab w:leader="none" w:pos="9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Restricted Stock Units. The Company hereby grants to the individual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named in the Notice of Restricted Stock Unit Grant of this Award Agreement (the “</w:t>
      </w:r>
      <w:r>
        <w:rPr>
          <w:rFonts w:ascii="Times New Roman" w:cs="Times New Roman" w:eastAsia="Times New Roman" w:hAnsi="Times New Roman"/>
          <w:sz w:val="18"/>
          <w:szCs w:val="18"/>
          <w:b w:val="1"/>
          <w:bCs w:val="1"/>
          <w:color w:val="auto"/>
        </w:rPr>
        <w:t>Notice of Grant</w:t>
      </w:r>
      <w:r>
        <w:rPr>
          <w:rFonts w:ascii="Times New Roman" w:cs="Times New Roman" w:eastAsia="Times New Roman" w:hAnsi="Times New Roman"/>
          <w:sz w:val="18"/>
          <w:szCs w:val="18"/>
          <w:color w:val="auto"/>
        </w:rPr>
        <w:t>”) an Award of Restricted Stock Units, subject to all of the terms and conditions of this Award Agreement. The Award is intended to qualify as an employment inducement grant under Nasdaq Listing Rule 5635(c)(4).</w:t>
      </w:r>
    </w:p>
    <w:p>
      <w:pPr>
        <w:spacing w:after="0" w:line="173" w:lineRule="exact"/>
        <w:rPr>
          <w:rFonts w:ascii="Times New Roman" w:cs="Times New Roman" w:eastAsia="Times New Roman" w:hAnsi="Times New Roman"/>
          <w:sz w:val="18"/>
          <w:szCs w:val="18"/>
          <w:color w:val="auto"/>
        </w:rPr>
      </w:pPr>
    </w:p>
    <w:p>
      <w:pPr>
        <w:ind w:left="-7" w:right="400" w:firstLine="648"/>
        <w:spacing w:after="0" w:line="257" w:lineRule="auto"/>
        <w:tabs>
          <w:tab w:leader="none" w:pos="9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Obligation to Pay. Each Restricted Stock Unit represents the right to receive a Share on the date it vests. Unless and until the Restricted Stock Units will have vested in the manner set forth in Sections 5 or 6,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82" w:lineRule="exact"/>
        <w:rPr>
          <w:rFonts w:ascii="Times New Roman" w:cs="Times New Roman" w:eastAsia="Times New Roman" w:hAnsi="Times New Roman"/>
          <w:sz w:val="18"/>
          <w:szCs w:val="18"/>
          <w:color w:val="auto"/>
        </w:rPr>
      </w:pPr>
    </w:p>
    <w:p>
      <w:pPr>
        <w:ind w:left="-7" w:right="120" w:firstLine="648"/>
        <w:spacing w:after="0" w:line="253" w:lineRule="auto"/>
        <w:tabs>
          <w:tab w:leader="none" w:pos="9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Schedule. Except as provided in Section 6, and subject to Section 9, the Restricted Stock Units 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Subsidiary or Affiliate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86" w:lineRule="exact"/>
        <w:rPr>
          <w:rFonts w:ascii="Times New Roman" w:cs="Times New Roman" w:eastAsia="Times New Roman" w:hAnsi="Times New Roman"/>
          <w:sz w:val="18"/>
          <w:szCs w:val="18"/>
          <w:color w:val="auto"/>
        </w:rPr>
      </w:pPr>
    </w:p>
    <w:p>
      <w:pPr>
        <w:ind w:left="953" w:hanging="312"/>
        <w:spacing w:after="0"/>
        <w:tabs>
          <w:tab w:leader="none" w:pos="9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After Vesting.</w:t>
      </w:r>
    </w:p>
    <w:p>
      <w:pPr>
        <w:spacing w:after="0" w:line="220" w:lineRule="exact"/>
        <w:rPr>
          <w:rFonts w:ascii="Times New Roman" w:cs="Times New Roman" w:eastAsia="Times New Roman" w:hAnsi="Times New Roman"/>
          <w:sz w:val="18"/>
          <w:szCs w:val="18"/>
          <w:color w:val="auto"/>
        </w:rPr>
      </w:pPr>
    </w:p>
    <w:p>
      <w:pPr>
        <w:ind w:left="-7" w:firstLine="1289"/>
        <w:spacing w:after="0" w:line="251" w:lineRule="auto"/>
        <w:tabs>
          <w:tab w:leader="none" w:pos="16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Rule. Subject to Sections 6(c) and 11, any Restricted Stock Units that vest will be paid to Participant (or in the event of Participant’s death, to Participant’s properly designated beneficiary or estate) in whole Shares no later than seventy-four (74) days following the vesting date applicable to such Restricted Stock Units (the “</w:t>
      </w:r>
      <w:r>
        <w:rPr>
          <w:rFonts w:ascii="Times New Roman" w:cs="Times New Roman" w:eastAsia="Times New Roman" w:hAnsi="Times New Roman"/>
          <w:sz w:val="18"/>
          <w:szCs w:val="18"/>
          <w:b w:val="1"/>
          <w:bCs w:val="1"/>
          <w:color w:val="auto"/>
        </w:rPr>
        <w:t>Settlement Deadline Date</w:t>
      </w:r>
      <w:r>
        <w:rPr>
          <w:rFonts w:ascii="Times New Roman" w:cs="Times New Roman" w:eastAsia="Times New Roman" w:hAnsi="Times New Roman"/>
          <w:sz w:val="18"/>
          <w:szCs w:val="18"/>
          <w:color w:val="auto"/>
        </w:rPr>
        <w:t>”). Except as may be required by the provisions of Section 6(c), no Restricted Stock Unit will be settled after the Settlement Deadline Date applicable to it. If any Restricted Stock Unit has not met all the requirements for settlement under this Award Agreement in a manner that would allow it to be settled by the applicable Settlement Deadline Date (or, if applicable, such other date required by Section 6(c)), such Restricted Stock Unit will be forfeited as of immediately following the applicable Settlement Deadline Date (or such other date required by Section 6(c), as applicable). In no event will Participant be permitted, directly or indirectly, to specify the taxable year of payment of any Restricted Stock Units payable under this Award Agreement. For clarity, there may be multiple Settlement Deadline Dates, each corresponding to a particular Restricted Stock Unit.</w:t>
      </w:r>
    </w:p>
    <w:p>
      <w:pPr>
        <w:spacing w:after="0" w:line="189" w:lineRule="exact"/>
        <w:rPr>
          <w:rFonts w:ascii="Times New Roman" w:cs="Times New Roman" w:eastAsia="Times New Roman" w:hAnsi="Times New Roman"/>
          <w:sz w:val="18"/>
          <w:szCs w:val="18"/>
          <w:color w:val="auto"/>
        </w:rPr>
      </w:pPr>
    </w:p>
    <w:p>
      <w:pPr>
        <w:jc w:val="both"/>
        <w:ind w:left="-7" w:right="60" w:firstLine="1289"/>
        <w:spacing w:after="0" w:line="262" w:lineRule="auto"/>
        <w:tabs>
          <w:tab w:leader="none" w:pos="16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 Discretion. The Administrator, in its discretion, may accelerate the vesting of the balance, or some lesser portion of the balance, of the unvested Restricted Stock Units at any time, subject to the terms of the Award Agreement. If so accelerated, such Restricted Stock Units will be considered as having vested as of the date specified by the Administrator.</w:t>
      </w:r>
    </w:p>
    <w:p>
      <w:pPr>
        <w:spacing w:after="0" w:line="177" w:lineRule="exact"/>
        <w:rPr>
          <w:rFonts w:ascii="Times New Roman" w:cs="Times New Roman" w:eastAsia="Times New Roman" w:hAnsi="Times New Roman"/>
          <w:sz w:val="18"/>
          <w:szCs w:val="18"/>
          <w:color w:val="auto"/>
        </w:rPr>
      </w:pPr>
    </w:p>
    <w:p>
      <w:pPr>
        <w:ind w:left="1653" w:hanging="371"/>
        <w:spacing w:after="0"/>
        <w:tabs>
          <w:tab w:leader="none" w:pos="165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This Section 6(c) will apply to Participant to the extent Participant is a U.S. taxpayer.</w:t>
      </w:r>
    </w:p>
    <w:p>
      <w:pPr>
        <w:spacing w:after="0" w:line="220" w:lineRule="exact"/>
        <w:rPr>
          <w:rFonts w:ascii="Times New Roman" w:cs="Times New Roman" w:eastAsia="Times New Roman" w:hAnsi="Times New Roman"/>
          <w:sz w:val="18"/>
          <w:szCs w:val="18"/>
          <w:color w:val="auto"/>
        </w:rPr>
      </w:pPr>
    </w:p>
    <w:p>
      <w:pPr>
        <w:ind w:left="-7" w:right="200" w:firstLine="2251"/>
        <w:spacing w:after="0" w:line="262" w:lineRule="auto"/>
        <w:tabs>
          <w:tab w:leader="none" w:pos="258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Shares vesting pursuant to this Award Agreement (including any discretionary acceleration under Section 6(b)) shall in all cases be paid at a time and in a manner that is intended to be exempt from, or comply with, Section 409A. The prior sentence may be superseded in a future agreement or amendment to this Award Agreement only by direct and specific reference to such sentence.</w:t>
      </w:r>
    </w:p>
    <w:p>
      <w:pPr>
        <w:spacing w:after="0" w:line="177" w:lineRule="exact"/>
        <w:rPr>
          <w:rFonts w:ascii="Times New Roman" w:cs="Times New Roman" w:eastAsia="Times New Roman" w:hAnsi="Times New Roman"/>
          <w:sz w:val="18"/>
          <w:szCs w:val="18"/>
          <w:color w:val="auto"/>
        </w:rPr>
      </w:pPr>
    </w:p>
    <w:p>
      <w:pPr>
        <w:ind w:left="-7" w:right="20" w:firstLine="2251"/>
        <w:spacing w:after="0" w:line="217" w:lineRule="exact"/>
        <w:tabs>
          <w:tab w:leader="none" w:pos="2623"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Restricted Stock Units under this Award Agreement that are considered deferred compensation within the meaning of Section 409A (“</w:t>
      </w:r>
      <w:r>
        <w:rPr>
          <w:rFonts w:ascii="Times New Roman" w:cs="Times New Roman" w:eastAsia="Times New Roman" w:hAnsi="Times New Roman"/>
          <w:sz w:val="17"/>
          <w:szCs w:val="17"/>
          <w:b w:val="1"/>
          <w:bCs w:val="1"/>
          <w:color w:val="auto"/>
        </w:rPr>
        <w:t>Deferred Payments</w:t>
      </w:r>
      <w:r>
        <w:rPr>
          <w:rFonts w:ascii="Times New Roman" w:cs="Times New Roman" w:eastAsia="Times New Roman" w:hAnsi="Times New Roman"/>
          <w:sz w:val="17"/>
          <w:szCs w:val="17"/>
          <w:color w:val="auto"/>
        </w:rPr>
        <w:t>”) that otherwise are intended to be paid, pursuant to subsection (i), (ii) or (v) of Code Section 409A(a)(2)(A), upon the occurrence of a merger of the Company with or into another corporation or other entity, a Change in Control, or Participant’s disability or termination from employment or other service (whether pursuant to the vesting criteria set forth in the Notice of Grant or a written agreement authorized by the Administrator between Participant and the Company or any of its Parents or Subsidiaries, as applicable), will not be payable upon such event unless and until the circumstances giving rise to such merger, Change in Control, disability, or termination constitutes a change in control event, disability, or separation from service, as applicable, within the meaning of Section 409A (a “</w:t>
      </w:r>
      <w:r>
        <w:rPr>
          <w:rFonts w:ascii="Times New Roman" w:cs="Times New Roman" w:eastAsia="Times New Roman" w:hAnsi="Times New Roman"/>
          <w:sz w:val="17"/>
          <w:szCs w:val="17"/>
          <w:b w:val="1"/>
          <w:bCs w:val="1"/>
          <w:color w:val="auto"/>
        </w:rPr>
        <w:t>409A-Conforming Event</w:t>
      </w:r>
      <w:r>
        <w:rPr>
          <w:rFonts w:ascii="Times New Roman" w:cs="Times New Roman" w:eastAsia="Times New Roman" w:hAnsi="Times New Roman"/>
          <w:sz w:val="17"/>
          <w:szCs w:val="17"/>
          <w:color w:val="auto"/>
        </w:rPr>
        <w:t>”), and to the extent such payment will not be subject to the additional tax imposed under Section 409A. In the event that the immediately preceding sentence prevents the payment of any Deferred Payments, then such Deferred Payments will be paid at the time and in the form that would have applied absent such event that fails to constitute a 409A-Conforming Event. For clarity, this Section 6(c) does not affect the value or dollar amount payable, or prohibit the vesting of Deferred Payments, including without limitation in connection with a merger of the Company with or into another corporation or other entity, a Change in Control, Participant’s disability or termination, or pursuant to Section 6(b) above. If the Restricted Stock Units otherwise would be exempt from Section 409A pursuant to U.S. Treasury Regulation Section 1.409A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1(b)(9), any such Restricted Stock Units that vest in connection with the termination of Participant’s employment (or other service,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-7230745</wp:posOffset>
            </wp:positionV>
            <wp:extent cx="1727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1727835"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-6823075</wp:posOffset>
            </wp:positionV>
            <wp:extent cx="15386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1538605"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-6280150</wp:posOffset>
            </wp:positionV>
            <wp:extent cx="14598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1459865"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-5601970</wp:posOffset>
            </wp:positionV>
            <wp:extent cx="8928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89281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-4652010</wp:posOffset>
            </wp:positionV>
            <wp:extent cx="11430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114300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-4380230</wp:posOffset>
            </wp:positionV>
            <wp:extent cx="712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2470" cy="82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-3023235</wp:posOffset>
            </wp:positionV>
            <wp:extent cx="12401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1240155"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-2480310</wp:posOffset>
            </wp:positionV>
            <wp:extent cx="7315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31520" cy="8255"/>
                    </a:xfrm>
                    <a:prstGeom prst="rect">
                      <a:avLst/>
                    </a:prstGeom>
                    <a:noFill/>
                  </pic:spPr>
                </pic:pic>
              </a:graphicData>
            </a:graphic>
          </wp:anchor>
        </w:drawing>
      </w:r>
    </w:p>
    <w:p>
      <w:pPr>
        <w:sectPr>
          <w:pgSz w:w="11900" w:h="16838" w:orient="portrait"/>
          <w:cols w:equalWidth="0" w:num="1">
            <w:col w:w="11233"/>
          </w:cols>
          <w:pgMar w:left="327" w:top="121" w:right="339" w:bottom="0" w:gutter="0" w:footer="0" w:header="0"/>
        </w:sectPr>
      </w:pPr>
    </w:p>
    <w:bookmarkStart w:id="13" w:name="page14"/>
    <w:bookmarkEnd w:id="13"/>
    <w:p>
      <w:pPr>
        <w:ind w:right="100"/>
        <w:spacing w:after="0" w:line="270" w:lineRule="auto"/>
        <w:rPr>
          <w:sz w:val="20"/>
          <w:szCs w:val="20"/>
          <w:color w:val="auto"/>
        </w:rPr>
      </w:pPr>
      <w:r>
        <w:rPr>
          <w:rFonts w:ascii="Times New Roman" w:cs="Times New Roman" w:eastAsia="Times New Roman" w:hAnsi="Times New Roman"/>
          <w:sz w:val="17"/>
          <w:szCs w:val="17"/>
          <w:color w:val="auto"/>
        </w:rPr>
        <w:t>will not be payable until Participant has a separation from service within the meaning of Section 409A. Except as otherwise provided in a written agreement between the Company and Participant authorized by the Administrator providing for payment in compliance with U.S. Treasury Regulation Section</w:t>
      </w:r>
    </w:p>
    <w:p>
      <w:pPr>
        <w:spacing w:after="0" w:line="1" w:lineRule="exact"/>
        <w:rPr>
          <w:sz w:val="20"/>
          <w:szCs w:val="20"/>
          <w:color w:val="auto"/>
        </w:rPr>
      </w:pPr>
    </w:p>
    <w:p>
      <w:pPr>
        <w:ind w:right="100"/>
        <w:spacing w:after="0" w:line="216" w:lineRule="exact"/>
        <w:rPr>
          <w:sz w:val="20"/>
          <w:szCs w:val="20"/>
          <w:color w:val="auto"/>
        </w:rPr>
      </w:pPr>
      <w:r>
        <w:rPr>
          <w:rFonts w:ascii="Times New Roman" w:cs="Times New Roman" w:eastAsia="Times New Roman" w:hAnsi="Times New Roman"/>
          <w:sz w:val="18"/>
          <w:szCs w:val="18"/>
          <w:color w:val="auto"/>
        </w:rPr>
        <w:t>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3(b) (in which case, for clarity, such provisions shall govern), Restricted Stock Units that become payable by reason of the occurrence of a 409A-Conforming Event will be settled no later than seventy four (74) days following the applicable 409A-Conforming Event, subject to the following under this subsection (ii). Notwithstanding any provisions to the contrary in this Award Agreement or any other agreement (whether entered into before, on or after the Date of Grant), if any Deferred Payments become payable upon a separation from service within the meaning of Section 409A, other than due to Participant’s death, and if (x) Participant is a “specified employee” within the meaning of Section 409A at the time of such separation from service and (y) the payment of such Deferred Payments will result in the imposition of additional tax under Section 409A if paid to Participant within the six (6) month period following the separation from service, then the payment of such Deferred Payments will not be made until the date six (6) months and one (1) day following the date of Participant’s separation from service, unless Participant dies following such separation, in which case, the Deferred Payments will be paid to Participant’s estate as soon as practicable following Participant’s death. To the extent that Participant is not a “specified employee” but Participant’s separation from service occurs at a time during the year whereby the deadline date for any separation agreement and release of claims (or similar agreement or release) to become effective and irrevocable will occur in the year immediately following the year in which the separation from service occurs, then any Deferred Payments that otherwise would be payable prior to such deadline date will be paid without applying the delay set forth in the immediately preceding sentence, but will be paid in the year immediately following the year in which the separation from service occurs. Subject to compliance with the applicable requirements under Section 409A, the Administrator in its sole discretion will be permitted to make any accelerated payment of Deferred Payments pursuant to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3(j)(4).</w:t>
      </w:r>
    </w:p>
    <w:p>
      <w:pPr>
        <w:spacing w:after="0" w:line="172" w:lineRule="exact"/>
        <w:rPr>
          <w:sz w:val="20"/>
          <w:szCs w:val="20"/>
          <w:color w:val="auto"/>
        </w:rPr>
      </w:pPr>
    </w:p>
    <w:p>
      <w:pPr>
        <w:ind w:firstLine="2251"/>
        <w:spacing w:after="0" w:line="216" w:lineRule="exact"/>
        <w:tabs>
          <w:tab w:leader="none" w:pos="2689"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2(b)(2). To the extent necessary to comply with Section 409A, references to termination of Participant’s status as an employee, termination of employment, or similar phrases will be references to Participant’s “separation from service” within the meaning of Section 409A. In no event will the Company, any Service Recipient (as defined below) or any Parent, Subsidiary, or Affiliate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96" w:lineRule="exact"/>
        <w:rPr>
          <w:rFonts w:ascii="Times New Roman" w:cs="Times New Roman" w:eastAsia="Times New Roman" w:hAnsi="Times New Roman"/>
          <w:sz w:val="18"/>
          <w:szCs w:val="18"/>
          <w:color w:val="auto"/>
        </w:rPr>
      </w:pPr>
    </w:p>
    <w:p>
      <w:pPr>
        <w:ind w:right="20" w:firstLine="648"/>
        <w:spacing w:after="0" w:line="277" w:lineRule="auto"/>
        <w:tabs>
          <w:tab w:leader="none" w:pos="95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With respect to this Award, until the Shares are issued (as evidenced by the appropriate entry on the books of the Company or a duly authorized transfer agent of the Company), no right to receive dividends or any other rights as a stockholder will exist with respect to the Shares subject to this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this Award.</w:t>
      </w:r>
    </w:p>
    <w:p>
      <w:pPr>
        <w:spacing w:after="0" w:line="166" w:lineRule="exact"/>
        <w:rPr>
          <w:rFonts w:ascii="Times New Roman" w:cs="Times New Roman" w:eastAsia="Times New Roman" w:hAnsi="Times New Roman"/>
          <w:sz w:val="17"/>
          <w:szCs w:val="17"/>
          <w:color w:val="auto"/>
        </w:rPr>
      </w:pPr>
    </w:p>
    <w:p>
      <w:pPr>
        <w:ind w:right="300" w:firstLine="648"/>
        <w:spacing w:after="0" w:line="285" w:lineRule="auto"/>
        <w:tabs>
          <w:tab w:leader="none" w:pos="95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Leaves of Absence/Transfer Between Locations. Unless the Administrator provides otherwise or as otherwise required by Applicable Laws, vesting of the Award will be suspended during any unpaid leave of absence. Participant will not cease to be an Employee in the case of (a) any leave of absence approved by the Company or (b) transfers between locations of, or between, the Company or any Subsidiary, Parent or Affiliate of the Company.</w:t>
      </w:r>
    </w:p>
    <w:p>
      <w:pPr>
        <w:spacing w:after="0" w:line="158" w:lineRule="exact"/>
        <w:rPr>
          <w:rFonts w:ascii="Times New Roman" w:cs="Times New Roman" w:eastAsia="Times New Roman" w:hAnsi="Times New Roman"/>
          <w:sz w:val="17"/>
          <w:szCs w:val="17"/>
          <w:color w:val="auto"/>
        </w:rPr>
      </w:pPr>
    </w:p>
    <w:p>
      <w:pPr>
        <w:ind w:right="60" w:firstLine="648"/>
        <w:spacing w:after="0" w:line="255" w:lineRule="auto"/>
        <w:tabs>
          <w:tab w:leader="none" w:pos="9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Upon Termination of Status as a Service Provider. Unless specifically provided otherwise in this Award Agreement or other written agreement authorized by the Administrator between Participant and the Company or any of its Subsidiaries or Parents, as applicable, governing the terms of this Award, if Participant ceases to be a Service Provider for any reason, the then-unvested Restricted Stock Units awarded by this Award Agreement will thereupon be forfeited at no cost to the Company upon the date of such cessation and Participant will have no further rights to such Restricted Stock Units or the Shares thereunder.</w:t>
      </w:r>
    </w:p>
    <w:p>
      <w:pPr>
        <w:spacing w:after="0" w:line="182" w:lineRule="exact"/>
        <w:rPr>
          <w:rFonts w:ascii="Times New Roman" w:cs="Times New Roman" w:eastAsia="Times New Roman" w:hAnsi="Times New Roman"/>
          <w:sz w:val="18"/>
          <w:szCs w:val="18"/>
          <w:color w:val="auto"/>
        </w:rPr>
      </w:pPr>
    </w:p>
    <w:p>
      <w:pPr>
        <w:ind w:right="180" w:firstLine="648"/>
        <w:spacing w:after="0" w:line="257" w:lineRule="auto"/>
        <w:tabs>
          <w:tab w:leader="none" w:pos="10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of Participant.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such transferee’s status as transferee, and (b) evidence satisfactory to the Company to establish the validity of the transfer and compliance with any laws or regulations pertaining to said transfer.</w:t>
      </w:r>
    </w:p>
    <w:p>
      <w:pPr>
        <w:spacing w:after="0" w:line="182"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Obligations.</w:t>
      </w:r>
    </w:p>
    <w:p>
      <w:pPr>
        <w:spacing w:after="0" w:line="220" w:lineRule="exact"/>
        <w:rPr>
          <w:rFonts w:ascii="Times New Roman" w:cs="Times New Roman" w:eastAsia="Times New Roman" w:hAnsi="Times New Roman"/>
          <w:sz w:val="18"/>
          <w:szCs w:val="18"/>
          <w:color w:val="auto"/>
        </w:rPr>
      </w:pPr>
    </w:p>
    <w:p>
      <w:pPr>
        <w:ind w:right="20" w:firstLine="1289"/>
        <w:spacing w:after="0" w:line="251" w:lineRule="auto"/>
        <w:tabs>
          <w:tab w:leader="none" w:pos="16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Requirements. Prior to the delivery of any Shares or cash pursuant to the Award or such earlier time as any tax withholdings are due, the Company (or any of its Parents, Subsidiaries or other affiliates employing or retaining the services of Participant, as applicable) will have the power and the right to deduct or withhold, or require Participant to remit to the Company (or any of its Parents, Subsidiaries, or other affiliates, as applicable) or a relevant tax authority, an amount sufficient to satisfy U.S. federal, state, local, non-U.S. and other taxes (including Participant’s FICA or other social insurance contribution obligation) required to be withheld or paid with respect to the Award. The amount of the withholding obligation will be deemed to include any amount that the Administrator agrees may be withheld at the time the election is made, not to exceed the amount determined by using the maximum U.S. federal, state or local rates applicable to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86" w:lineRule="exact"/>
        <w:rPr>
          <w:rFonts w:ascii="Times New Roman" w:cs="Times New Roman" w:eastAsia="Times New Roman" w:hAnsi="Times New Roman"/>
          <w:sz w:val="18"/>
          <w:szCs w:val="18"/>
          <w:color w:val="auto"/>
        </w:rPr>
      </w:pPr>
    </w:p>
    <w:p>
      <w:pPr>
        <w:ind w:firstLine="1289"/>
        <w:spacing w:after="0" w:line="265" w:lineRule="auto"/>
        <w:tabs>
          <w:tab w:leader="none" w:pos="1668"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Responsibility for Taxes. Participant acknowledges that, regardless of any action taken by the Company or, if different, Participant’s employer or any Parent, Subsidiary, or Affiliate of the Company to which Participant is providing services (together, the “Service Recipient(s)”), the ultimate liability for any tax and social insurance liability obligations and requirements in connection with the Restricted Stock Units, including, without limitation, (i) all federal, national, state, non-U.S. and local taxes (including Participant’s U.S. Federal Insurance Contributions Act (FICA) obligations and social liability insurance obligations) that are required to be withheld by any Service Recipient or other payment of tax-related items related to Participant’s participation in this Award Agreement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the vesting or settlement thereof or issuance of Shares thereunder) (collectively, the “</w:t>
      </w:r>
      <w:r>
        <w:rPr>
          <w:rFonts w:ascii="Times New Roman" w:cs="Times New Roman" w:eastAsia="Times New Roman" w:hAnsi="Times New Roman"/>
          <w:sz w:val="17"/>
          <w:szCs w:val="17"/>
          <w:b w:val="1"/>
          <w:bCs w:val="1"/>
          <w:color w:val="auto"/>
        </w:rPr>
        <w:t>Tax Obligations</w:t>
      </w:r>
      <w:r>
        <w:rPr>
          <w:rFonts w:ascii="Times New Roman" w:cs="Times New Roman" w:eastAsia="Times New Roman" w:hAnsi="Times New Roman"/>
          <w:sz w:val="17"/>
          <w:szCs w:val="17"/>
          <w:color w:val="auto"/>
        </w:rPr>
        <w:t>”), are and remain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dividend equivalents, or other distributions, or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Participant acknowledges that the applicable Service Recipient(s) (or former Service Recipient(s), as applicable) may be required to withhold or account for Withholding Obligations (as defined below)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-6549390</wp:posOffset>
            </wp:positionV>
            <wp:extent cx="5778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577850" cy="8255"/>
                    </a:xfrm>
                    <a:prstGeom prst="rect">
                      <a:avLst/>
                    </a:prstGeom>
                    <a:noFill/>
                  </pic:spPr>
                </pic:pic>
              </a:graphicData>
            </a:graphic>
          </wp:anchor>
        </w:drawing>
        <w:drawing>
          <wp:anchor simplePos="0" relativeHeight="251657728" behindDoc="1" locked="0" layoutInCell="0" allowOverlap="1">
            <wp:simplePos x="0" y="0"/>
            <wp:positionH relativeFrom="column">
              <wp:posOffset>495935</wp:posOffset>
            </wp:positionH>
            <wp:positionV relativeFrom="paragraph">
              <wp:posOffset>-5870575</wp:posOffset>
            </wp:positionV>
            <wp:extent cx="22815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2281555" cy="8255"/>
                    </a:xfrm>
                    <a:prstGeom prst="rect">
                      <a:avLst/>
                    </a:prstGeom>
                    <a:noFill/>
                  </pic:spPr>
                </pic:pic>
              </a:graphicData>
            </a:graphic>
          </wp:anchor>
        </w:drawing>
        <w:drawing>
          <wp:anchor simplePos="0" relativeHeight="251657728" behindDoc="1" locked="0" layoutInCell="0" allowOverlap="1">
            <wp:simplePos x="0" y="0"/>
            <wp:positionH relativeFrom="column">
              <wp:posOffset>495935</wp:posOffset>
            </wp:positionH>
            <wp:positionV relativeFrom="paragraph">
              <wp:posOffset>-5327650</wp:posOffset>
            </wp:positionV>
            <wp:extent cx="28365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283654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-4513580</wp:posOffset>
            </wp:positionV>
            <wp:extent cx="10236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102362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-3834765</wp:posOffset>
            </wp:positionV>
            <wp:extent cx="8343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83439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-3563620</wp:posOffset>
            </wp:positionV>
            <wp:extent cx="13341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1334135"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-2070735</wp:posOffset>
            </wp:positionV>
            <wp:extent cx="12166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4" w:name="page15"/>
    <w:bookmarkEnd w:id="14"/>
    <w:p>
      <w:pPr>
        <w:ind w:left="-648" w:firstLine="1289"/>
        <w:spacing w:after="0" w:line="248" w:lineRule="auto"/>
        <w:tabs>
          <w:tab w:leader="none" w:pos="100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Withholding. Pursuant to such procedures as the Administrator may specify from time to time, the applicable Service Recipient(s) (or former Service Recipient(s)) will withhold the amount required to be withheld for the payment of Tax Obligations (the “</w:t>
      </w:r>
      <w:r>
        <w:rPr>
          <w:rFonts w:ascii="Times New Roman" w:cs="Times New Roman" w:eastAsia="Times New Roman" w:hAnsi="Times New Roman"/>
          <w:sz w:val="18"/>
          <w:szCs w:val="18"/>
          <w:b w:val="1"/>
          <w:bCs w:val="1"/>
          <w:color w:val="auto"/>
        </w:rPr>
        <w:t>Withholding Obligations</w:t>
      </w:r>
      <w:r>
        <w:rPr>
          <w:rFonts w:ascii="Times New Roman" w:cs="Times New Roman" w:eastAsia="Times New Roman" w:hAnsi="Times New Roman"/>
          <w:sz w:val="18"/>
          <w:szCs w:val="18"/>
          <w:color w:val="auto"/>
        </w:rPr>
        <w:t>”) which, to the extent permitted under this Award Agreement, may, in the discretion of the Administrator, be in excess of the minimum statutory required amount to be withheld, upon each date with respect to which the Administrator determines Withholding Obligations are due, including but not limited to, at grant, vesting, settlement or any other date with respect to which Withholding Obligations arise. The Administrator, in its sole discretion and pursuant to such procedures as it may specify from time to time, may permit or require Participant to satisfy such Withholding Obligations, in whole or in part (without limitation), if permissible by Applicable Laws, by one or a combination of the following: (i) paying cash, (ii) having the Company withhold otherwise deliverable Shares having a fair market value equal to the minimum amount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18"/>
          <w:szCs w:val="18"/>
          <w:b w:val="1"/>
          <w:bCs w:val="1"/>
          <w:color w:val="auto"/>
        </w:rPr>
        <w:t>Net Share Withholding</w:t>
      </w:r>
      <w:r>
        <w:rPr>
          <w:rFonts w:ascii="Times New Roman" w:cs="Times New Roman" w:eastAsia="Times New Roman" w:hAnsi="Times New Roman"/>
          <w:sz w:val="18"/>
          <w:szCs w:val="18"/>
          <w:color w:val="auto"/>
        </w:rPr>
        <w:t>”), (iii) withholding the amount of such Withholding Obligations from Participant’s wages or other cash compensation paid to Participant by the applicable Service Recipient(s) (or former Service Recipient(s)), (iv) delivering to the Company Shares that Participant owns and that already have vested with a fair market value equal to the Withholding Obligations (or such greater amount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necessary to meet the withholding requirement for such Withholding Obligations (or such greater amount as Participant may elect or the Company may require, if permitted by the Administrator and if such greater amount would not result in adverse financial accounting consequences) (“</w:t>
      </w:r>
      <w:r>
        <w:rPr>
          <w:rFonts w:ascii="Times New Roman" w:cs="Times New Roman" w:eastAsia="Times New Roman" w:hAnsi="Times New Roman"/>
          <w:sz w:val="18"/>
          <w:szCs w:val="18"/>
          <w:b w:val="1"/>
          <w:bCs w:val="1"/>
          <w:color w:val="auto"/>
        </w:rPr>
        <w:t>Sell to Cover</w:t>
      </w:r>
      <w:r>
        <w:rPr>
          <w:rFonts w:ascii="Times New Roman" w:cs="Times New Roman" w:eastAsia="Times New Roman" w:hAnsi="Times New Roman"/>
          <w:sz w:val="18"/>
          <w:szCs w:val="18"/>
          <w:color w:val="auto"/>
        </w:rPr>
        <w:t xml:space="preserve">”), or (vi) such other means as the Administrator deems appropriate. If the Withholding Obligations are satisfied by withholding in Shares, for tax purposes, Participant is deemed to have been issued the full number of Shares subject to the vested Restricted Stock Units,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 Until and unless determined otherwise by the Administrator, Sell to Cover will be the method by which such Withholding Obligations are satisfied. </w:t>
      </w:r>
      <w:r>
        <w:rPr>
          <w:rFonts w:ascii="Times New Roman" w:cs="Times New Roman" w:eastAsia="Times New Roman" w:hAnsi="Times New Roman"/>
          <w:sz w:val="18"/>
          <w:szCs w:val="18"/>
          <w:b w:val="1"/>
          <w:bCs w:val="1"/>
          <w:color w:val="auto"/>
        </w:rPr>
        <w:t>For purposes of clarity and 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limitation, by accepting this Award, Participant expressly consents to such Sell to Cover as the method by which Withholding Obligations are satisfied and agrees and acknowledges that Participant may not satisfy them by any means other than such Sell to Cover, unless required to do so by the Administrator or pursuant to the Administrator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express consent.</w:t>
      </w:r>
    </w:p>
    <w:p>
      <w:pPr>
        <w:spacing w:after="0" w:line="209" w:lineRule="exact"/>
        <w:rPr>
          <w:rFonts w:ascii="Times New Roman" w:cs="Times New Roman" w:eastAsia="Times New Roman" w:hAnsi="Times New Roman"/>
          <w:sz w:val="18"/>
          <w:szCs w:val="18"/>
          <w:color w:val="auto"/>
        </w:rPr>
      </w:pPr>
    </w:p>
    <w:p>
      <w:pPr>
        <w:ind w:left="-648" w:right="140" w:firstLine="1289"/>
        <w:spacing w:after="0" w:line="255" w:lineRule="auto"/>
        <w:tabs>
          <w:tab w:leader="none" w:pos="101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Participant has reviewed with Participant’s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82" w:lineRule="exact"/>
        <w:rPr>
          <w:rFonts w:ascii="Times New Roman" w:cs="Times New Roman" w:eastAsia="Times New Roman" w:hAnsi="Times New Roman"/>
          <w:sz w:val="18"/>
          <w:szCs w:val="18"/>
          <w:color w:val="auto"/>
        </w:rPr>
      </w:pPr>
    </w:p>
    <w:p>
      <w:pPr>
        <w:ind w:left="-648" w:right="20" w:firstLine="1289"/>
        <w:spacing w:after="0" w:line="252" w:lineRule="auto"/>
        <w:tabs>
          <w:tab w:leader="none" w:pos="10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Obligation to Deliver Shares. For clarification purposes, in no event will the Company 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Restricted Stock Units otherwise are scheduled to vest pursuant to Sections 5 or 6 or Participant’s Withholding Obligations otherwise become due, Participant permanently will forfeit such Restricted Stock Units to which Participant’s Withholding Obligation relates and any right to receive Shares thereunder and such Restricted Stock Units will be returned to the Company at no cost to the Company. Participant acknowledges and agrees that the Company may permanently refuse to issue or deliver the Shares if such Withholding Obligations are not delivered at the time they are due.</w:t>
      </w:r>
    </w:p>
    <w:p>
      <w:pPr>
        <w:spacing w:after="0" w:line="188" w:lineRule="exact"/>
        <w:rPr>
          <w:rFonts w:ascii="Times New Roman" w:cs="Times New Roman" w:eastAsia="Times New Roman" w:hAnsi="Times New Roman"/>
          <w:sz w:val="18"/>
          <w:szCs w:val="18"/>
          <w:color w:val="auto"/>
        </w:rPr>
      </w:pPr>
    </w:p>
    <w:p>
      <w:pPr>
        <w:ind w:left="-648" w:right="20" w:firstLine="648"/>
        <w:spacing w:after="0" w:line="250" w:lineRule="auto"/>
        <w:tabs>
          <w:tab w:leader="none" w:pos="3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Events. Notwithstanding any provisions to the contrary under this Award Agreement, the Award will be subject to reduction, cancellation, forfeiture, recoupment, reimbursement or reacquisition upon the occurrence of certain specified events, in addition to any otherwise applicable vesting conditions of the Award. Such events may include, without limitation, termination of Participant’s status as an employee or other service provider for cause or any specified action or inaction by Participant, whether before or after such termination of employment or other service, that would constitute cause for termination of Participant’s status as an employee or other service provider. The Award will be subject to reduction, cancellation, forfeiture, recoupment, reimbursement or reacquisition under any Company clawback policy that may be in effect at grant and any other clawback policy that the Company is required to adopt to comply with Applicable Laws, including without limitation pursuant to the listing standards of any national securities exchange or association on which the Company’s securities are listed or otherwise required by the Dodd-Frank Wall Street Reform and Consumer Protection Act (collectively,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The Administrator may require Participant to forfeit, return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12 specifically is mentioned and waived in a document, no recovery of compensation under a Clawback Policy or otherwise will constitute an event that triggers or contributes to any right of a Participant to resign for “good reason” or “constructive termination” (or similar term) under any agreement with the Company or any Subsidiary, Parent or Affiliate of the Company.</w:t>
      </w:r>
    </w:p>
    <w:p>
      <w:pPr>
        <w:spacing w:after="0" w:line="187" w:lineRule="exact"/>
        <w:rPr>
          <w:rFonts w:ascii="Times New Roman" w:cs="Times New Roman" w:eastAsia="Times New Roman" w:hAnsi="Times New Roman"/>
          <w:sz w:val="18"/>
          <w:szCs w:val="18"/>
          <w:color w:val="auto"/>
        </w:rPr>
      </w:pPr>
    </w:p>
    <w:p>
      <w:pPr>
        <w:ind w:left="-648" w:right="60" w:firstLine="648"/>
        <w:spacing w:after="0" w:line="255" w:lineRule="auto"/>
        <w:tabs>
          <w:tab w:leader="none" w:pos="3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as Stockholder.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2" w:lineRule="exact"/>
        <w:rPr>
          <w:rFonts w:ascii="Times New Roman" w:cs="Times New Roman" w:eastAsia="Times New Roman" w:hAnsi="Times New Roman"/>
          <w:sz w:val="18"/>
          <w:szCs w:val="18"/>
          <w:color w:val="auto"/>
        </w:rPr>
      </w:pPr>
    </w:p>
    <w:p>
      <w:pPr>
        <w:ind w:left="-648" w:right="20" w:firstLine="648"/>
        <w:spacing w:after="0" w:line="251" w:lineRule="auto"/>
        <w:tabs>
          <w:tab w:leader="none" w:pos="3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Guarantee of Continued Service. PARTICIPANT ACKNOWLEDGES AND AGREES THAT THE VESTING 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-10209530</wp:posOffset>
            </wp:positionV>
            <wp:extent cx="8743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-6002020</wp:posOffset>
            </wp:positionV>
            <wp:extent cx="9537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953770"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-5187950</wp:posOffset>
            </wp:positionV>
            <wp:extent cx="19589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195897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-4102100</wp:posOffset>
            </wp:positionV>
            <wp:extent cx="901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90106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-2066290</wp:posOffset>
            </wp:positionV>
            <wp:extent cx="11055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-1252220</wp:posOffset>
            </wp:positionV>
            <wp:extent cx="17329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ectPr>
          <w:pgSz w:w="11900" w:h="16838" w:orient="portrait"/>
          <w:cols w:equalWidth="0" w:num="1">
            <w:col w:w="10592"/>
          </w:cols>
          <w:pgMar w:left="968" w:top="335" w:right="339" w:bottom="0" w:gutter="0" w:footer="0" w:header="0"/>
        </w:sectPr>
      </w:pPr>
    </w:p>
    <w:bookmarkStart w:id="15" w:name="page16"/>
    <w:bookmarkEnd w:id="15"/>
    <w:p>
      <w:pPr>
        <w:spacing w:after="0" w:line="15" w:lineRule="exact"/>
        <w:rPr>
          <w:sz w:val="20"/>
          <w:szCs w:val="20"/>
          <w:color w:val="auto"/>
        </w:rPr>
      </w:pPr>
    </w:p>
    <w:p>
      <w:pPr>
        <w:ind w:left="1040" w:hanging="392"/>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Dissolution or Liquidation; Merger or Change in Control.</w:t>
      </w:r>
    </w:p>
    <w:p>
      <w:pPr>
        <w:spacing w:after="0" w:line="220" w:lineRule="exact"/>
        <w:rPr>
          <w:rFonts w:ascii="Times New Roman" w:cs="Times New Roman" w:eastAsia="Times New Roman" w:hAnsi="Times New Roman"/>
          <w:sz w:val="18"/>
          <w:szCs w:val="18"/>
          <w:color w:val="auto"/>
        </w:rPr>
      </w:pPr>
    </w:p>
    <w:p>
      <w:pPr>
        <w:ind w:right="100" w:firstLine="1289"/>
        <w:spacing w:after="0" w:line="252" w:lineRule="auto"/>
        <w:tabs>
          <w:tab w:leader="none" w:pos="16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Award Agreement, will adjust the number and class of shares of stock covered by the Award. Notwithstanding the foregoing, the Company will have no obligation to effect any adjustment in a manner that may require the issuance of fractional Shares, and any fractional Shares resulting from any adjustment may be disregarded or provided for in any manner determined by the Administrator, in its sole discretion, subject to any Applicable Laws.</w:t>
      </w:r>
    </w:p>
    <w:p>
      <w:pPr>
        <w:spacing w:after="0" w:line="184" w:lineRule="exact"/>
        <w:rPr>
          <w:rFonts w:ascii="Times New Roman" w:cs="Times New Roman" w:eastAsia="Times New Roman" w:hAnsi="Times New Roman"/>
          <w:sz w:val="18"/>
          <w:szCs w:val="18"/>
          <w:color w:val="auto"/>
        </w:rPr>
      </w:pPr>
    </w:p>
    <w:p>
      <w:pPr>
        <w:ind w:right="40" w:firstLine="1289"/>
        <w:spacing w:after="0" w:line="262" w:lineRule="auto"/>
        <w:tabs>
          <w:tab w:leader="none" w:pos="16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or Liquidation. In the event of the proposed dissolution or liquidation of the Company, the Administrator will notify Participant as soon as practicable prior to the effective date of such proposed transaction. Unless provided otherwise by the Administrator, to the extent it has not been previously settled, the Award will terminate immediately prior to the consummation of such proposed action.</w:t>
      </w:r>
    </w:p>
    <w:p>
      <w:pPr>
        <w:spacing w:after="0" w:line="177" w:lineRule="exact"/>
        <w:rPr>
          <w:rFonts w:ascii="Times New Roman" w:cs="Times New Roman" w:eastAsia="Times New Roman" w:hAnsi="Times New Roman"/>
          <w:sz w:val="18"/>
          <w:szCs w:val="18"/>
          <w:color w:val="auto"/>
        </w:rPr>
      </w:pPr>
    </w:p>
    <w:p>
      <w:pPr>
        <w:ind w:firstLine="1289"/>
        <w:spacing w:after="0" w:line="250" w:lineRule="auto"/>
        <w:tabs>
          <w:tab w:leader="none" w:pos="165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or Change in Control. In the event of a merger of the Company with or into another corporation or other entity or a Change in Control, the Award will be treated as the Administrator determines (subject to the provisions of the following paragraph) without Participant’s consent, which may include, without limitation, that the Award will be: (i) assumed, or a substantially equivalent award(s) will be substituted, by the acquiring or succeeding entity (or an affiliate thereof) with appropriate adjustments as to the number and kind of shares; (ii) continued by the Company, subject to any adjustment pursuant to Section 15(a); (iii) upon written notice to Participant, terminate upon or immediately prior to the consummation of such merger or Change in Control; (iv) vest and become payable in whole or in part prior to or upon consummation of such merger or Change in Control, and, to the extent the Administrator determines, terminate upon or immediately prior to the effectiveness of such merger or Change in Control; (v) (A) terminated in exchange for an amount of cash and/or property, if any, equal to the amount that would have been attained upon the realization of Participant’s rights under this Award Agreement as of the date of the occurrence of the transaction (and, for purposes of clarity, if as of the date of the occurrence of the transaction the Administrator determines in good faith that no amount would have been attained upon the realization of Participant’s rights, then the Award will be terminated by the Company without payment), or (B) replaced with other rights or property selected by the Administrator in its sole discretion; or (vi) treated in any combination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-3556000</wp:posOffset>
            </wp:positionV>
            <wp:extent cx="33140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331406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-3284855</wp:posOffset>
            </wp:positionV>
            <wp:extent cx="6781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678180"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-2063115</wp:posOffset>
            </wp:positionV>
            <wp:extent cx="13125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131254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-1520190</wp:posOffset>
            </wp:positionV>
            <wp:extent cx="14293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1429385" cy="8255"/>
                    </a:xfrm>
                    <a:prstGeom prst="rect">
                      <a:avLst/>
                    </a:prstGeom>
                    <a:noFill/>
                  </pic:spPr>
                </pic:pic>
              </a:graphicData>
            </a:graphic>
          </wp:anchor>
        </w:drawing>
      </w:r>
    </w:p>
    <w:p>
      <w:pPr>
        <w:spacing w:after="0" w:line="171"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In the event that the successor (or an affiliate thereof) does not assume the Award (or portion thereof) pursuant to the preceding clause (i) and as described below, or substitute for the Award (or portion thereof) pursuant to the preceding clause (i), and the Company does not continue the Award (or portion thereof) as described above, all restrictions on the Restricted Stock Units under the Award (or portion thereof) not so assumed, substituted for, or continued will lapse and all other terms and conditions will be deemed met, in each case, unless specifically provided otherwise under this Award Agreement or other written agreement authorized by the Administrator between Participant and the Company or any of its Subsidiaries, Parents or Affiliates, as applicable.</w:t>
      </w:r>
    </w:p>
    <w:p>
      <w:pPr>
        <w:spacing w:after="0" w:line="187" w:lineRule="exact"/>
        <w:rPr>
          <w:sz w:val="20"/>
          <w:szCs w:val="20"/>
          <w:color w:val="auto"/>
        </w:rPr>
      </w:pPr>
    </w:p>
    <w:p>
      <w:pPr>
        <w:jc w:val="both"/>
        <w:ind w:firstLine="1282"/>
        <w:spacing w:after="0" w:line="252" w:lineRule="auto"/>
        <w:rPr>
          <w:sz w:val="20"/>
          <w:szCs w:val="20"/>
          <w:color w:val="auto"/>
        </w:rPr>
      </w:pPr>
      <w:r>
        <w:rPr>
          <w:rFonts w:ascii="Times New Roman" w:cs="Times New Roman" w:eastAsia="Times New Roman" w:hAnsi="Times New Roman"/>
          <w:sz w:val="18"/>
          <w:szCs w:val="18"/>
          <w:color w:val="auto"/>
        </w:rPr>
        <w:t>For the purposes of this Section 15(c), the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or its Parent, the Administrator may, with the consent of the successor, provide for the consideration to be received upon the payout of each Restricted Stock Unit subject to the Award to be solely common stock of the successor or its Parent equal in fair market value to the per share consideration received by holders of Common Stock in the merger or Change in Control.</w:t>
      </w:r>
    </w:p>
    <w:p>
      <w:pPr>
        <w:spacing w:after="0" w:line="185"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Notwithstanding anything in this Section 15(c) to the contrary, and unless otherwise provided in this Award Agreement or other written agreement authorized by the Administrator between Participant and the Company or any of its Subsidiaries, Parents or Affiliates, as applicable, if a payment under this Award Agreement is subject to Section 409A and if the change in control definition contained in this Award Agreement (or other agreement related to the Award, as applicable) does not comply with the definition of “change in control” for purposes of a distribution under Section 409A, then any payment of an amount that otherwise would be accelerated under this Section will be delayed until the earliest time that such payment would be permissible under Section 409A without triggering any penalties thereunder.</w:t>
      </w:r>
    </w:p>
    <w:p>
      <w:pPr>
        <w:spacing w:after="0" w:line="187" w:lineRule="exact"/>
        <w:rPr>
          <w:sz w:val="20"/>
          <w:szCs w:val="20"/>
          <w:color w:val="auto"/>
        </w:rPr>
      </w:pPr>
    </w:p>
    <w:p>
      <w:pPr>
        <w:ind w:right="120" w:firstLine="648"/>
        <w:spacing w:after="0" w:line="255" w:lineRule="auto"/>
        <w:tabs>
          <w:tab w:leader="none" w:pos="104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is Not Transferable. Except to the limited extent provided in Section 10,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2"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Grant. In accepting this Award of Restricted Stock Units, Participant acknowledges, understands and agrees that:</w:t>
      </w:r>
    </w:p>
    <w:p>
      <w:pPr>
        <w:spacing w:after="0" w:line="220" w:lineRule="exact"/>
        <w:rPr>
          <w:rFonts w:ascii="Times New Roman" w:cs="Times New Roman" w:eastAsia="Times New Roman" w:hAnsi="Times New Roman"/>
          <w:sz w:val="18"/>
          <w:szCs w:val="18"/>
          <w:color w:val="auto"/>
        </w:rPr>
      </w:pPr>
    </w:p>
    <w:p>
      <w:pPr>
        <w:ind w:right="120" w:firstLine="1289"/>
        <w:spacing w:after="0" w:line="277" w:lineRule="auto"/>
        <w:tabs>
          <w:tab w:leader="none" w:pos="165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63" w:lineRule="exact"/>
        <w:rPr>
          <w:rFonts w:ascii="Times New Roman" w:cs="Times New Roman" w:eastAsia="Times New Roman" w:hAnsi="Times New Roman"/>
          <w:sz w:val="18"/>
          <w:szCs w:val="18"/>
          <w:color w:val="auto"/>
        </w:rPr>
      </w:pPr>
    </w:p>
    <w:p>
      <w:pPr>
        <w:ind w:left="1680" w:hanging="391"/>
        <w:spacing w:after="0"/>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Units or other grants, if any, will be at the sole discretion of the Administrator;</w:t>
      </w:r>
    </w:p>
    <w:p>
      <w:pPr>
        <w:spacing w:after="0" w:line="220" w:lineRule="exact"/>
        <w:rPr>
          <w:rFonts w:ascii="Times New Roman" w:cs="Times New Roman" w:eastAsia="Times New Roman" w:hAnsi="Times New Roman"/>
          <w:sz w:val="18"/>
          <w:szCs w:val="18"/>
          <w:color w:val="auto"/>
        </w:rPr>
      </w:pPr>
    </w:p>
    <w:p>
      <w:pPr>
        <w:ind w:left="1660" w:hanging="371"/>
        <w:spacing w:after="0"/>
        <w:tabs>
          <w:tab w:leader="none" w:pos="1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are not intended to replace any pension rights or</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201" w:lineRule="exact"/>
        <w:rPr>
          <w:rFonts w:ascii="Times New Roman" w:cs="Times New Roman" w:eastAsia="Times New Roman" w:hAnsi="Times New Roman"/>
          <w:sz w:val="18"/>
          <w:szCs w:val="18"/>
          <w:color w:val="auto"/>
        </w:rPr>
      </w:pPr>
    </w:p>
    <w:p>
      <w:pPr>
        <w:ind w:right="200" w:firstLine="1289"/>
        <w:spacing w:after="0" w:line="262" w:lineRule="auto"/>
        <w:tabs>
          <w:tab w:leader="none" w:pos="16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77" w:lineRule="exact"/>
        <w:rPr>
          <w:rFonts w:ascii="Times New Roman" w:cs="Times New Roman" w:eastAsia="Times New Roman" w:hAnsi="Times New Roman"/>
          <w:sz w:val="18"/>
          <w:szCs w:val="18"/>
          <w:color w:val="auto"/>
        </w:rPr>
      </w:pPr>
    </w:p>
    <w:p>
      <w:pPr>
        <w:ind w:left="1660" w:hanging="371"/>
        <w:spacing w:after="0"/>
        <w:tabs>
          <w:tab w:leader="none" w:pos="1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Restricted Stock Units is unknown, indeterminable, and cannot be predicted with</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w:t>
      </w:r>
    </w:p>
    <w:p>
      <w:pPr>
        <w:spacing w:after="0" w:line="201" w:lineRule="exact"/>
        <w:rPr>
          <w:rFonts w:ascii="Times New Roman" w:cs="Times New Roman" w:eastAsia="Times New Roman" w:hAnsi="Times New Roman"/>
          <w:sz w:val="18"/>
          <w:szCs w:val="18"/>
          <w:color w:val="auto"/>
        </w:rPr>
      </w:pPr>
    </w:p>
    <w:p>
      <w:pPr>
        <w:ind w:right="120" w:firstLine="1289"/>
        <w:spacing w:after="0" w:line="308" w:lineRule="auto"/>
        <w:tabs>
          <w:tab w:leader="none" w:pos="163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the Restricted Stock Units, Participant’s status as a Service Provider will be considered terminated as of the date Participant is no longer actively providing services to the Company or any Parent, Subsidiary, or Affiliate of the Company (regardless of the reason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-3317875</wp:posOffset>
            </wp:positionV>
            <wp:extent cx="12674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126746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-2503170</wp:posOffset>
            </wp:positionV>
            <wp:extent cx="8286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828675" cy="8255"/>
                    </a:xfrm>
                    <a:prstGeom prst="rect">
                      <a:avLst/>
                    </a:prstGeom>
                    <a:noFill/>
                  </pic:spPr>
                </pic:pic>
              </a:graphicData>
            </a:graphic>
          </wp:anchor>
        </w:drawing>
      </w:r>
    </w:p>
    <w:p>
      <w:pPr>
        <w:sectPr>
          <w:pgSz w:w="11900" w:h="16853" w:orient="portrait"/>
          <w:cols w:equalWidth="0" w:num="1">
            <w:col w:w="11240"/>
          </w:cols>
          <w:pgMar w:left="320" w:top="335" w:right="339" w:bottom="0" w:gutter="0" w:footer="0" w:header="0"/>
        </w:sectPr>
      </w:pPr>
    </w:p>
    <w:bookmarkStart w:id="16" w:name="page17"/>
    <w:bookmarkEnd w:id="16"/>
    <w:p>
      <w:pPr>
        <w:spacing w:after="0" w:line="268" w:lineRule="auto"/>
        <w:rPr>
          <w:sz w:val="20"/>
          <w:szCs w:val="20"/>
          <w:color w:val="auto"/>
        </w:rPr>
      </w:pPr>
      <w:r>
        <w:rPr>
          <w:rFonts w:ascii="Times New Roman" w:cs="Times New Roman" w:eastAsia="Times New Roman" w:hAnsi="Times New Roman"/>
          <w:sz w:val="17"/>
          <w:szCs w:val="17"/>
          <w:color w:val="auto"/>
        </w:rPr>
        <w:t>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 and</w:t>
      </w:r>
    </w:p>
    <w:p>
      <w:pPr>
        <w:spacing w:after="0" w:line="177" w:lineRule="exact"/>
        <w:rPr>
          <w:sz w:val="20"/>
          <w:szCs w:val="20"/>
          <w:color w:val="auto"/>
        </w:rPr>
      </w:pPr>
    </w:p>
    <w:p>
      <w:pPr>
        <w:ind w:right="100" w:firstLine="1289"/>
        <w:spacing w:after="0" w:line="262" w:lineRule="auto"/>
        <w:tabs>
          <w:tab w:leader="none" w:pos="16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w:t>
      </w:r>
    </w:p>
    <w:p>
      <w:pPr>
        <w:spacing w:after="0" w:line="177" w:lineRule="exact"/>
        <w:rPr>
          <w:rFonts w:ascii="Times New Roman" w:cs="Times New Roman" w:eastAsia="Times New Roman" w:hAnsi="Times New Roman"/>
          <w:sz w:val="18"/>
          <w:szCs w:val="18"/>
          <w:color w:val="auto"/>
        </w:rPr>
      </w:pPr>
    </w:p>
    <w:p>
      <w:pPr>
        <w:ind w:right="140" w:firstLine="648"/>
        <w:spacing w:after="0" w:line="257" w:lineRule="auto"/>
        <w:tabs>
          <w:tab w:leader="none" w:pos="10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Advice Regarding Grant. The Company is not providing any tax, legal or financial advice, nor is the Company making any recommendations regarding Participant’s participation in this Award Agreement, or Participant’s acquisition or sale of the Shares underlying the Restricted Stock Units. Participant is hereby advised to consult with Participant’s own personal tax, legal and financial advisers regarding Participant’s participation in this Award Agreement before taking any action related to this Award Agreement.</w:t>
      </w:r>
    </w:p>
    <w:p>
      <w:pPr>
        <w:spacing w:after="0" w:line="182" w:lineRule="exact"/>
        <w:rPr>
          <w:rFonts w:ascii="Times New Roman" w:cs="Times New Roman" w:eastAsia="Times New Roman" w:hAnsi="Times New Roman"/>
          <w:sz w:val="18"/>
          <w:szCs w:val="18"/>
          <w:color w:val="auto"/>
        </w:rPr>
      </w:pPr>
    </w:p>
    <w:p>
      <w:pPr>
        <w:ind w:right="260" w:firstLine="648"/>
        <w:spacing w:after="0" w:line="262" w:lineRule="auto"/>
        <w:tabs>
          <w:tab w:leader="none" w:pos="10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Any notice to be given to the Company under the terms of this Award Agreement will be addressed to the Company at Accuray Incorporated, Attention: Stock Administration, 1240 Deming Way, Madison, WI 53717, or at such other address as the Company may hereafter designate in writing.</w:t>
      </w:r>
    </w:p>
    <w:p>
      <w:pPr>
        <w:spacing w:after="0" w:line="177" w:lineRule="exact"/>
        <w:rPr>
          <w:rFonts w:ascii="Times New Roman" w:cs="Times New Roman" w:eastAsia="Times New Roman" w:hAnsi="Times New Roman"/>
          <w:sz w:val="18"/>
          <w:szCs w:val="18"/>
          <w:color w:val="auto"/>
        </w:rPr>
      </w:pPr>
    </w:p>
    <w:p>
      <w:pPr>
        <w:ind w:right="80" w:firstLine="648"/>
        <w:spacing w:after="0" w:line="253" w:lineRule="auto"/>
        <w:tabs>
          <w:tab w:leader="none" w:pos="10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Restrictions/Market Abuse Laws. In addition to all other restrictions set forth in this Award Agreement, Participant is hereby notified that Participant may be subject to insider trading restrictions or market abuse laws, which may affect Participant’s ability to acquire or sell Shares or rights to Shares under this Award Agreement during such time as Participant is considered to have “inside information” regarding the Company (as defined by Applicable Laws). Any restrictions under these laws or regulations are separate from and in addition to any restrictions that may be imposed under any applicable Company insider trading policy. Participant acknowledges and agrees that it is Participant’s responsibility to comply with any applicable restrictions and Participant is advised to speak to Participant’s personal advisor on this matter.</w:t>
      </w:r>
    </w:p>
    <w:p>
      <w:pPr>
        <w:spacing w:after="0" w:line="186" w:lineRule="exact"/>
        <w:rPr>
          <w:rFonts w:ascii="Times New Roman" w:cs="Times New Roman" w:eastAsia="Times New Roman" w:hAnsi="Times New Roman"/>
          <w:sz w:val="18"/>
          <w:szCs w:val="18"/>
          <w:color w:val="auto"/>
        </w:rPr>
      </w:pPr>
    </w:p>
    <w:p>
      <w:pPr>
        <w:ind w:right="160" w:firstLine="648"/>
        <w:spacing w:after="0" w:line="257" w:lineRule="auto"/>
        <w:tabs>
          <w:tab w:leader="none" w:pos="10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and Assigns.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182"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Upon Issuance of Shares.</w:t>
      </w:r>
    </w:p>
    <w:p>
      <w:pPr>
        <w:spacing w:after="0" w:line="220" w:lineRule="exact"/>
        <w:rPr>
          <w:rFonts w:ascii="Times New Roman" w:cs="Times New Roman" w:eastAsia="Times New Roman" w:hAnsi="Times New Roman"/>
          <w:sz w:val="18"/>
          <w:szCs w:val="18"/>
          <w:color w:val="auto"/>
        </w:rPr>
      </w:pPr>
    </w:p>
    <w:p>
      <w:pPr>
        <w:ind w:right="140" w:firstLine="1289"/>
        <w:spacing w:after="0" w:line="262" w:lineRule="auto"/>
        <w:tabs>
          <w:tab w:leader="none" w:pos="165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Shares will not be issued pursuant to the Award, including without limitation upon vesting thereof, unless the issuance and delivery of such Shares and unless the vesting of the Award will comply with Applicable Laws. If required by the Administrator, issuance will be further subject to the approval of counsel for the Company with respect to such compliance.</w:t>
      </w:r>
    </w:p>
    <w:p>
      <w:pPr>
        <w:spacing w:after="0" w:line="177" w:lineRule="exact"/>
        <w:rPr>
          <w:rFonts w:ascii="Times New Roman" w:cs="Times New Roman" w:eastAsia="Times New Roman" w:hAnsi="Times New Roman"/>
          <w:sz w:val="18"/>
          <w:szCs w:val="18"/>
          <w:color w:val="auto"/>
        </w:rPr>
      </w:pPr>
    </w:p>
    <w:p>
      <w:pPr>
        <w:jc w:val="both"/>
        <w:ind w:right="160" w:firstLine="1289"/>
        <w:spacing w:after="0" w:line="262" w:lineRule="auto"/>
        <w:tabs>
          <w:tab w:leader="none" w:pos="16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Representations. As a condition to the issuance and delivery of Shares pursuant to the Award, the Company may require the person to whom such Shares will be issued to represent and warrant at such time that the Shares are being acquired only for investment and without any present intention to sell or distribute such Shares if, in the opinion of counsel for the Company, such a representation is required.</w:t>
      </w:r>
    </w:p>
    <w:p>
      <w:pPr>
        <w:spacing w:after="0" w:line="177" w:lineRule="exact"/>
        <w:rPr>
          <w:rFonts w:ascii="Times New Roman" w:cs="Times New Roman" w:eastAsia="Times New Roman" w:hAnsi="Times New Roman"/>
          <w:sz w:val="18"/>
          <w:szCs w:val="18"/>
          <w:color w:val="auto"/>
        </w:rPr>
      </w:pPr>
    </w:p>
    <w:p>
      <w:pPr>
        <w:ind w:right="20" w:firstLine="1289"/>
        <w:spacing w:after="0" w:line="266" w:lineRule="auto"/>
        <w:tabs>
          <w:tab w:leader="none" w:pos="1648"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Conditions to Issuance of Stock.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Participant’s estate) hereunder, such issuance will not occur unless and until such listing, registration, qualification, rule compliance, clearance, consent or approval will have been completed, effected or obtained free of any conditions not acceptable to the Company. If any such listing, registration, qualification, rule compliance, clearance, consent or approval has not been completed by the applicable Settlement Deadline Date (or, if later, the settlement date required under Section 6(c)(ii), as applicable) with respect to a Restricted Stock Unit in a manner that would allow it to be settled by the applicable Settlement Deadline Date (or, if later, the settlement date required under Section 6(c)(ii), as applicable), such Restricted Stock Unit shall be forfeited as of immediately following the Settlement Deadline Date (or, if later, the settlement date required under Section 6(c)(ii), as applicable). Subject to the terms of this Award Agreement,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75" w:lineRule="exact"/>
        <w:rPr>
          <w:rFonts w:ascii="Times New Roman" w:cs="Times New Roman" w:eastAsia="Times New Roman" w:hAnsi="Times New Roman"/>
          <w:sz w:val="17"/>
          <w:szCs w:val="17"/>
          <w:color w:val="auto"/>
        </w:rPr>
      </w:pPr>
    </w:p>
    <w:p>
      <w:pPr>
        <w:ind w:right="40" w:firstLine="1289"/>
        <w:spacing w:after="0" w:line="271" w:lineRule="auto"/>
        <w:tabs>
          <w:tab w:leader="none" w:pos="1668"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Authority. If the Company determines it to be impossible or impractical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71" w:lineRule="exact"/>
        <w:rPr>
          <w:rFonts w:ascii="Times New Roman" w:cs="Times New Roman" w:eastAsia="Times New Roman" w:hAnsi="Times New Roman"/>
          <w:sz w:val="17"/>
          <w:szCs w:val="17"/>
          <w:color w:val="auto"/>
        </w:rPr>
      </w:pPr>
    </w:p>
    <w:p>
      <w:pPr>
        <w:ind w:right="80" w:firstLine="648"/>
        <w:spacing w:after="0" w:line="252" w:lineRule="auto"/>
        <w:tabs>
          <w:tab w:leader="none" w:pos="10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 The Administrator will have the power to interpret this Award Agreement and to adopt such rules for the administration, interpretation and application of the Award Agreement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this Award Agreement. Unless the context requires otherwise and subject to the foregoing interpretation rights and powers of the Administrator in this Section 23, the term “or” as used in this Award Agreement is not exclusive.</w:t>
      </w:r>
    </w:p>
    <w:p>
      <w:pPr>
        <w:spacing w:after="0" w:line="188" w:lineRule="exact"/>
        <w:rPr>
          <w:rFonts w:ascii="Times New Roman" w:cs="Times New Roman" w:eastAsia="Times New Roman" w:hAnsi="Times New Roman"/>
          <w:sz w:val="18"/>
          <w:szCs w:val="18"/>
          <w:color w:val="auto"/>
        </w:rPr>
      </w:pPr>
    </w:p>
    <w:p>
      <w:pPr>
        <w:ind w:right="20" w:firstLine="648"/>
        <w:spacing w:after="0" w:line="277" w:lineRule="auto"/>
        <w:tabs>
          <w:tab w:leader="none" w:pos="104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Electronic Delivery and Acceptance. The Company may, in its sole discretion, decide to deliver any documents related to the Restricted Stock Units (including, without limitation, prospectuses required by the U.S. Securities and Exchange Commission) by electronic means (including, without limitation, all other documents that the Company is required to deliver to its security holders, such as annual reports and proxy statements). Participant hereby consents to receive such documents by electronic delivery and agrees to participate in this Award Agreement through any on-line or electronic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-8593455</wp:posOffset>
            </wp:positionV>
            <wp:extent cx="13906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139065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-7915275</wp:posOffset>
            </wp:positionV>
            <wp:extent cx="10109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101092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-7372350</wp:posOffset>
            </wp:positionV>
            <wp:extent cx="23253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232537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-6422390</wp:posOffset>
            </wp:positionV>
            <wp:extent cx="11868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118681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-5743575</wp:posOffset>
            </wp:positionV>
            <wp:extent cx="1786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178689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-5472430</wp:posOffset>
            </wp:positionV>
            <wp:extent cx="9448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944880"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-4929505</wp:posOffset>
            </wp:positionV>
            <wp:extent cx="13658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136588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-4386580</wp:posOffset>
            </wp:positionV>
            <wp:extent cx="2056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2056765"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-2486025</wp:posOffset>
            </wp:positionV>
            <wp:extent cx="14160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141605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-1536065</wp:posOffset>
            </wp:positionV>
            <wp:extent cx="7283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-450215</wp:posOffset>
            </wp:positionV>
            <wp:extent cx="17481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1748155"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7" w:name="page18"/>
    <w:bookmarkEnd w:id="17"/>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established and maintained by the Company or a third party designated by the Company. Participant agrees that the Company may deliver these documents by posting them on a web site maintained by the Company or by a third party under contract with the Company. If the Company posts these documents on a web site, it will notify Participant by electronic means.</w:t>
      </w:r>
    </w:p>
    <w:p>
      <w:pPr>
        <w:spacing w:after="0" w:line="177" w:lineRule="exact"/>
        <w:rPr>
          <w:sz w:val="20"/>
          <w:szCs w:val="20"/>
          <w:color w:val="auto"/>
        </w:rPr>
      </w:pPr>
    </w:p>
    <w:p>
      <w:pPr>
        <w:ind w:left="1040" w:hanging="392"/>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Captions. Captions provided herein are for convenience only and are not to serve as a basis for interpretation or construction of this Award</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1" w:lineRule="exact"/>
        <w:rPr>
          <w:rFonts w:ascii="Times New Roman" w:cs="Times New Roman" w:eastAsia="Times New Roman" w:hAnsi="Times New Roman"/>
          <w:sz w:val="18"/>
          <w:szCs w:val="18"/>
          <w:color w:val="auto"/>
        </w:rPr>
      </w:pPr>
    </w:p>
    <w:p>
      <w:pPr>
        <w:ind w:right="20" w:firstLine="648"/>
        <w:spacing w:after="0" w:line="253" w:lineRule="auto"/>
        <w:tabs>
          <w:tab w:leader="none" w:pos="10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Addendum. Notwithstanding any provisions in this Award Agreement, the Restricted Stock Units shall be subject to any global terms and conditions set forth in an appendix (if any) to this Award Agreement as well as any terms and conditions for any country whose laws are applicable to Participant and the Restricted Stock Units (as determined by the Administrator in its sole discretion) (the “</w:t>
      </w:r>
      <w:r>
        <w:rPr>
          <w:rFonts w:ascii="Times New Roman" w:cs="Times New Roman" w:eastAsia="Times New Roman" w:hAnsi="Times New Roman"/>
          <w:sz w:val="18"/>
          <w:szCs w:val="18"/>
          <w:b w:val="1"/>
          <w:bCs w:val="1"/>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186" w:lineRule="exact"/>
        <w:rPr>
          <w:rFonts w:ascii="Times New Roman" w:cs="Times New Roman" w:eastAsia="Times New Roman" w:hAnsi="Times New Roman"/>
          <w:sz w:val="18"/>
          <w:szCs w:val="18"/>
          <w:color w:val="auto"/>
        </w:rPr>
      </w:pPr>
    </w:p>
    <w:p>
      <w:pPr>
        <w:ind w:firstLine="648"/>
        <w:spacing w:after="0" w:line="251" w:lineRule="auto"/>
        <w:tabs>
          <w:tab w:leader="none" w:pos="10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 Agreement; Modifications. This Award Agreement (including for clarity any exhibits, appendices, and addenda attached to the Notice of Grant) constitutes the entire agreement of the parties with respect to the subject matter hereof and supersede in their entirety all prior undertakings and agreements of the Company and Participant with respect to the subject matter hereof. Participant expressly warrants that Participant is not accepting this Award Agreement in reliance on any promises, representations, or inducements other than those contained herein. Modifications to this Award Agreement can be made only by approval of the Administrator memorialized in an express written instrument executed by a duly authorized signatory of the Company. Except as provided in this paragraph, no amendment to this Award Agreement may materially impair the rights of Participant unless mutually agreed between Participant and the Administrator, which agreement must be in writing signed by Participant and a duly authorized signatory of the Company. Notwithstanding anything to the contrary in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86" w:lineRule="exact"/>
        <w:rPr>
          <w:rFonts w:ascii="Times New Roman" w:cs="Times New Roman" w:eastAsia="Times New Roman" w:hAnsi="Times New Roman"/>
          <w:sz w:val="18"/>
          <w:szCs w:val="18"/>
          <w:color w:val="auto"/>
        </w:rPr>
      </w:pPr>
    </w:p>
    <w:p>
      <w:pPr>
        <w:ind w:right="40" w:firstLine="648"/>
        <w:spacing w:after="0" w:line="257" w:lineRule="auto"/>
        <w:tabs>
          <w:tab w:leader="none" w:pos="10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Waiver.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2" w:lineRule="exact"/>
        <w:rPr>
          <w:rFonts w:ascii="Times New Roman" w:cs="Times New Roman" w:eastAsia="Times New Roman" w:hAnsi="Times New Roman"/>
          <w:sz w:val="18"/>
          <w:szCs w:val="18"/>
          <w:color w:val="auto"/>
        </w:rPr>
      </w:pPr>
    </w:p>
    <w:p>
      <w:pPr>
        <w:ind w:firstLine="648"/>
        <w:spacing w:after="0" w:line="262" w:lineRule="auto"/>
        <w:tabs>
          <w:tab w:leader="none" w:pos="10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Severability. This Award Agreement and the Restricted Stock Units are governed by, and construed in accordance with,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7" w:lineRule="exact"/>
        <w:rPr>
          <w:rFonts w:ascii="Times New Roman" w:cs="Times New Roman" w:eastAsia="Times New Roman" w:hAnsi="Times New Roman"/>
          <w:sz w:val="18"/>
          <w:szCs w:val="18"/>
          <w:color w:val="auto"/>
        </w:rPr>
      </w:pPr>
    </w:p>
    <w:p>
      <w:pPr>
        <w:ind w:right="240" w:firstLine="648"/>
        <w:spacing w:after="0" w:line="257" w:lineRule="auto"/>
        <w:tabs>
          <w:tab w:leader="none" w:pos="10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Terms. The terms, conditions, obligations, and requirements of this Award Agreement will apply as a condition of receiving and holding the Award without the need for any manual or other execution of this Award Agreement by Participant or the Company. Notwithstanding the foregoing, however, as a condition to holding the Award or the vesting or settlement of the Award, upon the Company’s request at any time, the Company may require Participant to manually or electronically sign this Award Agreement, if Participant has not already done so.</w:t>
      </w:r>
    </w:p>
    <w:p>
      <w:pPr>
        <w:spacing w:after="0" w:line="182"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-4759325</wp:posOffset>
            </wp:positionV>
            <wp:extent cx="5149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51498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-4351655</wp:posOffset>
            </wp:positionV>
            <wp:extent cx="10140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101409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-3401695</wp:posOffset>
            </wp:positionV>
            <wp:extent cx="16135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161353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-1908810</wp:posOffset>
            </wp:positionV>
            <wp:extent cx="6032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60325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-1230630</wp:posOffset>
            </wp:positionV>
            <wp:extent cx="14319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143192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-687705</wp:posOffset>
            </wp:positionV>
            <wp:extent cx="7867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STAND-ALONE INDUCEMENT RESTRICTED STOCK UNIT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RESTRICTED STOCK UNIT GRANT</w:t>
      </w:r>
    </w:p>
    <w:p>
      <w:pPr>
        <w:spacing w:after="0" w:line="220"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b w:val="1"/>
          <w:bCs w:val="1"/>
          <w:color w:val="auto"/>
        </w:rPr>
        <w:t xml:space="preserve">Participant must notify Accuray Incorporated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by the fifteenth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day of the month following the Date of Grant if he or she wishes to reject this Award. Otherwise, Participant will be deemed to have accepted the Award on the terms and conditions on which it is offered.</w:t>
      </w:r>
    </w:p>
    <w:p>
      <w:pPr>
        <w:spacing w:after="0" w:line="195"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Unless otherwise defined herein, each capitalized term used in this Notice of Restricted Stock Unit Grant and all exhibits, appendices, and addenda attached hereto, will have the meaning given such term in the Terms and Conditions of Restricted Stock Unit Grant attached hereto as Exhibit A (together, the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4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Participant Name:</w:t>
      </w:r>
      <w:r>
        <w:rPr>
          <w:sz w:val="20"/>
          <w:szCs w:val="20"/>
          <w:color w:val="auto"/>
        </w:rPr>
        <w:tab/>
      </w:r>
      <w:r>
        <w:rPr>
          <w:rFonts w:ascii="Times New Roman" w:cs="Times New Roman" w:eastAsia="Times New Roman" w:hAnsi="Times New Roman"/>
          <w:sz w:val="17"/>
          <w:szCs w:val="17"/>
          <w:b w:val="1"/>
          <w:bCs w:val="1"/>
          <w:color w:val="auto"/>
        </w:rPr>
        <w:t>Paul Miele</w:t>
      </w:r>
    </w:p>
    <w:p>
      <w:pPr>
        <w:spacing w:after="0" w:line="220"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8"/>
          <w:szCs w:val="18"/>
          <w:b w:val="1"/>
          <w:bCs w:val="1"/>
          <w:color w:val="auto"/>
        </w:rPr>
        <w:t>[Address]</w:t>
      </w:r>
    </w:p>
    <w:p>
      <w:pPr>
        <w:spacing w:after="0" w:line="22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Participant has been granted the right to receive an Award of Restricted Stock Units, subject to the terms and conditions of this Award Agreement, as follows:</w:t>
      </w:r>
    </w:p>
    <w:p>
      <w:pPr>
        <w:spacing w:after="0" w:line="148"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Grant Number</w:t>
            </w:r>
          </w:p>
        </w:tc>
        <w:tc>
          <w:tcPr>
            <w:tcW w:w="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May 29, 2026</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07"/>
        </w:trPr>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29, 2026</w:t>
            </w:r>
          </w:p>
        </w:tc>
      </w:tr>
      <w:tr>
        <w:trPr>
          <w:trHeight w:val="20"/>
        </w:trPr>
        <w:tc>
          <w:tcPr>
            <w:tcW w:w="2540" w:type="dxa"/>
            <w:vAlign w:val="bottom"/>
            <w:gridSpan w:val="5"/>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07"/>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Number of Restricted Stock Units</w:t>
            </w: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650,000 shares</w:t>
            </w:r>
          </w:p>
        </w:tc>
      </w:tr>
    </w:tbl>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 xml:space="preserve">Subject to Section 5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any acceleration provisions contained in this Award Agreement or any other written agreement authorized by the Administrator between Participant and the Company (or any Parent, Subsidiary or Affiliate of the Company, as applicable) governing the terms of this Award (which, for clarity, includes that certain Executive Employment Agreement previously entered into between the Company and Participant that remains in effect as of the Date of Grant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the Restricted Stock Units will be scheduled to vest according to the following vesting schedule: One-fourth (1/4) of the Total Number of Restricted Stock Units (as set forth above) subject to this Award Agreement will be scheduled to vest on April 30, 2027 and will continue to vest as to one-fourth (1/4) of the Total Number of Restricted Stock Units (as set forth above) subject to this Award Agreement on each of the one (1), two (2), and three (3) year anniversaries of such date, in each case subject to the Participant continuing to be a Service Provider through the applicable vesting date</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 xml:space="preserve">If Participant does not wish to receive this Award and/or does not consent and agree to the terms and conditions on which the Award is offered, as set forth in this Award Agreement, then Participant must reject the Award by notifying the Company at Accuray Incorporated, Attention: Stock Administration, 1240 Deming Way, Madison, WI 53717 no later than </w:t>
      </w:r>
      <w:r>
        <w:rPr>
          <w:rFonts w:ascii="Times New Roman" w:cs="Times New Roman" w:eastAsia="Times New Roman" w:hAnsi="Times New Roman"/>
          <w:sz w:val="18"/>
          <w:szCs w:val="18"/>
          <w:b w:val="1"/>
          <w:bCs w:val="1"/>
          <w:color w:val="auto"/>
        </w:rPr>
        <w:t>the fifteenth (15th) day of the month following the Date of Grant</w:t>
      </w:r>
      <w:r>
        <w:rPr>
          <w:rFonts w:ascii="Times New Roman" w:cs="Times New Roman" w:eastAsia="Times New Roman" w:hAnsi="Times New Roman"/>
          <w:sz w:val="18"/>
          <w:szCs w:val="18"/>
          <w:color w:val="auto"/>
        </w:rPr>
        <w:t>, in which case the Award will be cancelled. Participant’s failure to notify the Company of his or her rejection of the Award within this specified period will constitute Participant’s acceptance of the Award and his or her agreement with all terms and conditions of the Award, as set forth in this Award Agreement.</w:t>
      </w:r>
    </w:p>
    <w:p>
      <w:pPr>
        <w:spacing w:after="0" w:line="18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 xml:space="preserve">Participant has reviewed this Award Agreement in its entirety, has had an opportunity to obtain the advice of counsel prior to executing this Award Agreement and fully understands all provisions of this Award Agreement. By accepting this Award, Participant hereby (i) agrees that this Award of Restricted Stock Units is granted under and governed by the terms and conditions of this Award Agreement, including for clarity the Terms and Conditions of Restricted Stock Unit Grant,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and all other exhibits, appendices and addenda attached hereto, all of which are made a part of this document, (ii) accepts this Award Agreement subject to all of the terms and provisions thereof, (iii) accepts as binding, conclusive and final all decisions or interpretations of the Administrator upon any questions relating to this Award Agreement, and (iv) agrees to notify the Company upon any change in Participant’s residence address indicated below and to provide a valid email address if Participant no longer has a Company email address.</w:t>
      </w:r>
    </w:p>
    <w:p>
      <w:pPr>
        <w:sectPr>
          <w:pgSz w:w="11900" w:h="16838" w:orient="portrait"/>
          <w:cols w:equalWidth="0" w:num="1">
            <w:col w:w="11240"/>
          </w:cols>
          <w:pgMar w:left="320" w:top="335" w:right="339" w:bottom="347"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ACCURAY INCORPORATED</w:t>
      </w:r>
    </w:p>
    <w:p>
      <w:pPr>
        <w:spacing w:after="0" w:line="200" w:lineRule="exact"/>
        <w:rPr>
          <w:sz w:val="20"/>
          <w:szCs w:val="20"/>
          <w:color w:val="auto"/>
        </w:rPr>
      </w:pPr>
    </w:p>
    <w:p>
      <w:pPr>
        <w:sectPr>
          <w:pgSz w:w="11900" w:h="16838" w:orient="portrait"/>
          <w:cols w:equalWidth="0" w:num="2">
            <w:col w:w="1180" w:space="720"/>
            <w:col w:w="9340"/>
          </w:cols>
          <w:pgMar w:left="320" w:top="335" w:right="339" w:bottom="347" w:gutter="0" w:footer="0" w:header="0"/>
          <w:type w:val="continuous"/>
        </w:sectPr>
      </w:pPr>
    </w:p>
    <w:p>
      <w:pPr>
        <w:spacing w:after="0" w:line="28"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b w:val="1"/>
          <w:bCs w:val="1"/>
          <w:color w:val="auto"/>
        </w:rPr>
        <w:t xml:space="preserve">____________________________________ </w:t>
      </w:r>
      <w:r>
        <w:rPr>
          <w:rFonts w:ascii="Times New Roman" w:cs="Times New Roman" w:eastAsia="Times New Roman" w:hAnsi="Times New Roman"/>
          <w:sz w:val="17"/>
          <w:szCs w:val="17"/>
          <w:color w:val="auto"/>
        </w:rPr>
        <w:t>Signature Signature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w:t>
      </w:r>
    </w:p>
    <w:p>
      <w:pPr>
        <w:spacing w:after="0" w:line="445" w:lineRule="exact"/>
        <w:rPr>
          <w:sz w:val="20"/>
          <w:szCs w:val="20"/>
          <w:color w:val="auto"/>
        </w:rPr>
      </w:pPr>
    </w:p>
    <w:p>
      <w:pPr>
        <w:sectPr>
          <w:pgSz w:w="11900" w:h="16838" w:orient="portrait"/>
          <w:cols w:equalWidth="0" w:num="2">
            <w:col w:w="3220" w:space="400"/>
            <w:col w:w="7620"/>
          </w:cols>
          <w:pgMar w:left="320" w:top="335" w:right="339" w:bottom="347" w:gutter="0" w:footer="0" w:header="0"/>
          <w:type w:val="continuous"/>
        </w:sectPr>
      </w:pPr>
    </w:p>
    <w:p>
      <w:pPr>
        <w:spacing w:after="0" w:line="312" w:lineRule="auto"/>
        <w:rPr>
          <w:sz w:val="20"/>
          <w:szCs w:val="20"/>
          <w:color w:val="auto"/>
        </w:rPr>
      </w:pPr>
      <w:r>
        <w:rPr>
          <w:rFonts w:ascii="Times New Roman" w:cs="Times New Roman" w:eastAsia="Times New Roman" w:hAnsi="Times New Roman"/>
          <w:sz w:val="17"/>
          <w:szCs w:val="17"/>
          <w:b w:val="1"/>
          <w:bCs w:val="1"/>
          <w:color w:val="auto"/>
        </w:rPr>
        <w:t xml:space="preserve">____________________________________ </w:t>
      </w:r>
      <w:r>
        <w:rPr>
          <w:rFonts w:ascii="Times New Roman" w:cs="Times New Roman" w:eastAsia="Times New Roman" w:hAnsi="Times New Roman"/>
          <w:sz w:val="17"/>
          <w:szCs w:val="17"/>
          <w:color w:val="auto"/>
        </w:rPr>
        <w:t>Print Name 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w:t>
      </w:r>
    </w:p>
    <w:p>
      <w:pPr>
        <w:spacing w:after="0" w:line="445" w:lineRule="exact"/>
        <w:rPr>
          <w:sz w:val="20"/>
          <w:szCs w:val="20"/>
          <w:color w:val="auto"/>
        </w:rPr>
      </w:pPr>
    </w:p>
    <w:p>
      <w:pPr>
        <w:sectPr>
          <w:pgSz w:w="11900" w:h="16838" w:orient="portrait"/>
          <w:cols w:equalWidth="0" w:num="2">
            <w:col w:w="3220" w:space="400"/>
            <w:col w:w="7620"/>
          </w:cols>
          <w:pgMar w:left="320" w:top="335" w:right="339" w:bottom="347" w:gutter="0" w:footer="0" w:header="0"/>
          <w:type w:val="continuous"/>
        </w:sectPr>
      </w:pPr>
    </w:p>
    <w:p>
      <w:pPr>
        <w:ind w:left="4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Residence Address: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w:t>
      </w:r>
    </w:p>
    <w:p>
      <w:pPr>
        <w:sectPr>
          <w:pgSz w:w="11900" w:h="16838" w:orient="portrait"/>
          <w:cols w:equalWidth="0" w:num="1">
            <w:col w:w="11240"/>
          </w:cols>
          <w:pgMar w:left="320" w:top="335" w:right="339" w:bottom="347" w:gutter="0" w:footer="0" w:header="0"/>
          <w:type w:val="continuous"/>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STAND-ALONE INDUCEMENT RESTRICTED STOCK UNIT AGREEMENT</w:t>
      </w:r>
    </w:p>
    <w:p>
      <w:pPr>
        <w:spacing w:after="0" w:line="22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TERMS AND CONDITIONS OF RESTRICTED STOCK UNIT GRANT</w:t>
      </w:r>
    </w:p>
    <w:p>
      <w:pPr>
        <w:spacing w:after="0" w:line="224"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Definitions. As used herein, the following definitions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-8890</wp:posOffset>
            </wp:positionV>
            <wp:extent cx="6216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621665" cy="8255"/>
                    </a:xfrm>
                    <a:prstGeom prst="rect">
                      <a:avLst/>
                    </a:prstGeom>
                    <a:noFill/>
                  </pic:spPr>
                </pic:pic>
              </a:graphicData>
            </a:graphic>
          </wp:anchor>
        </w:drawing>
      </w:r>
    </w:p>
    <w:p>
      <w:pPr>
        <w:spacing w:after="0" w:line="196"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means the Board or any of its Committees as will be administering the Award Agreement, in accordance with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w:t>
      </w:r>
    </w:p>
    <w:p>
      <w:pPr>
        <w:spacing w:after="0" w:line="198"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any entity that, directly or indirectly, controls, is controlled by, or is under common control with, the Company.</w:t>
      </w:r>
    </w:p>
    <w:p>
      <w:pPr>
        <w:spacing w:after="0" w:line="220" w:lineRule="exact"/>
        <w:rPr>
          <w:sz w:val="20"/>
          <w:szCs w:val="20"/>
          <w:color w:val="auto"/>
        </w:rPr>
      </w:pPr>
    </w:p>
    <w:p>
      <w:pPr>
        <w:ind w:right="120" w:firstLine="1282"/>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that may apply to this Award.</w:t>
      </w:r>
    </w:p>
    <w:p>
      <w:pPr>
        <w:spacing w:after="0" w:line="175"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this award of Restricted Stock Units.</w:t>
      </w:r>
    </w:p>
    <w:p>
      <w:pPr>
        <w:spacing w:after="0" w:line="220"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means this Stand-Alone Inducement Restricted Stock Unit Agreement evidencing the Award.</w:t>
      </w:r>
    </w:p>
    <w:p>
      <w:pPr>
        <w:spacing w:after="0" w:line="220"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w:t>
      </w:r>
    </w:p>
    <w:p>
      <w:pPr>
        <w:spacing w:after="0" w:line="220"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(g)“</w:t>
      </w:r>
      <w:r>
        <w:rPr>
          <w:sz w:val="20"/>
          <w:szCs w:val="20"/>
          <w:color w:val="auto"/>
        </w:rPr>
        <w:tab/>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 the occurrence of any of the following events:</w:t>
      </w:r>
    </w:p>
    <w:p>
      <w:pPr>
        <w:spacing w:after="0" w:line="224" w:lineRule="exact"/>
        <w:rPr>
          <w:sz w:val="20"/>
          <w:szCs w:val="20"/>
          <w:color w:val="auto"/>
        </w:rPr>
      </w:pPr>
    </w:p>
    <w:p>
      <w:pPr>
        <w:ind w:firstLine="2251"/>
        <w:spacing w:after="0" w:line="267" w:lineRule="auto"/>
        <w:tabs>
          <w:tab w:leader="none" w:pos="258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ownership of the Company which occurs on the date that any one person, or more than one person acting as a group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acquires ownership of the stock of the Company that, together with the stock held by such Person, constitutes more than fifty percent (50%) of the total voting power of the stock of the Company; provided, however, that for purposes of this subsection (i),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6" w:lineRule="exact"/>
        <w:rPr>
          <w:rFonts w:ascii="Times New Roman" w:cs="Times New Roman" w:eastAsia="Times New Roman" w:hAnsi="Times New Roman"/>
          <w:sz w:val="17"/>
          <w:szCs w:val="17"/>
          <w:color w:val="auto"/>
        </w:rPr>
      </w:pPr>
    </w:p>
    <w:p>
      <w:pPr>
        <w:ind w:right="20" w:firstLine="2251"/>
        <w:spacing w:after="0" w:line="257" w:lineRule="auto"/>
        <w:tabs>
          <w:tab w:leader="none" w:pos="26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2" w:lineRule="exact"/>
        <w:rPr>
          <w:rFonts w:ascii="Times New Roman" w:cs="Times New Roman" w:eastAsia="Times New Roman" w:hAnsi="Times New Roman"/>
          <w:sz w:val="18"/>
          <w:szCs w:val="18"/>
          <w:color w:val="auto"/>
        </w:rPr>
      </w:pPr>
    </w:p>
    <w:p>
      <w:pPr>
        <w:ind w:right="60" w:firstLine="2251"/>
        <w:spacing w:after="0" w:line="250" w:lineRule="auto"/>
        <w:tabs>
          <w:tab w:leader="none" w:pos="26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jc w:val="both"/>
        <w:ind w:firstLine="1924"/>
        <w:spacing w:after="0" w:line="277"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3" w:lineRule="exact"/>
        <w:rPr>
          <w:sz w:val="20"/>
          <w:szCs w:val="20"/>
          <w:color w:val="auto"/>
        </w:rPr>
      </w:pPr>
    </w:p>
    <w:p>
      <w:pPr>
        <w:jc w:val="both"/>
        <w:ind w:firstLine="1924"/>
        <w:spacing w:after="0" w:line="277"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63" w:lineRule="exact"/>
        <w:rPr>
          <w:sz w:val="20"/>
          <w:szCs w:val="20"/>
          <w:color w:val="auto"/>
        </w:rPr>
      </w:pPr>
    </w:p>
    <w:p>
      <w:pPr>
        <w:jc w:val="both"/>
        <w:ind w:firstLine="1924"/>
        <w:spacing w:after="0" w:line="262" w:lineRule="auto"/>
        <w:rPr>
          <w:sz w:val="20"/>
          <w:szCs w:val="20"/>
          <w:color w:val="auto"/>
        </w:rPr>
      </w:pPr>
      <w:r>
        <w:rPr>
          <w:rFonts w:ascii="Times New Roman" w:cs="Times New Roman" w:eastAsia="Times New Roman" w:hAnsi="Times New Roman"/>
          <w:sz w:val="18"/>
          <w:szCs w:val="18"/>
          <w:color w:val="auto"/>
        </w:rPr>
        <w:t>Further and for purposes of clarity, a transaction will not constitute a Change in Control if: (i) its primary purpose is to change the jurisdiction of the Company’s incorporation, or (ii) its primary purpose is to create a holding company that will be owned in substantially the same proportions by the persons who held the Company’s securities immediately before such transaction.</w:t>
      </w:r>
    </w:p>
    <w:p>
      <w:pPr>
        <w:spacing w:after="0" w:line="173" w:lineRule="exact"/>
        <w:rPr>
          <w:sz w:val="20"/>
          <w:szCs w:val="20"/>
          <w:color w:val="auto"/>
        </w:rPr>
      </w:pPr>
    </w:p>
    <w:p>
      <w:pPr>
        <w:ind w:right="280" w:firstLine="1289"/>
        <w:spacing w:after="0" w:line="265" w:lineRule="auto"/>
        <w:tabs>
          <w:tab w:leader="none" w:pos="171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69" w:lineRule="exact"/>
        <w:rPr>
          <w:sz w:val="20"/>
          <w:szCs w:val="20"/>
          <w:color w:val="auto"/>
        </w:rPr>
      </w:pPr>
    </w:p>
    <w:p>
      <w:pPr>
        <w:ind w:firstLine="1282"/>
        <w:spacing w:after="0" w:line="28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2.</w:t>
      </w:r>
    </w:p>
    <w:p>
      <w:pPr>
        <w:spacing w:after="0" w:line="155"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of the Company.</w:t>
      </w:r>
    </w:p>
    <w:p>
      <w:pPr>
        <w:sectPr>
          <w:pgSz w:w="11900" w:h="16838" w:orient="portrait"/>
          <w:cols w:equalWidth="0" w:num="1">
            <w:col w:w="11240"/>
          </w:cols>
          <w:pgMar w:left="320" w:top="571" w:right="339" w:bottom="0" w:gutter="0" w:footer="0" w:header="0"/>
        </w:sectPr>
      </w:pPr>
    </w:p>
    <w:bookmarkStart w:id="21" w:name="page22"/>
    <w:bookmarkEnd w:id="21"/>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(k)“</w:t>
      </w:r>
      <w:r>
        <w:rPr>
          <w:sz w:val="20"/>
          <w:szCs w:val="20"/>
          <w:color w:val="auto"/>
        </w:rPr>
        <w:tab/>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means Accuray Incorporated, a Delaware corporation, or any successor thereto.</w:t>
      </w:r>
    </w:p>
    <w:p>
      <w:pPr>
        <w:spacing w:after="0" w:line="220" w:lineRule="exact"/>
        <w:rPr>
          <w:sz w:val="20"/>
          <w:szCs w:val="20"/>
          <w:color w:val="auto"/>
        </w:rPr>
      </w:pPr>
    </w:p>
    <w:p>
      <w:pPr>
        <w:ind w:right="180" w:firstLine="1282"/>
        <w:spacing w:after="0" w:line="256"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natural person, including an advisor, engaged by the Company or any Parent, Subsidiary or Affiliate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78" w:lineRule="exact"/>
        <w:rPr>
          <w:sz w:val="20"/>
          <w:szCs w:val="20"/>
          <w:color w:val="auto"/>
        </w:rPr>
      </w:pPr>
    </w:p>
    <w:p>
      <w:pPr>
        <w:ind w:left="1280"/>
        <w:spacing w:after="0"/>
        <w:tabs>
          <w:tab w:leader="none" w:pos="1780" w:val="left"/>
        </w:tabs>
        <w:rPr>
          <w:sz w:val="20"/>
          <w:szCs w:val="20"/>
          <w:color w:val="auto"/>
        </w:rPr>
      </w:pPr>
      <w:r>
        <w:rPr>
          <w:rFonts w:ascii="Times New Roman" w:cs="Times New Roman" w:eastAsia="Times New Roman" w:hAnsi="Times New Roman"/>
          <w:sz w:val="18"/>
          <w:szCs w:val="18"/>
          <w:color w:val="auto"/>
        </w:rPr>
        <w:t>(m)“</w:t>
      </w:r>
      <w:r>
        <w:rPr>
          <w:sz w:val="20"/>
          <w:szCs w:val="20"/>
          <w:color w:val="auto"/>
        </w:rPr>
        <w:tab/>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w:t>
      </w:r>
    </w:p>
    <w:p>
      <w:pPr>
        <w:spacing w:after="0" w:line="220" w:lineRule="exact"/>
        <w:rPr>
          <w:sz w:val="20"/>
          <w:szCs w:val="20"/>
          <w:color w:val="auto"/>
        </w:rPr>
      </w:pPr>
    </w:p>
    <w:p>
      <w:pPr>
        <w:ind w:right="60" w:firstLine="1282"/>
        <w:spacing w:after="0" w:line="312" w:lineRule="auto"/>
        <w:rPr>
          <w:sz w:val="20"/>
          <w:szCs w:val="20"/>
          <w:color w:val="auto"/>
        </w:rPr>
      </w:pPr>
      <w:r>
        <w:rPr>
          <w:rFonts w:ascii="Times New Roman" w:cs="Times New Roman" w:eastAsia="Times New Roman" w:hAnsi="Times New Roman"/>
          <w:sz w:val="17"/>
          <w:szCs w:val="17"/>
          <w:color w:val="auto"/>
        </w:rPr>
        <w:t xml:space="preserve">(n)“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means any person, including Officers and Directors, employed by the Company or any Parent, Subsidiary or Affiliate of the Company. Neither service as a Director nor payment of a director’s fee by the Company will be sufficient to constitute “employment” by the Company.</w:t>
      </w:r>
    </w:p>
    <w:p>
      <w:pPr>
        <w:spacing w:after="0" w:line="133"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U.S. Securities Exchange Act of 1934, as amended, including the rules and regulations promulgated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198"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(p)“</w:t>
      </w:r>
      <w:r>
        <w:rPr>
          <w:sz w:val="20"/>
          <w:szCs w:val="20"/>
          <w:color w:val="auto"/>
        </w:rPr>
        <w:tab/>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means, as of any date and unless the Administrator determines otherwise, the value of a Share determined as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2" w:lineRule="exact"/>
        <w:rPr>
          <w:sz w:val="20"/>
          <w:szCs w:val="20"/>
          <w:color w:val="auto"/>
        </w:rPr>
      </w:pPr>
    </w:p>
    <w:p>
      <w:pPr>
        <w:ind w:right="100" w:firstLine="2251"/>
        <w:spacing w:after="0" w:line="255" w:lineRule="auto"/>
        <w:tabs>
          <w:tab w:leader="none" w:pos="25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The Wall Street Journal or such other source as the Administrator deems reliable;</w:t>
      </w:r>
    </w:p>
    <w:p>
      <w:pPr>
        <w:spacing w:after="0" w:line="182" w:lineRule="exact"/>
        <w:rPr>
          <w:rFonts w:ascii="Times New Roman" w:cs="Times New Roman" w:eastAsia="Times New Roman" w:hAnsi="Times New Roman"/>
          <w:sz w:val="18"/>
          <w:szCs w:val="18"/>
          <w:color w:val="auto"/>
        </w:rPr>
      </w:pPr>
    </w:p>
    <w:p>
      <w:pPr>
        <w:jc w:val="both"/>
        <w:ind w:right="80" w:firstLine="2251"/>
        <w:spacing w:after="0" w:line="257" w:lineRule="auto"/>
        <w:tabs>
          <w:tab w:leader="none" w:pos="2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by a recognized securities dealer but selling prices are not reported, the Fair Market Value will be the mean between the high bid and low asked prices for the Common Stock on the date of determination (or, if no bids and asks were reported on that date, as applicable, on the last Trading Day such bids and asks were reported), as reported in The Wall Street Journal or such other source as the Administrator deems reliable; or</w:t>
      </w:r>
    </w:p>
    <w:p>
      <w:pPr>
        <w:spacing w:after="0" w:line="182" w:lineRule="exact"/>
        <w:rPr>
          <w:rFonts w:ascii="Times New Roman" w:cs="Times New Roman" w:eastAsia="Times New Roman" w:hAnsi="Times New Roman"/>
          <w:sz w:val="18"/>
          <w:szCs w:val="18"/>
          <w:color w:val="auto"/>
        </w:rPr>
      </w:pPr>
    </w:p>
    <w:p>
      <w:pPr>
        <w:ind w:left="2700" w:hanging="449"/>
        <w:spacing w:after="0"/>
        <w:tabs>
          <w:tab w:leader="none" w:pos="27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Stock, the Fair Market Value will be determined in good faith</w:t>
      </w:r>
    </w:p>
    <w:p>
      <w:pPr>
        <w:spacing w:after="0" w:line="3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by the Administrator.</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Notwithstanding the foregoing, for purposes of determining the fair market value of any Shares subject to the Restricted Stock Units for any reason,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78" w:lineRule="exact"/>
        <w:rPr>
          <w:sz w:val="20"/>
          <w:szCs w:val="20"/>
          <w:color w:val="auto"/>
        </w:rPr>
      </w:pPr>
    </w:p>
    <w:p>
      <w:pPr>
        <w:ind w:right="1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55"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(r)“</w:t>
      </w:r>
      <w:r>
        <w:rPr>
          <w:sz w:val="20"/>
          <w:szCs w:val="20"/>
          <w:color w:val="auto"/>
        </w:rPr>
        <w:tab/>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means a “parent corporation,” whether now or hereafter existing, as defined in Section 424(e) of the Code.</w:t>
      </w:r>
    </w:p>
    <w:p>
      <w:pPr>
        <w:spacing w:after="0" w:line="220"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the person named in the Notice of Grant or such person’s successor.</w:t>
      </w:r>
    </w:p>
    <w:p>
      <w:pPr>
        <w:spacing w:after="0" w:line="220" w:lineRule="exact"/>
        <w:rPr>
          <w:sz w:val="20"/>
          <w:szCs w:val="20"/>
          <w:color w:val="auto"/>
        </w:rPr>
      </w:pPr>
    </w:p>
    <w:p>
      <w:pPr>
        <w:ind w:right="58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Each Restricted Stock Unit represents an unfunded and unsecured obligation of the Company.</w:t>
      </w:r>
    </w:p>
    <w:p>
      <w:pPr>
        <w:spacing w:after="0" w:line="155" w:lineRule="exact"/>
        <w:rPr>
          <w:sz w:val="20"/>
          <w:szCs w:val="20"/>
          <w:color w:val="auto"/>
        </w:rPr>
      </w:pPr>
    </w:p>
    <w:p>
      <w:pPr>
        <w:ind w:right="1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Award Agreement.</w:t>
      </w:r>
    </w:p>
    <w:p>
      <w:pPr>
        <w:spacing w:after="0" w:line="155" w:lineRule="exact"/>
        <w:rPr>
          <w:sz w:val="20"/>
          <w:szCs w:val="20"/>
          <w:color w:val="auto"/>
        </w:rPr>
      </w:pPr>
    </w:p>
    <w:p>
      <w:pPr>
        <w:ind w:right="3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 and the U.S. Treasury Regulations and guidance thereunder, and any applicable state law equivalent, as each may be promulgated, amended or modified from time to time.</w:t>
      </w:r>
    </w:p>
    <w:p>
      <w:pPr>
        <w:spacing w:after="0" w:line="155" w:lineRule="exact"/>
        <w:rPr>
          <w:sz w:val="20"/>
          <w:szCs w:val="20"/>
          <w:color w:val="auto"/>
        </w:rPr>
      </w:pPr>
    </w:p>
    <w:p>
      <w:pPr>
        <w:ind w:left="1280"/>
        <w:spacing w:after="0"/>
        <w:tabs>
          <w:tab w:leader="none" w:pos="1780" w:val="left"/>
        </w:tabs>
        <w:rPr>
          <w:sz w:val="20"/>
          <w:szCs w:val="20"/>
          <w:color w:val="auto"/>
        </w:rPr>
      </w:pPr>
      <w:r>
        <w:rPr>
          <w:rFonts w:ascii="Times New Roman" w:cs="Times New Roman" w:eastAsia="Times New Roman" w:hAnsi="Times New Roman"/>
          <w:sz w:val="18"/>
          <w:szCs w:val="18"/>
          <w:color w:val="auto"/>
        </w:rPr>
        <w:t>(w)“</w:t>
      </w:r>
      <w:r>
        <w:rPr>
          <w:sz w:val="20"/>
          <w:szCs w:val="20"/>
          <w:color w:val="auto"/>
        </w:rPr>
        <w:tab/>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U.S. Securities Act of 1933, as amended, including the rules and regulations promulgated thereunder.</w:t>
      </w:r>
    </w:p>
    <w:p>
      <w:pPr>
        <w:spacing w:after="0" w:line="220"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7"/>
          <w:szCs w:val="17"/>
          <w:b w:val="1"/>
          <w:bCs w:val="1"/>
          <w:color w:val="auto"/>
        </w:rPr>
        <w:t>Service Provider</w:t>
      </w:r>
      <w:r>
        <w:rPr>
          <w:rFonts w:ascii="Times New Roman" w:cs="Times New Roman" w:eastAsia="Times New Roman" w:hAnsi="Times New Roman"/>
          <w:sz w:val="17"/>
          <w:szCs w:val="17"/>
          <w:color w:val="auto"/>
        </w:rPr>
        <w:t>” means an Employee, Director or Consultant.</w:t>
      </w:r>
    </w:p>
    <w:p>
      <w:pPr>
        <w:spacing w:after="0" w:line="220"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(y)“</w:t>
      </w:r>
      <w:r>
        <w:rPr>
          <w:sz w:val="20"/>
          <w:szCs w:val="20"/>
          <w:color w:val="auto"/>
        </w:rPr>
        <w:tab/>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means a share of the Common Stock, as adjusted in accordance with Section 15.</w:t>
      </w:r>
    </w:p>
    <w:p>
      <w:pPr>
        <w:spacing w:after="0" w:line="184" w:lineRule="exact"/>
        <w:rPr>
          <w:sz w:val="20"/>
          <w:szCs w:val="20"/>
          <w:color w:val="auto"/>
        </w:rPr>
      </w:pPr>
    </w:p>
    <w:p>
      <w:pPr>
        <w:ind w:left="1280"/>
        <w:spacing w:after="0" w:line="207" w:lineRule="exact"/>
        <w:tabs>
          <w:tab w:leader="none" w:pos="1720" w:val="left"/>
        </w:tabs>
        <w:rPr>
          <w:sz w:val="20"/>
          <w:szCs w:val="20"/>
          <w:color w:val="auto"/>
        </w:rPr>
      </w:pPr>
      <w:r>
        <w:rPr>
          <w:rFonts w:ascii="Times New Roman" w:cs="Times New Roman" w:eastAsia="Times New Roman" w:hAnsi="Times New Roman"/>
          <w:sz w:val="18"/>
          <w:szCs w:val="18"/>
          <w:color w:val="auto"/>
        </w:rPr>
        <w:t>(z)“</w:t>
      </w:r>
      <w:r>
        <w:rPr>
          <w:sz w:val="20"/>
          <w:szCs w:val="20"/>
          <w:color w:val="auto"/>
        </w:rPr>
        <w:tab/>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 “subsidiary corporation,” whether now or hereafter exist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ing, as defined in Section 424(f) of the Code.</w:t>
      </w:r>
    </w:p>
    <w:p>
      <w:pPr>
        <w:spacing w:after="0" w:line="257" w:lineRule="exact"/>
        <w:rPr>
          <w:sz w:val="20"/>
          <w:szCs w:val="20"/>
          <w:color w:val="auto"/>
        </w:rPr>
      </w:pPr>
    </w:p>
    <w:p>
      <w:pPr>
        <w:ind w:right="1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(aa)“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55" w:lineRule="exact"/>
        <w:rPr>
          <w:sz w:val="20"/>
          <w:szCs w:val="20"/>
          <w:color w:val="auto"/>
        </w:rPr>
      </w:pPr>
    </w:p>
    <w:p>
      <w:pPr>
        <w:ind w:right="140" w:firstLine="1282"/>
        <w:spacing w:after="0" w:line="265"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3" w:lineRule="exact"/>
        <w:rPr>
          <w:sz w:val="20"/>
          <w:szCs w:val="20"/>
          <w:color w:val="auto"/>
        </w:rPr>
      </w:pPr>
    </w:p>
    <w:p>
      <w:pPr>
        <w:ind w:left="940" w:hanging="292"/>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w:t>
      </w:r>
    </w:p>
    <w:p>
      <w:pPr>
        <w:spacing w:after="0" w:line="220" w:lineRule="exact"/>
        <w:rPr>
          <w:rFonts w:ascii="Times New Roman" w:cs="Times New Roman" w:eastAsia="Times New Roman" w:hAnsi="Times New Roman"/>
          <w:sz w:val="18"/>
          <w:szCs w:val="18"/>
          <w:color w:val="auto"/>
        </w:rPr>
      </w:pPr>
    </w:p>
    <w:p>
      <w:pPr>
        <w:ind w:left="1660" w:hanging="371"/>
        <w:spacing w:after="0"/>
        <w:tabs>
          <w:tab w:leader="none" w:pos="1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w:t>
      </w:r>
    </w:p>
    <w:p>
      <w:pPr>
        <w:spacing w:after="0" w:line="220" w:lineRule="exact"/>
        <w:rPr>
          <w:rFonts w:ascii="Times New Roman" w:cs="Times New Roman" w:eastAsia="Times New Roman" w:hAnsi="Times New Roman"/>
          <w:sz w:val="18"/>
          <w:szCs w:val="18"/>
          <w:color w:val="auto"/>
        </w:rPr>
      </w:pPr>
    </w:p>
    <w:p>
      <w:pPr>
        <w:ind w:right="500" w:firstLine="2251"/>
        <w:spacing w:after="0" w:line="277" w:lineRule="auto"/>
        <w:tabs>
          <w:tab w:leader="none" w:pos="259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16b-3. To the extent desirable to qualify transactions hereunder as exempt under Rule 16b-3, the transactions contemplated hereunder will be structured to satisfy the requirements for exemption under Rule 16b-3.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-723900</wp:posOffset>
            </wp:positionV>
            <wp:extent cx="79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9121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-452120</wp:posOffset>
            </wp:positionV>
            <wp:extent cx="571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1536065</wp:posOffset>
            </wp:positionH>
            <wp:positionV relativeFrom="paragraph">
              <wp:posOffset>-180975</wp:posOffset>
            </wp:positionV>
            <wp:extent cx="6184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618490" cy="8255"/>
                    </a:xfrm>
                    <a:prstGeom prst="rect">
                      <a:avLst/>
                    </a:prstGeom>
                    <a:noFill/>
                  </pic:spPr>
                </pic:pic>
              </a:graphicData>
            </a:graphic>
          </wp:anchor>
        </w:drawing>
      </w:r>
    </w:p>
    <w:p>
      <w:pPr>
        <w:sectPr>
          <w:pgSz w:w="11900" w:h="16838" w:orient="portrait"/>
          <w:cols w:equalWidth="0" w:num="1">
            <w:col w:w="11240"/>
          </w:cols>
          <w:pgMar w:left="320" w:top="117" w:right="339" w:bottom="72" w:gutter="0" w:footer="0" w:header="0"/>
        </w:sectPr>
      </w:pPr>
    </w:p>
    <w:bookmarkStart w:id="22" w:name="page23"/>
    <w:bookmarkEnd w:id="22"/>
    <w:p>
      <w:pPr>
        <w:ind w:left="2633" w:hanging="389"/>
        <w:spacing w:after="0"/>
        <w:tabs>
          <w:tab w:leader="none" w:pos="2633"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Administration. Other than as provided above, this Award Agreement will be administered by (A) the Board or</w:t>
      </w:r>
    </w:p>
    <w:p>
      <w:pPr>
        <w:spacing w:after="0" w:line="25" w:lineRule="exact"/>
        <w:rPr>
          <w:rFonts w:ascii="Times New Roman" w:cs="Times New Roman" w:eastAsia="Times New Roman" w:hAnsi="Times New Roman"/>
          <w:sz w:val="18"/>
          <w:szCs w:val="18"/>
          <w:color w:val="auto"/>
        </w:rPr>
      </w:pPr>
    </w:p>
    <w:p>
      <w:pPr>
        <w:ind w:left="273" w:hanging="273"/>
        <w:spacing w:after="0"/>
        <w:tabs>
          <w:tab w:leader="none" w:pos="2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which Committee will be constituted to comply with Applicable Laws.</w:t>
      </w:r>
    </w:p>
    <w:p>
      <w:pPr>
        <w:spacing w:after="0" w:line="201" w:lineRule="exact"/>
        <w:rPr>
          <w:rFonts w:ascii="Times New Roman" w:cs="Times New Roman" w:eastAsia="Times New Roman" w:hAnsi="Times New Roman"/>
          <w:sz w:val="18"/>
          <w:szCs w:val="18"/>
          <w:color w:val="auto"/>
        </w:rPr>
      </w:pPr>
    </w:p>
    <w:p>
      <w:pPr>
        <w:ind w:left="-7" w:right="100" w:firstLine="2251"/>
        <w:spacing w:after="0" w:line="262" w:lineRule="auto"/>
        <w:tabs>
          <w:tab w:leader="none" w:pos="2682"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for Day-to-Day Administration. Except to the extent prohibited by Applicable Laws, the Administrator may delegate to one or more individuals the day-to-day administration of this Award Agreement and any of the functions assigned to it in this Award Agreement. Such delegation may be revoked at any time.</w:t>
      </w:r>
    </w:p>
    <w:p>
      <w:pPr>
        <w:spacing w:after="0" w:line="177" w:lineRule="exact"/>
        <w:rPr>
          <w:rFonts w:ascii="Times New Roman" w:cs="Times New Roman" w:eastAsia="Times New Roman" w:hAnsi="Times New Roman"/>
          <w:sz w:val="18"/>
          <w:szCs w:val="18"/>
          <w:color w:val="auto"/>
        </w:rPr>
      </w:pPr>
    </w:p>
    <w:p>
      <w:pPr>
        <w:ind w:left="-7" w:right="560" w:firstLine="1289"/>
        <w:spacing w:after="0" w:line="277" w:lineRule="auto"/>
        <w:tabs>
          <w:tab w:leader="none" w:pos="166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the Administrator. Subject to the provisions of the Award Agreement, and in the case of a Committee, subject to the specific duties delegated by the Board to such Committee, the Administrator will have the authority, in its discretion:</w:t>
      </w:r>
    </w:p>
    <w:p>
      <w:pPr>
        <w:spacing w:after="0" w:line="163" w:lineRule="exact"/>
        <w:rPr>
          <w:rFonts w:ascii="Times New Roman" w:cs="Times New Roman" w:eastAsia="Times New Roman" w:hAnsi="Times New Roman"/>
          <w:sz w:val="18"/>
          <w:szCs w:val="18"/>
          <w:color w:val="auto"/>
        </w:rPr>
      </w:pPr>
    </w:p>
    <w:p>
      <w:pPr>
        <w:ind w:left="2593" w:hanging="349"/>
        <w:spacing w:after="0"/>
        <w:tabs>
          <w:tab w:leader="none" w:pos="2593"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-1365885</wp:posOffset>
            </wp:positionV>
            <wp:extent cx="10833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1083310" cy="825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-958850</wp:posOffset>
            </wp:positionV>
            <wp:extent cx="26403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-415925</wp:posOffset>
            </wp:positionV>
            <wp:extent cx="13970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00" w:lineRule="exact"/>
        <w:rPr>
          <w:sz w:val="20"/>
          <w:szCs w:val="20"/>
          <w:color w:val="auto"/>
        </w:rPr>
      </w:pPr>
    </w:p>
    <w:p>
      <w:pPr>
        <w:ind w:left="2633" w:hanging="389"/>
        <w:spacing w:after="0"/>
        <w:tabs>
          <w:tab w:leader="none" w:pos="2633"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Award and this Award Agreement;</w:t>
      </w:r>
    </w:p>
    <w:p>
      <w:pPr>
        <w:spacing w:after="0" w:line="220" w:lineRule="exact"/>
        <w:rPr>
          <w:rFonts w:ascii="Times New Roman" w:cs="Times New Roman" w:eastAsia="Times New Roman" w:hAnsi="Times New Roman"/>
          <w:sz w:val="18"/>
          <w:szCs w:val="18"/>
          <w:color w:val="auto"/>
        </w:rPr>
      </w:pPr>
    </w:p>
    <w:p>
      <w:pPr>
        <w:ind w:left="-7" w:right="160" w:firstLine="2251"/>
        <w:spacing w:after="0" w:line="238" w:lineRule="exact"/>
        <w:tabs>
          <w:tab w:leader="none" w:pos="2682" w:val="left"/>
        </w:tabs>
        <w:numPr>
          <w:ilvl w:val="2"/>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prescribe, amend and rescind rules and regulations relating to the Award, including easing the administration of the Award and/or qualifying for favorable tax treatment under applicable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laws, in each case as the Administrator may deem necessary or advisable.</w:t>
      </w:r>
    </w:p>
    <w:p>
      <w:pPr>
        <w:spacing w:after="0" w:line="167" w:lineRule="exact"/>
        <w:rPr>
          <w:rFonts w:ascii="Times New Roman" w:cs="Times New Roman" w:eastAsia="Times New Roman" w:hAnsi="Times New Roman"/>
          <w:sz w:val="17"/>
          <w:szCs w:val="17"/>
          <w:color w:val="auto"/>
        </w:rPr>
      </w:pPr>
    </w:p>
    <w:p>
      <w:pPr>
        <w:ind w:left="2673" w:hanging="429"/>
        <w:spacing w:after="0"/>
        <w:tabs>
          <w:tab w:leader="none" w:pos="2673"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the Award;</w:t>
      </w:r>
    </w:p>
    <w:p>
      <w:pPr>
        <w:spacing w:after="0" w:line="220" w:lineRule="exact"/>
        <w:rPr>
          <w:rFonts w:ascii="Times New Roman" w:cs="Times New Roman" w:eastAsia="Times New Roman" w:hAnsi="Times New Roman"/>
          <w:sz w:val="18"/>
          <w:szCs w:val="18"/>
          <w:color w:val="auto"/>
        </w:rPr>
      </w:pPr>
    </w:p>
    <w:p>
      <w:pPr>
        <w:ind w:left="2633" w:hanging="389"/>
        <w:spacing w:after="0"/>
        <w:tabs>
          <w:tab w:leader="none" w:pos="2633"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the Award will be settled in Shares, cash or in any combination thereof; and</w:t>
      </w:r>
    </w:p>
    <w:p>
      <w:pPr>
        <w:spacing w:after="0" w:line="220" w:lineRule="exact"/>
        <w:rPr>
          <w:rFonts w:ascii="Times New Roman" w:cs="Times New Roman" w:eastAsia="Times New Roman" w:hAnsi="Times New Roman"/>
          <w:sz w:val="18"/>
          <w:szCs w:val="18"/>
          <w:color w:val="auto"/>
        </w:rPr>
      </w:pPr>
    </w:p>
    <w:p>
      <w:pPr>
        <w:ind w:left="2673" w:hanging="429"/>
        <w:spacing w:after="0"/>
        <w:tabs>
          <w:tab w:leader="none" w:pos="2673" w:val="left"/>
        </w:tabs>
        <w:numPr>
          <w:ilvl w:val="2"/>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all other determinations deemed necessary or advisable for administering the Award and the Award Agreement.</w:t>
      </w:r>
    </w:p>
    <w:p>
      <w:pPr>
        <w:spacing w:after="0" w:line="231" w:lineRule="exact"/>
        <w:rPr>
          <w:rFonts w:ascii="Times New Roman" w:cs="Times New Roman" w:eastAsia="Times New Roman" w:hAnsi="Times New Roman"/>
          <w:sz w:val="17"/>
          <w:szCs w:val="17"/>
          <w:color w:val="auto"/>
        </w:rPr>
      </w:pPr>
    </w:p>
    <w:p>
      <w:pPr>
        <w:ind w:left="-7" w:right="200" w:firstLine="1289"/>
        <w:spacing w:after="0" w:line="277" w:lineRule="auto"/>
        <w:tabs>
          <w:tab w:leader="none" w:pos="165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Administrator’s Decisions. The Administrator’s decisions, determinations, and interpretations will be final and binding on Participant and will be given the maximum deference permitted by Applicable Laws.</w:t>
      </w:r>
    </w:p>
    <w:p>
      <w:pPr>
        <w:spacing w:after="0" w:line="159" w:lineRule="exact"/>
        <w:rPr>
          <w:rFonts w:ascii="Times New Roman" w:cs="Times New Roman" w:eastAsia="Times New Roman" w:hAnsi="Times New Roman"/>
          <w:sz w:val="18"/>
          <w:szCs w:val="18"/>
          <w:color w:val="auto"/>
        </w:rPr>
      </w:pPr>
    </w:p>
    <w:p>
      <w:pPr>
        <w:ind w:left="-7" w:right="280" w:firstLine="648"/>
        <w:spacing w:after="0" w:line="265" w:lineRule="auto"/>
        <w:tabs>
          <w:tab w:leader="none" w:pos="9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Restricted Stock Units. The Company hereby grants to the individual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named in the Notice of Restricted Stock Unit Grant of this Award Agreement (the “</w:t>
      </w:r>
      <w:r>
        <w:rPr>
          <w:rFonts w:ascii="Times New Roman" w:cs="Times New Roman" w:eastAsia="Times New Roman" w:hAnsi="Times New Roman"/>
          <w:sz w:val="18"/>
          <w:szCs w:val="18"/>
          <w:b w:val="1"/>
          <w:bCs w:val="1"/>
          <w:color w:val="auto"/>
        </w:rPr>
        <w:t>Notice of Grant</w:t>
      </w:r>
      <w:r>
        <w:rPr>
          <w:rFonts w:ascii="Times New Roman" w:cs="Times New Roman" w:eastAsia="Times New Roman" w:hAnsi="Times New Roman"/>
          <w:sz w:val="18"/>
          <w:szCs w:val="18"/>
          <w:color w:val="auto"/>
        </w:rPr>
        <w:t>”) an Award of Restricted Stock Units, subject to all of the terms and conditions of this Award Agreement. The Award is intended to qualify as an employment inducement grant under Nasdaq Listing Rule 5635(c)(4).</w:t>
      </w:r>
    </w:p>
    <w:p>
      <w:pPr>
        <w:spacing w:after="0" w:line="173" w:lineRule="exact"/>
        <w:rPr>
          <w:rFonts w:ascii="Times New Roman" w:cs="Times New Roman" w:eastAsia="Times New Roman" w:hAnsi="Times New Roman"/>
          <w:sz w:val="18"/>
          <w:szCs w:val="18"/>
          <w:color w:val="auto"/>
        </w:rPr>
      </w:pPr>
    </w:p>
    <w:p>
      <w:pPr>
        <w:ind w:left="-7" w:right="400" w:firstLine="648"/>
        <w:spacing w:after="0" w:line="257" w:lineRule="auto"/>
        <w:tabs>
          <w:tab w:leader="none" w:pos="9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Obligation to Pay. Each Restricted Stock Unit represents the right to receive a Share on the date it vests. Unless and until the Restricted Stock Units will have vested in the manner set forth in Sections 5 or 6,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82" w:lineRule="exact"/>
        <w:rPr>
          <w:rFonts w:ascii="Times New Roman" w:cs="Times New Roman" w:eastAsia="Times New Roman" w:hAnsi="Times New Roman"/>
          <w:sz w:val="18"/>
          <w:szCs w:val="18"/>
          <w:color w:val="auto"/>
        </w:rPr>
      </w:pPr>
    </w:p>
    <w:p>
      <w:pPr>
        <w:ind w:left="-7" w:right="120" w:firstLine="648"/>
        <w:spacing w:after="0" w:line="253" w:lineRule="auto"/>
        <w:tabs>
          <w:tab w:leader="none" w:pos="9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Schedule. Except as provided in Section 6, and subject to Section 9, the Restricted Stock Units 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Subsidiary or Affiliate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86" w:lineRule="exact"/>
        <w:rPr>
          <w:rFonts w:ascii="Times New Roman" w:cs="Times New Roman" w:eastAsia="Times New Roman" w:hAnsi="Times New Roman"/>
          <w:sz w:val="18"/>
          <w:szCs w:val="18"/>
          <w:color w:val="auto"/>
        </w:rPr>
      </w:pPr>
    </w:p>
    <w:p>
      <w:pPr>
        <w:ind w:left="953" w:hanging="312"/>
        <w:spacing w:after="0"/>
        <w:tabs>
          <w:tab w:leader="none" w:pos="9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After Vesting.</w:t>
      </w:r>
    </w:p>
    <w:p>
      <w:pPr>
        <w:spacing w:after="0" w:line="220" w:lineRule="exact"/>
        <w:rPr>
          <w:rFonts w:ascii="Times New Roman" w:cs="Times New Roman" w:eastAsia="Times New Roman" w:hAnsi="Times New Roman"/>
          <w:sz w:val="18"/>
          <w:szCs w:val="18"/>
          <w:color w:val="auto"/>
        </w:rPr>
      </w:pPr>
    </w:p>
    <w:p>
      <w:pPr>
        <w:ind w:left="-7" w:firstLine="1289"/>
        <w:spacing w:after="0" w:line="251" w:lineRule="auto"/>
        <w:tabs>
          <w:tab w:leader="none" w:pos="16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Rule. Subject to Sections 6(c) and 11, any Restricted Stock Units that vest will be paid to Participant (or in the event of Participant’s death, to Participant’s properly designated beneficiary or estate) in whole Shares no later than seventy-four (74) days following the vesting date applicable to such Restricted Stock Units (the “</w:t>
      </w:r>
      <w:r>
        <w:rPr>
          <w:rFonts w:ascii="Times New Roman" w:cs="Times New Roman" w:eastAsia="Times New Roman" w:hAnsi="Times New Roman"/>
          <w:sz w:val="18"/>
          <w:szCs w:val="18"/>
          <w:b w:val="1"/>
          <w:bCs w:val="1"/>
          <w:color w:val="auto"/>
        </w:rPr>
        <w:t>Settlement Deadline Date</w:t>
      </w:r>
      <w:r>
        <w:rPr>
          <w:rFonts w:ascii="Times New Roman" w:cs="Times New Roman" w:eastAsia="Times New Roman" w:hAnsi="Times New Roman"/>
          <w:sz w:val="18"/>
          <w:szCs w:val="18"/>
          <w:color w:val="auto"/>
        </w:rPr>
        <w:t>”). Except as may be required by the provisions of Section 6(c), no Restricted Stock Unit will be settled after the Settlement Deadline Date applicable to it. If any Restricted Stock Unit has not met all the requirements for settlement under this Award Agreement in a manner that would allow it to be settled by the applicable Settlement Deadline Date (or, if applicable, such other date required by Section 6(c)), such Restricted Stock Unit will be forfeited as of immediately following the applicable Settlement Deadline Date (or such other date required by Section 6(c), as applicable). In no event will Participant be permitted, directly or indirectly, to specify the taxable year of payment of any Restricted Stock Units payable under this Award Agreement. For clarity, there may be multiple Settlement Deadline Dates, each corresponding to a particular Restricted Stock Unit.</w:t>
      </w:r>
    </w:p>
    <w:p>
      <w:pPr>
        <w:spacing w:after="0" w:line="189" w:lineRule="exact"/>
        <w:rPr>
          <w:rFonts w:ascii="Times New Roman" w:cs="Times New Roman" w:eastAsia="Times New Roman" w:hAnsi="Times New Roman"/>
          <w:sz w:val="18"/>
          <w:szCs w:val="18"/>
          <w:color w:val="auto"/>
        </w:rPr>
      </w:pPr>
    </w:p>
    <w:p>
      <w:pPr>
        <w:jc w:val="both"/>
        <w:ind w:left="-7" w:right="60" w:firstLine="1289"/>
        <w:spacing w:after="0" w:line="262" w:lineRule="auto"/>
        <w:tabs>
          <w:tab w:leader="none" w:pos="16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 Discretion. The Administrator, in its discretion, may accelerate the vesting of the balance, or some lesser portion of the balance, of the unvested Restricted Stock Units at any time, subject to the terms of the Award Agreement. If so accelerated, such Restricted Stock Units will be considered as having vested as of the date specified by the Administrator.</w:t>
      </w:r>
    </w:p>
    <w:p>
      <w:pPr>
        <w:spacing w:after="0" w:line="177" w:lineRule="exact"/>
        <w:rPr>
          <w:rFonts w:ascii="Times New Roman" w:cs="Times New Roman" w:eastAsia="Times New Roman" w:hAnsi="Times New Roman"/>
          <w:sz w:val="18"/>
          <w:szCs w:val="18"/>
          <w:color w:val="auto"/>
        </w:rPr>
      </w:pPr>
    </w:p>
    <w:p>
      <w:pPr>
        <w:ind w:left="1653" w:hanging="371"/>
        <w:spacing w:after="0"/>
        <w:tabs>
          <w:tab w:leader="none" w:pos="165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This Section 6(c) will apply to Participant to the extent Participant is a U.S. taxpayer.</w:t>
      </w:r>
    </w:p>
    <w:p>
      <w:pPr>
        <w:spacing w:after="0" w:line="220" w:lineRule="exact"/>
        <w:rPr>
          <w:rFonts w:ascii="Times New Roman" w:cs="Times New Roman" w:eastAsia="Times New Roman" w:hAnsi="Times New Roman"/>
          <w:sz w:val="18"/>
          <w:szCs w:val="18"/>
          <w:color w:val="auto"/>
        </w:rPr>
      </w:pPr>
    </w:p>
    <w:p>
      <w:pPr>
        <w:ind w:left="-7" w:right="200" w:firstLine="2251"/>
        <w:spacing w:after="0" w:line="262" w:lineRule="auto"/>
        <w:tabs>
          <w:tab w:leader="none" w:pos="258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Shares vesting pursuant to this Award Agreement (including any discretionary acceleration under Section 6(b)) shall in all cases be paid at a time and in a manner that is intended to be exempt from, or comply with, Section 409A. The prior sentence may be superseded in a future agreement or amendment to this Award Agreement only by direct and specific reference to such sentence.</w:t>
      </w:r>
    </w:p>
    <w:p>
      <w:pPr>
        <w:spacing w:after="0" w:line="177" w:lineRule="exact"/>
        <w:rPr>
          <w:rFonts w:ascii="Times New Roman" w:cs="Times New Roman" w:eastAsia="Times New Roman" w:hAnsi="Times New Roman"/>
          <w:sz w:val="18"/>
          <w:szCs w:val="18"/>
          <w:color w:val="auto"/>
        </w:rPr>
      </w:pPr>
    </w:p>
    <w:p>
      <w:pPr>
        <w:ind w:left="-7" w:right="20" w:firstLine="2251"/>
        <w:spacing w:after="0" w:line="217" w:lineRule="exact"/>
        <w:tabs>
          <w:tab w:leader="none" w:pos="2623" w:val="left"/>
        </w:tabs>
        <w:numPr>
          <w:ilvl w:val="2"/>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Restricted Stock Units under this Award Agreement that are considered deferred compensation within the meaning of Section 409A (“</w:t>
      </w:r>
      <w:r>
        <w:rPr>
          <w:rFonts w:ascii="Times New Roman" w:cs="Times New Roman" w:eastAsia="Times New Roman" w:hAnsi="Times New Roman"/>
          <w:sz w:val="17"/>
          <w:szCs w:val="17"/>
          <w:b w:val="1"/>
          <w:bCs w:val="1"/>
          <w:color w:val="auto"/>
        </w:rPr>
        <w:t>Deferred Payments</w:t>
      </w:r>
      <w:r>
        <w:rPr>
          <w:rFonts w:ascii="Times New Roman" w:cs="Times New Roman" w:eastAsia="Times New Roman" w:hAnsi="Times New Roman"/>
          <w:sz w:val="17"/>
          <w:szCs w:val="17"/>
          <w:color w:val="auto"/>
        </w:rPr>
        <w:t>”) that otherwise are intended to be paid, pursuant to subsection (i), (ii) or (v) of Code Section 409A(a)(2)(A), upon the occurrence of a merger of the Company with or into another corporation or other entity, a Change in Control, or Participant’s disability or termination from employment or other service (whether pursuant to the vesting criteria set forth in the Notice of Grant or a written agreement authorized by the Administrator between Participant and the Company or any of its Parents or Subsidiaries, as applicable), will not be payable upon such event unless and until the circumstances giving rise to such merger, Change in Control, disability, or termination constitutes a change in control event, disability, or separation from service, as applicable, within the meaning of Section 409A (a “</w:t>
      </w:r>
      <w:r>
        <w:rPr>
          <w:rFonts w:ascii="Times New Roman" w:cs="Times New Roman" w:eastAsia="Times New Roman" w:hAnsi="Times New Roman"/>
          <w:sz w:val="17"/>
          <w:szCs w:val="17"/>
          <w:b w:val="1"/>
          <w:bCs w:val="1"/>
          <w:color w:val="auto"/>
        </w:rPr>
        <w:t>409A-Conforming Event</w:t>
      </w:r>
      <w:r>
        <w:rPr>
          <w:rFonts w:ascii="Times New Roman" w:cs="Times New Roman" w:eastAsia="Times New Roman" w:hAnsi="Times New Roman"/>
          <w:sz w:val="17"/>
          <w:szCs w:val="17"/>
          <w:color w:val="auto"/>
        </w:rPr>
        <w:t>”), and to the extent such payment will not be subject to the additional tax imposed under Section 409A. In the event that the immediately preceding sentence prevents the payment of any Deferred Payments, then such Deferred Payments will be paid at the time and in the form that would have applied absent such event that fails to constitute a 409A-Conforming Event. For clarity, this Section 6(c) does not affect the value or dollar amount payable, or prohibit the vesting of Deferred Payments, including without limitation in connection with a merger of the Company with or into another corporation or other entity, a Change in Control, Participant’s disability or termination, or pursuant to Section 6(b) above. If the Restricted Stock Units otherwise would be exempt from Section 409A pursuant to U.S. Treasury Regulation Section 1.409A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1(b)(9), any such Restricted Stock Units that vest in connection with the termination of Participant’s employment (or other service,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-7230745</wp:posOffset>
            </wp:positionV>
            <wp:extent cx="1727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1727835"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-6823075</wp:posOffset>
            </wp:positionV>
            <wp:extent cx="15386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1538605"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-6280150</wp:posOffset>
            </wp:positionV>
            <wp:extent cx="14598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1459865"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-5601970</wp:posOffset>
            </wp:positionV>
            <wp:extent cx="8928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89281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-4652010</wp:posOffset>
            </wp:positionV>
            <wp:extent cx="11430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114300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-4380230</wp:posOffset>
            </wp:positionV>
            <wp:extent cx="712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2470" cy="82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-3023235</wp:posOffset>
            </wp:positionV>
            <wp:extent cx="12401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1240155"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-2480310</wp:posOffset>
            </wp:positionV>
            <wp:extent cx="7315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31520" cy="8255"/>
                    </a:xfrm>
                    <a:prstGeom prst="rect">
                      <a:avLst/>
                    </a:prstGeom>
                    <a:noFill/>
                  </pic:spPr>
                </pic:pic>
              </a:graphicData>
            </a:graphic>
          </wp:anchor>
        </w:drawing>
      </w:r>
    </w:p>
    <w:p>
      <w:pPr>
        <w:sectPr>
          <w:pgSz w:w="11900" w:h="16838" w:orient="portrait"/>
          <w:cols w:equalWidth="0" w:num="1">
            <w:col w:w="11233"/>
          </w:cols>
          <w:pgMar w:left="327" w:top="121" w:right="339" w:bottom="0" w:gutter="0" w:footer="0" w:header="0"/>
        </w:sectPr>
      </w:pPr>
    </w:p>
    <w:bookmarkStart w:id="23" w:name="page24"/>
    <w:bookmarkEnd w:id="23"/>
    <w:p>
      <w:pPr>
        <w:ind w:right="100"/>
        <w:spacing w:after="0" w:line="270" w:lineRule="auto"/>
        <w:rPr>
          <w:sz w:val="20"/>
          <w:szCs w:val="20"/>
          <w:color w:val="auto"/>
        </w:rPr>
      </w:pPr>
      <w:r>
        <w:rPr>
          <w:rFonts w:ascii="Times New Roman" w:cs="Times New Roman" w:eastAsia="Times New Roman" w:hAnsi="Times New Roman"/>
          <w:sz w:val="17"/>
          <w:szCs w:val="17"/>
          <w:color w:val="auto"/>
        </w:rPr>
        <w:t>will not be payable until Participant has a separation from service within the meaning of Section 409A. Except as otherwise provided in a written agreement between the Company and Participant authorized by the Administrator providing for payment in compliance with U.S. Treasury Regulation Section</w:t>
      </w:r>
    </w:p>
    <w:p>
      <w:pPr>
        <w:spacing w:after="0" w:line="1" w:lineRule="exact"/>
        <w:rPr>
          <w:sz w:val="20"/>
          <w:szCs w:val="20"/>
          <w:color w:val="auto"/>
        </w:rPr>
      </w:pPr>
    </w:p>
    <w:p>
      <w:pPr>
        <w:ind w:right="100"/>
        <w:spacing w:after="0" w:line="216" w:lineRule="exact"/>
        <w:rPr>
          <w:sz w:val="20"/>
          <w:szCs w:val="20"/>
          <w:color w:val="auto"/>
        </w:rPr>
      </w:pPr>
      <w:r>
        <w:rPr>
          <w:rFonts w:ascii="Times New Roman" w:cs="Times New Roman" w:eastAsia="Times New Roman" w:hAnsi="Times New Roman"/>
          <w:sz w:val="18"/>
          <w:szCs w:val="18"/>
          <w:color w:val="auto"/>
        </w:rPr>
        <w:t>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3(b) (in which case, for clarity, such provisions shall govern), Restricted Stock Units that become payable by reason of the occurrence of a 409A-Conforming Event will be settled no later than seventy four (74) days following the applicable 409A-Conforming Event, subject to the following under this subsection (ii). Notwithstanding any provisions to the contrary in this Award Agreement or any other agreement (whether entered into before, on or after the Date of Grant), if any Deferred Payments become payable upon a separation from service within the meaning of Section 409A, other than due to Participant’s death, and if (x) Participant is a “specified employee” within the meaning of Section 409A at the time of such separation from service and (y) the payment of such Deferred Payments will result in the imposition of additional tax under Section 409A if paid to Participant within the six (6) month period following the separation from service, then the payment of such Deferred Payments will not be made until the date six (6) months and one (1) day following the date of Participant’s separation from service, unless Participant dies following such separation, in which case, the Deferred Payments will be paid to Participant’s estate as soon as practicable following Participant’s death. To the extent that Participant is not a “specified employee” but Participant’s separation from service occurs at a time during the year whereby the deadline date for any separation agreement and release of claims (or similar agreement or release) to become effective and irrevocable will occur in the year immediately following the year in which the separation from service occurs, then any Deferred Payments that otherwise would be payable prior to such deadline date will be paid without applying the delay set forth in the immediately preceding sentence, but will be paid in the year immediately following the year in which the separation from service occurs. Subject to compliance with the applicable requirements under Section 409A, the Administrator in its sole discretion will be permitted to make any accelerated payment of Deferred Payments pursuant to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3(j)(4).</w:t>
      </w:r>
    </w:p>
    <w:p>
      <w:pPr>
        <w:spacing w:after="0" w:line="172" w:lineRule="exact"/>
        <w:rPr>
          <w:sz w:val="20"/>
          <w:szCs w:val="20"/>
          <w:color w:val="auto"/>
        </w:rPr>
      </w:pPr>
    </w:p>
    <w:p>
      <w:pPr>
        <w:ind w:firstLine="2251"/>
        <w:spacing w:after="0" w:line="216" w:lineRule="exact"/>
        <w:tabs>
          <w:tab w:leader="none" w:pos="2689"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2(b)(2). To the extent necessary to comply with Section 409A, references to termination of Participant’s status as an employee, termination of employment, or similar phrases will be references to Participant’s “separation from service” within the meaning of Section 409A. In no event will the Company, any Service Recipient (as defined below) or any Parent, Subsidiary, or Affiliate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96" w:lineRule="exact"/>
        <w:rPr>
          <w:rFonts w:ascii="Times New Roman" w:cs="Times New Roman" w:eastAsia="Times New Roman" w:hAnsi="Times New Roman"/>
          <w:sz w:val="18"/>
          <w:szCs w:val="18"/>
          <w:color w:val="auto"/>
        </w:rPr>
      </w:pPr>
    </w:p>
    <w:p>
      <w:pPr>
        <w:ind w:right="20" w:firstLine="648"/>
        <w:spacing w:after="0" w:line="277" w:lineRule="auto"/>
        <w:tabs>
          <w:tab w:leader="none" w:pos="95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With respect to this Award, until the Shares are issued (as evidenced by the appropriate entry on the books of the Company or a duly authorized transfer agent of the Company), no right to receive dividends or any other rights as a stockholder will exist with respect to the Shares subject to this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this Award.</w:t>
      </w:r>
    </w:p>
    <w:p>
      <w:pPr>
        <w:spacing w:after="0" w:line="166" w:lineRule="exact"/>
        <w:rPr>
          <w:rFonts w:ascii="Times New Roman" w:cs="Times New Roman" w:eastAsia="Times New Roman" w:hAnsi="Times New Roman"/>
          <w:sz w:val="17"/>
          <w:szCs w:val="17"/>
          <w:color w:val="auto"/>
        </w:rPr>
      </w:pPr>
    </w:p>
    <w:p>
      <w:pPr>
        <w:ind w:right="300" w:firstLine="648"/>
        <w:spacing w:after="0" w:line="285" w:lineRule="auto"/>
        <w:tabs>
          <w:tab w:leader="none" w:pos="95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Leaves of Absence/Transfer Between Locations. Unless the Administrator provides otherwise or as otherwise required by Applicable Laws, vesting of the Award will be suspended during any unpaid leave of absence. Participant will not cease to be an Employee in the case of (a) any leave of absence approved by the Company or (b) transfers between locations of, or between, the Company or any Subsidiary, Parent or Affiliate of the Company.</w:t>
      </w:r>
    </w:p>
    <w:p>
      <w:pPr>
        <w:spacing w:after="0" w:line="158" w:lineRule="exact"/>
        <w:rPr>
          <w:rFonts w:ascii="Times New Roman" w:cs="Times New Roman" w:eastAsia="Times New Roman" w:hAnsi="Times New Roman"/>
          <w:sz w:val="17"/>
          <w:szCs w:val="17"/>
          <w:color w:val="auto"/>
        </w:rPr>
      </w:pPr>
    </w:p>
    <w:p>
      <w:pPr>
        <w:ind w:right="60" w:firstLine="648"/>
        <w:spacing w:after="0" w:line="255" w:lineRule="auto"/>
        <w:tabs>
          <w:tab w:leader="none" w:pos="9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Upon Termination of Status as a Service Provider. Unless specifically provided otherwise in this Award Agreement or other written agreement authorized by the Administrator between Participant and the Company or any of its Subsidiaries or Parents, as applicable, governing the terms of this Award, if Participant ceases to be a Service Provider for any reason, the then-unvested Restricted Stock Units awarded by this Award Agreement will thereupon be forfeited at no cost to the Company upon the date of such cessation and Participant will have no further rights to such Restricted Stock Units or the Shares thereunder.</w:t>
      </w:r>
    </w:p>
    <w:p>
      <w:pPr>
        <w:spacing w:after="0" w:line="182" w:lineRule="exact"/>
        <w:rPr>
          <w:rFonts w:ascii="Times New Roman" w:cs="Times New Roman" w:eastAsia="Times New Roman" w:hAnsi="Times New Roman"/>
          <w:sz w:val="18"/>
          <w:szCs w:val="18"/>
          <w:color w:val="auto"/>
        </w:rPr>
      </w:pPr>
    </w:p>
    <w:p>
      <w:pPr>
        <w:ind w:right="180" w:firstLine="648"/>
        <w:spacing w:after="0" w:line="257" w:lineRule="auto"/>
        <w:tabs>
          <w:tab w:leader="none" w:pos="104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of Participant.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such transferee’s status as transferee, and (b) evidence satisfactory to the Company to establish the validity of the transfer and compliance with any laws or regulations pertaining to said transfer.</w:t>
      </w:r>
    </w:p>
    <w:p>
      <w:pPr>
        <w:spacing w:after="0" w:line="182"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Obligations.</w:t>
      </w:r>
    </w:p>
    <w:p>
      <w:pPr>
        <w:spacing w:after="0" w:line="220" w:lineRule="exact"/>
        <w:rPr>
          <w:rFonts w:ascii="Times New Roman" w:cs="Times New Roman" w:eastAsia="Times New Roman" w:hAnsi="Times New Roman"/>
          <w:sz w:val="18"/>
          <w:szCs w:val="18"/>
          <w:color w:val="auto"/>
        </w:rPr>
      </w:pPr>
    </w:p>
    <w:p>
      <w:pPr>
        <w:ind w:right="20" w:firstLine="1289"/>
        <w:spacing w:after="0" w:line="251" w:lineRule="auto"/>
        <w:tabs>
          <w:tab w:leader="none" w:pos="165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Requirements. Prior to the delivery of any Shares or cash pursuant to the Award or such earlier time as any tax withholdings are due, the Company (or any of its Parents, Subsidiaries or other affiliates employing or retaining the services of Participant, as applicable) will have the power and the right to deduct or withhold, or require Participant to remit to the Company (or any of its Parents, Subsidiaries, or other affiliates, as applicable) or a relevant tax authority, an amount sufficient to satisfy U.S. federal, state, local, non-U.S. and other taxes (including Participant’s FICA or other social insurance contribution obligation) required to be withheld or paid with respect to the Award. The amount of the withholding obligation will be deemed to include any amount that the Administrator agrees may be withheld at the time the election is made, not to exceed the amount determined by using the maximum U.S. federal, state or local rates applicable to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86" w:lineRule="exact"/>
        <w:rPr>
          <w:rFonts w:ascii="Times New Roman" w:cs="Times New Roman" w:eastAsia="Times New Roman" w:hAnsi="Times New Roman"/>
          <w:sz w:val="18"/>
          <w:szCs w:val="18"/>
          <w:color w:val="auto"/>
        </w:rPr>
      </w:pPr>
    </w:p>
    <w:p>
      <w:pPr>
        <w:ind w:firstLine="1289"/>
        <w:spacing w:after="0" w:line="265" w:lineRule="auto"/>
        <w:tabs>
          <w:tab w:leader="none" w:pos="1668"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Responsibility for Taxes. Participant acknowledges that, regardless of any action taken by the Company or, if different, Participant’s employer or any Parent, Subsidiary, or Affiliate of the Company to which Participant is providing services (together, the “Service Recipient(s)”), the ultimate liability for any tax and social insurance liability obligations and requirements in connection with the Restricted Stock Units, including, without limitation, (i) all federal, national, state, non-U.S. and local taxes (including Participant’s U.S. Federal Insurance Contributions Act (FICA) obligations and social liability insurance obligations) that are required to be withheld by any Service Recipient or other payment of tax-related items related to Participant’s participation in this Award Agreement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the vesting or settlement thereof or issuance of Shares thereunder) (collectively, the “</w:t>
      </w:r>
      <w:r>
        <w:rPr>
          <w:rFonts w:ascii="Times New Roman" w:cs="Times New Roman" w:eastAsia="Times New Roman" w:hAnsi="Times New Roman"/>
          <w:sz w:val="17"/>
          <w:szCs w:val="17"/>
          <w:b w:val="1"/>
          <w:bCs w:val="1"/>
          <w:color w:val="auto"/>
        </w:rPr>
        <w:t>Tax Obligations</w:t>
      </w:r>
      <w:r>
        <w:rPr>
          <w:rFonts w:ascii="Times New Roman" w:cs="Times New Roman" w:eastAsia="Times New Roman" w:hAnsi="Times New Roman"/>
          <w:sz w:val="17"/>
          <w:szCs w:val="17"/>
          <w:color w:val="auto"/>
        </w:rPr>
        <w:t>”), are and remain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dividend equivalents, or other distributions, or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Participant acknowledges that the applicable Service Recipient(s) (or former Service Recipient(s), as applicable) may be required to withhold or account for Withholding Obligations (as defined below)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-6549390</wp:posOffset>
            </wp:positionV>
            <wp:extent cx="5778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577850" cy="8255"/>
                    </a:xfrm>
                    <a:prstGeom prst="rect">
                      <a:avLst/>
                    </a:prstGeom>
                    <a:noFill/>
                  </pic:spPr>
                </pic:pic>
              </a:graphicData>
            </a:graphic>
          </wp:anchor>
        </w:drawing>
        <w:drawing>
          <wp:anchor simplePos="0" relativeHeight="251657728" behindDoc="1" locked="0" layoutInCell="0" allowOverlap="1">
            <wp:simplePos x="0" y="0"/>
            <wp:positionH relativeFrom="column">
              <wp:posOffset>495935</wp:posOffset>
            </wp:positionH>
            <wp:positionV relativeFrom="paragraph">
              <wp:posOffset>-5870575</wp:posOffset>
            </wp:positionV>
            <wp:extent cx="22815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2281555" cy="8255"/>
                    </a:xfrm>
                    <a:prstGeom prst="rect">
                      <a:avLst/>
                    </a:prstGeom>
                    <a:noFill/>
                  </pic:spPr>
                </pic:pic>
              </a:graphicData>
            </a:graphic>
          </wp:anchor>
        </w:drawing>
        <w:drawing>
          <wp:anchor simplePos="0" relativeHeight="251657728" behindDoc="1" locked="0" layoutInCell="0" allowOverlap="1">
            <wp:simplePos x="0" y="0"/>
            <wp:positionH relativeFrom="column">
              <wp:posOffset>495935</wp:posOffset>
            </wp:positionH>
            <wp:positionV relativeFrom="paragraph">
              <wp:posOffset>-5327650</wp:posOffset>
            </wp:positionV>
            <wp:extent cx="28365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283654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-4513580</wp:posOffset>
            </wp:positionV>
            <wp:extent cx="10236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102362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-3834765</wp:posOffset>
            </wp:positionV>
            <wp:extent cx="8343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83439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-3563620</wp:posOffset>
            </wp:positionV>
            <wp:extent cx="13341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1334135"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-2070735</wp:posOffset>
            </wp:positionV>
            <wp:extent cx="12166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24" w:name="page25"/>
    <w:bookmarkEnd w:id="24"/>
    <w:p>
      <w:pPr>
        <w:ind w:left="-648" w:firstLine="1289"/>
        <w:spacing w:after="0" w:line="248" w:lineRule="auto"/>
        <w:tabs>
          <w:tab w:leader="none" w:pos="100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Withholding. Pursuant to such procedures as the Administrator may specify from time to time, the applicable Service Recipient(s) (or former Service Recipient(s)) will withhold the amount required to be withheld for the payment of Tax Obligations (the “</w:t>
      </w:r>
      <w:r>
        <w:rPr>
          <w:rFonts w:ascii="Times New Roman" w:cs="Times New Roman" w:eastAsia="Times New Roman" w:hAnsi="Times New Roman"/>
          <w:sz w:val="18"/>
          <w:szCs w:val="18"/>
          <w:b w:val="1"/>
          <w:bCs w:val="1"/>
          <w:color w:val="auto"/>
        </w:rPr>
        <w:t>Withholding Obligations</w:t>
      </w:r>
      <w:r>
        <w:rPr>
          <w:rFonts w:ascii="Times New Roman" w:cs="Times New Roman" w:eastAsia="Times New Roman" w:hAnsi="Times New Roman"/>
          <w:sz w:val="18"/>
          <w:szCs w:val="18"/>
          <w:color w:val="auto"/>
        </w:rPr>
        <w:t>”) which, to the extent permitted under this Award Agreement, may, in the discretion of the Administrator, be in excess of the minimum statutory required amount to be withheld, upon each date with respect to which the Administrator determines Withholding Obligations are due, including but not limited to, at grant, vesting, settlement or any other date with respect to which Withholding Obligations arise. The Administrator, in its sole discretion and pursuant to such procedures as it may specify from time to time, may permit or require Participant to satisfy such Withholding Obligations, in whole or in part (without limitation), if permissible by Applicable Laws, by one or a combination of the following: (i) paying cash, (ii) having the Company withhold otherwise deliverable Shares having a fair market value equal to the minimum amount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18"/>
          <w:szCs w:val="18"/>
          <w:b w:val="1"/>
          <w:bCs w:val="1"/>
          <w:color w:val="auto"/>
        </w:rPr>
        <w:t>Net Share Withholding</w:t>
      </w:r>
      <w:r>
        <w:rPr>
          <w:rFonts w:ascii="Times New Roman" w:cs="Times New Roman" w:eastAsia="Times New Roman" w:hAnsi="Times New Roman"/>
          <w:sz w:val="18"/>
          <w:szCs w:val="18"/>
          <w:color w:val="auto"/>
        </w:rPr>
        <w:t>”), (iii) withholding the amount of such Withholding Obligations from Participant’s wages or other cash compensation paid to Participant by the applicable Service Recipient(s) (or former Service Recipient(s)), (iv) delivering to the Company Shares that Participant owns and that already have vested with a fair market value equal to the Withholding Obligations (or such greater amount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necessary to meet the withholding requirement for such Withholding Obligations (or such greater amount as Participant may elect or the Company may require, if permitted by the Administrator and if such greater amount would not result in adverse financial accounting consequences) (“</w:t>
      </w:r>
      <w:r>
        <w:rPr>
          <w:rFonts w:ascii="Times New Roman" w:cs="Times New Roman" w:eastAsia="Times New Roman" w:hAnsi="Times New Roman"/>
          <w:sz w:val="18"/>
          <w:szCs w:val="18"/>
          <w:b w:val="1"/>
          <w:bCs w:val="1"/>
          <w:color w:val="auto"/>
        </w:rPr>
        <w:t>Sell to Cover</w:t>
      </w:r>
      <w:r>
        <w:rPr>
          <w:rFonts w:ascii="Times New Roman" w:cs="Times New Roman" w:eastAsia="Times New Roman" w:hAnsi="Times New Roman"/>
          <w:sz w:val="18"/>
          <w:szCs w:val="18"/>
          <w:color w:val="auto"/>
        </w:rPr>
        <w:t xml:space="preserve">”), or (vi) such other means as the Administrator deems appropriate. If the Withholding Obligations are satisfied by withholding in Shares, for tax purposes, Participant is deemed to have been issued the full number of Shares subject to the vested Restricted Stock Units,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 Until and unless determined otherwise by the Administrator, Sell to Cover will be the method by which such Withholding Obligations are satisfied. </w:t>
      </w:r>
      <w:r>
        <w:rPr>
          <w:rFonts w:ascii="Times New Roman" w:cs="Times New Roman" w:eastAsia="Times New Roman" w:hAnsi="Times New Roman"/>
          <w:sz w:val="18"/>
          <w:szCs w:val="18"/>
          <w:b w:val="1"/>
          <w:bCs w:val="1"/>
          <w:color w:val="auto"/>
        </w:rPr>
        <w:t>For purposes of clarity and 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limitation, by accepting this Award, Participant expressly consents to such Sell to Cover as the method by which Withholding Obligations are satisfied and agrees and acknowledges that Participant may not satisfy them by any means other than such Sell to Cover, unless required to do so by the Administrator or pursuant to the Administrator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express consent.</w:t>
      </w:r>
    </w:p>
    <w:p>
      <w:pPr>
        <w:spacing w:after="0" w:line="209" w:lineRule="exact"/>
        <w:rPr>
          <w:rFonts w:ascii="Times New Roman" w:cs="Times New Roman" w:eastAsia="Times New Roman" w:hAnsi="Times New Roman"/>
          <w:sz w:val="18"/>
          <w:szCs w:val="18"/>
          <w:color w:val="auto"/>
        </w:rPr>
      </w:pPr>
    </w:p>
    <w:p>
      <w:pPr>
        <w:ind w:left="-648" w:right="140" w:firstLine="1289"/>
        <w:spacing w:after="0" w:line="255" w:lineRule="auto"/>
        <w:tabs>
          <w:tab w:leader="none" w:pos="101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Participant has reviewed with Participant’s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82" w:lineRule="exact"/>
        <w:rPr>
          <w:rFonts w:ascii="Times New Roman" w:cs="Times New Roman" w:eastAsia="Times New Roman" w:hAnsi="Times New Roman"/>
          <w:sz w:val="18"/>
          <w:szCs w:val="18"/>
          <w:color w:val="auto"/>
        </w:rPr>
      </w:pPr>
    </w:p>
    <w:p>
      <w:pPr>
        <w:ind w:left="-648" w:right="20" w:firstLine="1289"/>
        <w:spacing w:after="0" w:line="252" w:lineRule="auto"/>
        <w:tabs>
          <w:tab w:leader="none" w:pos="101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Obligation to Deliver Shares. For clarification purposes, in no event will the Company 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Restricted Stock Units otherwise are scheduled to vest pursuant to Sections 5 or 6 or Participant’s Withholding Obligations otherwise become due, Participant permanently will forfeit such Restricted Stock Units to which Participant’s Withholding Obligation relates and any right to receive Shares thereunder and such Restricted Stock Units will be returned to the Company at no cost to the Company. Participant acknowledges and agrees that the Company may permanently refuse to issue or deliver the Shares if such Withholding Obligations are not delivered at the time they are due.</w:t>
      </w:r>
    </w:p>
    <w:p>
      <w:pPr>
        <w:spacing w:after="0" w:line="188" w:lineRule="exact"/>
        <w:rPr>
          <w:rFonts w:ascii="Times New Roman" w:cs="Times New Roman" w:eastAsia="Times New Roman" w:hAnsi="Times New Roman"/>
          <w:sz w:val="18"/>
          <w:szCs w:val="18"/>
          <w:color w:val="auto"/>
        </w:rPr>
      </w:pPr>
    </w:p>
    <w:p>
      <w:pPr>
        <w:ind w:left="-648" w:right="20" w:firstLine="648"/>
        <w:spacing w:after="0" w:line="250" w:lineRule="auto"/>
        <w:tabs>
          <w:tab w:leader="none" w:pos="3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Events. Notwithstanding any provisions to the contrary under this Award Agreement, the Award will be subject to reduction, cancellation, forfeiture, recoupment, reimbursement or reacquisition upon the occurrence of certain specified events, in addition to any otherwise applicable vesting conditions of the Award. Such events may include, without limitation, termination of Participant’s status as an employee or other service provider for cause or any specified action or inaction by Participant, whether before or after such termination of employment or other service, that would constitute cause for termination of Participant’s status as an employee or other service provider. The Award will be subject to reduction, cancellation, forfeiture, recoupment, reimbursement or reacquisition under any Company clawback policy that may be in effect at grant and any other clawback policy that the Company is required to adopt to comply with Applicable Laws, including without limitation pursuant to the listing standards of any national securities exchange or association on which the Company’s securities are listed or otherwise required by the Dodd-Frank Wall Street Reform and Consumer Protection Act (collectively,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The Administrator may require Participant to forfeit, return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12 specifically is mentioned and waived in a document, no recovery of compensation under a Clawback Policy or otherwise will constitute an event that triggers or contributes to any right of a Participant to resign for “good reason” or “constructive termination” (or similar term) under any agreement with the Company or any Subsidiary, Parent or Affiliate of the Company.</w:t>
      </w:r>
    </w:p>
    <w:p>
      <w:pPr>
        <w:spacing w:after="0" w:line="187" w:lineRule="exact"/>
        <w:rPr>
          <w:rFonts w:ascii="Times New Roman" w:cs="Times New Roman" w:eastAsia="Times New Roman" w:hAnsi="Times New Roman"/>
          <w:sz w:val="18"/>
          <w:szCs w:val="18"/>
          <w:color w:val="auto"/>
        </w:rPr>
      </w:pPr>
    </w:p>
    <w:p>
      <w:pPr>
        <w:ind w:left="-648" w:right="60" w:firstLine="648"/>
        <w:spacing w:after="0" w:line="255" w:lineRule="auto"/>
        <w:tabs>
          <w:tab w:leader="none" w:pos="3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as Stockholder.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2" w:lineRule="exact"/>
        <w:rPr>
          <w:rFonts w:ascii="Times New Roman" w:cs="Times New Roman" w:eastAsia="Times New Roman" w:hAnsi="Times New Roman"/>
          <w:sz w:val="18"/>
          <w:szCs w:val="18"/>
          <w:color w:val="auto"/>
        </w:rPr>
      </w:pPr>
    </w:p>
    <w:p>
      <w:pPr>
        <w:ind w:left="-648" w:right="20" w:firstLine="648"/>
        <w:spacing w:after="0" w:line="251" w:lineRule="auto"/>
        <w:tabs>
          <w:tab w:leader="none" w:pos="3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Guarantee of Continued Service. PARTICIPANT ACKNOWLEDGES AND AGREES THAT THE VESTING 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-10209530</wp:posOffset>
            </wp:positionV>
            <wp:extent cx="8743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-6002020</wp:posOffset>
            </wp:positionV>
            <wp:extent cx="9537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953770"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-5187950</wp:posOffset>
            </wp:positionV>
            <wp:extent cx="19589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195897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-4102100</wp:posOffset>
            </wp:positionV>
            <wp:extent cx="9010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90106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-2066290</wp:posOffset>
            </wp:positionV>
            <wp:extent cx="11055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-1252220</wp:posOffset>
            </wp:positionV>
            <wp:extent cx="17329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ectPr>
          <w:pgSz w:w="11900" w:h="16838" w:orient="portrait"/>
          <w:cols w:equalWidth="0" w:num="1">
            <w:col w:w="10592"/>
          </w:cols>
          <w:pgMar w:left="968" w:top="335" w:right="339" w:bottom="0" w:gutter="0" w:footer="0" w:header="0"/>
        </w:sectPr>
      </w:pPr>
    </w:p>
    <w:bookmarkStart w:id="25" w:name="page26"/>
    <w:bookmarkEnd w:id="25"/>
    <w:p>
      <w:pPr>
        <w:spacing w:after="0" w:line="15" w:lineRule="exact"/>
        <w:rPr>
          <w:sz w:val="20"/>
          <w:szCs w:val="20"/>
          <w:color w:val="auto"/>
        </w:rPr>
      </w:pPr>
    </w:p>
    <w:p>
      <w:pPr>
        <w:ind w:left="1040" w:hanging="392"/>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Dissolution or Liquidation; Merger or Change in Control.</w:t>
      </w:r>
    </w:p>
    <w:p>
      <w:pPr>
        <w:spacing w:after="0" w:line="220" w:lineRule="exact"/>
        <w:rPr>
          <w:rFonts w:ascii="Times New Roman" w:cs="Times New Roman" w:eastAsia="Times New Roman" w:hAnsi="Times New Roman"/>
          <w:sz w:val="18"/>
          <w:szCs w:val="18"/>
          <w:color w:val="auto"/>
        </w:rPr>
      </w:pPr>
    </w:p>
    <w:p>
      <w:pPr>
        <w:ind w:right="100" w:firstLine="1289"/>
        <w:spacing w:after="0" w:line="252" w:lineRule="auto"/>
        <w:tabs>
          <w:tab w:leader="none" w:pos="164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Award Agreement, will adjust the number and class of shares of stock covered by the Award. Notwithstanding the foregoing, the Company will have no obligation to effect any adjustment in a manner that may require the issuance of fractional Shares, and any fractional Shares resulting from any adjustment may be disregarded or provided for in any manner determined by the Administrator, in its sole discretion, subject to any Applicable Laws.</w:t>
      </w:r>
    </w:p>
    <w:p>
      <w:pPr>
        <w:spacing w:after="0" w:line="184" w:lineRule="exact"/>
        <w:rPr>
          <w:rFonts w:ascii="Times New Roman" w:cs="Times New Roman" w:eastAsia="Times New Roman" w:hAnsi="Times New Roman"/>
          <w:sz w:val="18"/>
          <w:szCs w:val="18"/>
          <w:color w:val="auto"/>
        </w:rPr>
      </w:pPr>
    </w:p>
    <w:p>
      <w:pPr>
        <w:ind w:right="40" w:firstLine="1289"/>
        <w:spacing w:after="0" w:line="262" w:lineRule="auto"/>
        <w:tabs>
          <w:tab w:leader="none" w:pos="166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or Liquidation. In the event of the proposed dissolution or liquidation of the Company, the Administrator will notify Participant as soon as practicable prior to the effective date of such proposed transaction. Unless provided otherwise by the Administrator, to the extent it has not been previously settled, the Award will terminate immediately prior to the consummation of such proposed action.</w:t>
      </w:r>
    </w:p>
    <w:p>
      <w:pPr>
        <w:spacing w:after="0" w:line="177" w:lineRule="exact"/>
        <w:rPr>
          <w:rFonts w:ascii="Times New Roman" w:cs="Times New Roman" w:eastAsia="Times New Roman" w:hAnsi="Times New Roman"/>
          <w:sz w:val="18"/>
          <w:szCs w:val="18"/>
          <w:color w:val="auto"/>
        </w:rPr>
      </w:pPr>
    </w:p>
    <w:p>
      <w:pPr>
        <w:ind w:firstLine="1289"/>
        <w:spacing w:after="0" w:line="250" w:lineRule="auto"/>
        <w:tabs>
          <w:tab w:leader="none" w:pos="165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or Change in Control. In the event of a merger of the Company with or into another corporation or other entity or a Change in Control, the Award will be treated as the Administrator determines (subject to the provisions of the following paragraph) without Participant’s consent, which may include, without limitation, that the Award will be: (i) assumed, or a substantially equivalent award(s) will be substituted, by the acquiring or succeeding entity (or an affiliate thereof) with appropriate adjustments as to the number and kind of shares; (ii) continued by the Company, subject to any adjustment pursuant to Section 15(a); (iii) upon written notice to Participant, terminate upon or immediately prior to the consummation of such merger or Change in Control; (iv) vest and become payable in whole or in part prior to or upon consummation of such merger or Change in Control, and, to the extent the Administrator determines, terminate upon or immediately prior to the effectiveness of such merger or Change in Control; (v) (A) terminated in exchange for an amount of cash and/or property, if any, equal to the amount that would have been attained upon the realization of Participant’s rights under this Award Agreement as of the date of the occurrence of the transaction (and, for purposes of clarity, if as of the date of the occurrence of the transaction the Administrator determines in good faith that no amount would have been attained upon the realization of Participant’s rights, then the Award will be terminated by the Company without payment), or (B) replaced with other rights or property selected by the Administrator in its sole discretion; or (vi) treated in any combination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-3556000</wp:posOffset>
            </wp:positionV>
            <wp:extent cx="33140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331406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-3284855</wp:posOffset>
            </wp:positionV>
            <wp:extent cx="678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678180"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-2063115</wp:posOffset>
            </wp:positionV>
            <wp:extent cx="13125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131254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-1520190</wp:posOffset>
            </wp:positionV>
            <wp:extent cx="14293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1429385" cy="8255"/>
                    </a:xfrm>
                    <a:prstGeom prst="rect">
                      <a:avLst/>
                    </a:prstGeom>
                    <a:noFill/>
                  </pic:spPr>
                </pic:pic>
              </a:graphicData>
            </a:graphic>
          </wp:anchor>
        </w:drawing>
      </w:r>
    </w:p>
    <w:p>
      <w:pPr>
        <w:spacing w:after="0" w:line="171"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In the event that the successor (or an affiliate thereof) does not assume the Award (or portion thereof) pursuant to the preceding clause (i) and as described below, or substitute for the Award (or portion thereof) pursuant to the preceding clause (i), and the Company does not continue the Award (or portion thereof) as described above, all restrictions on the Restricted Stock Units under the Award (or portion thereof) not so assumed, substituted for, or continued will lapse and all other terms and conditions will be deemed met, in each case, unless specifically provided otherwise under this Award Agreement or other written agreement authorized by the Administrator between Participant and the Company or any of its Subsidiaries, Parents or Affiliates, as applicable.</w:t>
      </w:r>
    </w:p>
    <w:p>
      <w:pPr>
        <w:spacing w:after="0" w:line="187" w:lineRule="exact"/>
        <w:rPr>
          <w:sz w:val="20"/>
          <w:szCs w:val="20"/>
          <w:color w:val="auto"/>
        </w:rPr>
      </w:pPr>
    </w:p>
    <w:p>
      <w:pPr>
        <w:jc w:val="both"/>
        <w:ind w:firstLine="1282"/>
        <w:spacing w:after="0" w:line="252" w:lineRule="auto"/>
        <w:rPr>
          <w:sz w:val="20"/>
          <w:szCs w:val="20"/>
          <w:color w:val="auto"/>
        </w:rPr>
      </w:pPr>
      <w:r>
        <w:rPr>
          <w:rFonts w:ascii="Times New Roman" w:cs="Times New Roman" w:eastAsia="Times New Roman" w:hAnsi="Times New Roman"/>
          <w:sz w:val="18"/>
          <w:szCs w:val="18"/>
          <w:color w:val="auto"/>
        </w:rPr>
        <w:t>For the purposes of this Section 15(c), the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or its Parent, the Administrator may, with the consent of the successor, provide for the consideration to be received upon the payout of each Restricted Stock Unit subject to the Award to be solely common stock of the successor or its Parent equal in fair market value to the per share consideration received by holders of Common Stock in the merger or Change in Control.</w:t>
      </w:r>
    </w:p>
    <w:p>
      <w:pPr>
        <w:spacing w:after="0" w:line="185"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Notwithstanding anything in this Section 15(c) to the contrary, and unless otherwise provided in this Award Agreement or other written agreement authorized by the Administrator between Participant and the Company or any of its Subsidiaries, Parents or Affiliates, as applicable, if a payment under this Award Agreement is subject to Section 409A and if the change in control definition contained in this Award Agreement (or other agreement related to the Award, as applicable) does not comply with the definition of “change in control” for purposes of a distribution under Section 409A, then any payment of an amount that otherwise would be accelerated under this Section will be delayed until the earliest time that such payment would be permissible under Section 409A without triggering any penalties thereunder.</w:t>
      </w:r>
    </w:p>
    <w:p>
      <w:pPr>
        <w:spacing w:after="0" w:line="187" w:lineRule="exact"/>
        <w:rPr>
          <w:sz w:val="20"/>
          <w:szCs w:val="20"/>
          <w:color w:val="auto"/>
        </w:rPr>
      </w:pPr>
    </w:p>
    <w:p>
      <w:pPr>
        <w:ind w:right="120" w:firstLine="648"/>
        <w:spacing w:after="0" w:line="255" w:lineRule="auto"/>
        <w:tabs>
          <w:tab w:leader="none" w:pos="104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is Not Transferable. Except to the limited extent provided in Section 10,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2"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Grant. In accepting this Award of Restricted Stock Units, Participant acknowledges, understands and agrees that:</w:t>
      </w:r>
    </w:p>
    <w:p>
      <w:pPr>
        <w:spacing w:after="0" w:line="220" w:lineRule="exact"/>
        <w:rPr>
          <w:rFonts w:ascii="Times New Roman" w:cs="Times New Roman" w:eastAsia="Times New Roman" w:hAnsi="Times New Roman"/>
          <w:sz w:val="18"/>
          <w:szCs w:val="18"/>
          <w:color w:val="auto"/>
        </w:rPr>
      </w:pPr>
    </w:p>
    <w:p>
      <w:pPr>
        <w:ind w:right="120" w:firstLine="1289"/>
        <w:spacing w:after="0" w:line="277" w:lineRule="auto"/>
        <w:tabs>
          <w:tab w:leader="none" w:pos="165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63" w:lineRule="exact"/>
        <w:rPr>
          <w:rFonts w:ascii="Times New Roman" w:cs="Times New Roman" w:eastAsia="Times New Roman" w:hAnsi="Times New Roman"/>
          <w:sz w:val="18"/>
          <w:szCs w:val="18"/>
          <w:color w:val="auto"/>
        </w:rPr>
      </w:pPr>
    </w:p>
    <w:p>
      <w:pPr>
        <w:ind w:left="1680" w:hanging="391"/>
        <w:spacing w:after="0"/>
        <w:tabs>
          <w:tab w:leader="none" w:pos="16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Units or other grants, if any, will be at the sole discretion of the Administrator;</w:t>
      </w:r>
    </w:p>
    <w:p>
      <w:pPr>
        <w:spacing w:after="0" w:line="220" w:lineRule="exact"/>
        <w:rPr>
          <w:rFonts w:ascii="Times New Roman" w:cs="Times New Roman" w:eastAsia="Times New Roman" w:hAnsi="Times New Roman"/>
          <w:sz w:val="18"/>
          <w:szCs w:val="18"/>
          <w:color w:val="auto"/>
        </w:rPr>
      </w:pPr>
    </w:p>
    <w:p>
      <w:pPr>
        <w:ind w:left="1660" w:hanging="371"/>
        <w:spacing w:after="0"/>
        <w:tabs>
          <w:tab w:leader="none" w:pos="1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are not intended to replace any pension rights or</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201" w:lineRule="exact"/>
        <w:rPr>
          <w:rFonts w:ascii="Times New Roman" w:cs="Times New Roman" w:eastAsia="Times New Roman" w:hAnsi="Times New Roman"/>
          <w:sz w:val="18"/>
          <w:szCs w:val="18"/>
          <w:color w:val="auto"/>
        </w:rPr>
      </w:pPr>
    </w:p>
    <w:p>
      <w:pPr>
        <w:ind w:right="200" w:firstLine="1289"/>
        <w:spacing w:after="0" w:line="262" w:lineRule="auto"/>
        <w:tabs>
          <w:tab w:leader="none" w:pos="166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77" w:lineRule="exact"/>
        <w:rPr>
          <w:rFonts w:ascii="Times New Roman" w:cs="Times New Roman" w:eastAsia="Times New Roman" w:hAnsi="Times New Roman"/>
          <w:sz w:val="18"/>
          <w:szCs w:val="18"/>
          <w:color w:val="auto"/>
        </w:rPr>
      </w:pPr>
    </w:p>
    <w:p>
      <w:pPr>
        <w:ind w:left="1660" w:hanging="371"/>
        <w:spacing w:after="0"/>
        <w:tabs>
          <w:tab w:leader="none" w:pos="1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Restricted Stock Units is unknown, indeterminable, and cannot be predicted with</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w:t>
      </w:r>
    </w:p>
    <w:p>
      <w:pPr>
        <w:spacing w:after="0" w:line="201" w:lineRule="exact"/>
        <w:rPr>
          <w:rFonts w:ascii="Times New Roman" w:cs="Times New Roman" w:eastAsia="Times New Roman" w:hAnsi="Times New Roman"/>
          <w:sz w:val="18"/>
          <w:szCs w:val="18"/>
          <w:color w:val="auto"/>
        </w:rPr>
      </w:pPr>
    </w:p>
    <w:p>
      <w:pPr>
        <w:ind w:right="120" w:firstLine="1289"/>
        <w:spacing w:after="0" w:line="308" w:lineRule="auto"/>
        <w:tabs>
          <w:tab w:leader="none" w:pos="1638"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the Restricted Stock Units, Participant’s status as a Service Provider will be considered terminated as of the date Participant is no longer actively providing services to the Company or any Parent, Subsidiary, or Affiliate of the Company (regardless of the reason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-3317875</wp:posOffset>
            </wp:positionV>
            <wp:extent cx="12674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126746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-2503170</wp:posOffset>
            </wp:positionV>
            <wp:extent cx="8286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828675" cy="8255"/>
                    </a:xfrm>
                    <a:prstGeom prst="rect">
                      <a:avLst/>
                    </a:prstGeom>
                    <a:noFill/>
                  </pic:spPr>
                </pic:pic>
              </a:graphicData>
            </a:graphic>
          </wp:anchor>
        </w:drawing>
      </w:r>
    </w:p>
    <w:p>
      <w:pPr>
        <w:sectPr>
          <w:pgSz w:w="11900" w:h="16853" w:orient="portrait"/>
          <w:cols w:equalWidth="0" w:num="1">
            <w:col w:w="11240"/>
          </w:cols>
          <w:pgMar w:left="320" w:top="335" w:right="339" w:bottom="0" w:gutter="0" w:footer="0" w:header="0"/>
        </w:sectPr>
      </w:pPr>
    </w:p>
    <w:bookmarkStart w:id="26" w:name="page27"/>
    <w:bookmarkEnd w:id="26"/>
    <w:p>
      <w:pPr>
        <w:spacing w:after="0" w:line="268" w:lineRule="auto"/>
        <w:rPr>
          <w:sz w:val="20"/>
          <w:szCs w:val="20"/>
          <w:color w:val="auto"/>
        </w:rPr>
      </w:pPr>
      <w:r>
        <w:rPr>
          <w:rFonts w:ascii="Times New Roman" w:cs="Times New Roman" w:eastAsia="Times New Roman" w:hAnsi="Times New Roman"/>
          <w:sz w:val="17"/>
          <w:szCs w:val="17"/>
          <w:color w:val="auto"/>
        </w:rPr>
        <w:t>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 and</w:t>
      </w:r>
    </w:p>
    <w:p>
      <w:pPr>
        <w:spacing w:after="0" w:line="177" w:lineRule="exact"/>
        <w:rPr>
          <w:sz w:val="20"/>
          <w:szCs w:val="20"/>
          <w:color w:val="auto"/>
        </w:rPr>
      </w:pPr>
    </w:p>
    <w:p>
      <w:pPr>
        <w:ind w:right="100" w:firstLine="1289"/>
        <w:spacing w:after="0" w:line="262" w:lineRule="auto"/>
        <w:tabs>
          <w:tab w:leader="none" w:pos="16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w:t>
      </w:r>
    </w:p>
    <w:p>
      <w:pPr>
        <w:spacing w:after="0" w:line="177" w:lineRule="exact"/>
        <w:rPr>
          <w:rFonts w:ascii="Times New Roman" w:cs="Times New Roman" w:eastAsia="Times New Roman" w:hAnsi="Times New Roman"/>
          <w:sz w:val="18"/>
          <w:szCs w:val="18"/>
          <w:color w:val="auto"/>
        </w:rPr>
      </w:pPr>
    </w:p>
    <w:p>
      <w:pPr>
        <w:ind w:right="140" w:firstLine="648"/>
        <w:spacing w:after="0" w:line="257" w:lineRule="auto"/>
        <w:tabs>
          <w:tab w:leader="none" w:pos="104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Advice Regarding Grant. The Company is not providing any tax, legal or financial advice, nor is the Company making any recommendations regarding Participant’s participation in this Award Agreement, or Participant’s acquisition or sale of the Shares underlying the Restricted Stock Units. Participant is hereby advised to consult with Participant’s own personal tax, legal and financial advisers regarding Participant’s participation in this Award Agreement before taking any action related to this Award Agreement.</w:t>
      </w:r>
    </w:p>
    <w:p>
      <w:pPr>
        <w:spacing w:after="0" w:line="182" w:lineRule="exact"/>
        <w:rPr>
          <w:rFonts w:ascii="Times New Roman" w:cs="Times New Roman" w:eastAsia="Times New Roman" w:hAnsi="Times New Roman"/>
          <w:sz w:val="18"/>
          <w:szCs w:val="18"/>
          <w:color w:val="auto"/>
        </w:rPr>
      </w:pPr>
    </w:p>
    <w:p>
      <w:pPr>
        <w:ind w:right="260" w:firstLine="648"/>
        <w:spacing w:after="0" w:line="262" w:lineRule="auto"/>
        <w:tabs>
          <w:tab w:leader="none" w:pos="103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Any notice to be given to the Company under the terms of this Award Agreement will be addressed to the Company at Accuray Incorporated, Attention: Stock Administration, 1240 Deming Way, Madison, WI 53717, or at such other address as the Company may hereafter designate in writing.</w:t>
      </w:r>
    </w:p>
    <w:p>
      <w:pPr>
        <w:spacing w:after="0" w:line="177" w:lineRule="exact"/>
        <w:rPr>
          <w:rFonts w:ascii="Times New Roman" w:cs="Times New Roman" w:eastAsia="Times New Roman" w:hAnsi="Times New Roman"/>
          <w:sz w:val="18"/>
          <w:szCs w:val="18"/>
          <w:color w:val="auto"/>
        </w:rPr>
      </w:pPr>
    </w:p>
    <w:p>
      <w:pPr>
        <w:ind w:right="80" w:firstLine="648"/>
        <w:spacing w:after="0" w:line="253" w:lineRule="auto"/>
        <w:tabs>
          <w:tab w:leader="none" w:pos="104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Restrictions/Market Abuse Laws. In addition to all other restrictions set forth in this Award Agreement, Participant is hereby notified that Participant may be subject to insider trading restrictions or market abuse laws, which may affect Participant’s ability to acquire or sell Shares or rights to Shares under this Award Agreement during such time as Participant is considered to have “inside information” regarding the Company (as defined by Applicable Laws). Any restrictions under these laws or regulations are separate from and in addition to any restrictions that may be imposed under any applicable Company insider trading policy. Participant acknowledges and agrees that it is Participant’s responsibility to comply with any applicable restrictions and Participant is advised to speak to Participant’s personal advisor on this matter.</w:t>
      </w:r>
    </w:p>
    <w:p>
      <w:pPr>
        <w:spacing w:after="0" w:line="186" w:lineRule="exact"/>
        <w:rPr>
          <w:rFonts w:ascii="Times New Roman" w:cs="Times New Roman" w:eastAsia="Times New Roman" w:hAnsi="Times New Roman"/>
          <w:sz w:val="18"/>
          <w:szCs w:val="18"/>
          <w:color w:val="auto"/>
        </w:rPr>
      </w:pPr>
    </w:p>
    <w:p>
      <w:pPr>
        <w:ind w:right="160" w:firstLine="648"/>
        <w:spacing w:after="0" w:line="257" w:lineRule="auto"/>
        <w:tabs>
          <w:tab w:leader="none" w:pos="104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and Assigns.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182"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Upon Issuance of Shares.</w:t>
      </w:r>
    </w:p>
    <w:p>
      <w:pPr>
        <w:spacing w:after="0" w:line="220" w:lineRule="exact"/>
        <w:rPr>
          <w:rFonts w:ascii="Times New Roman" w:cs="Times New Roman" w:eastAsia="Times New Roman" w:hAnsi="Times New Roman"/>
          <w:sz w:val="18"/>
          <w:szCs w:val="18"/>
          <w:color w:val="auto"/>
        </w:rPr>
      </w:pPr>
    </w:p>
    <w:p>
      <w:pPr>
        <w:ind w:right="140" w:firstLine="1289"/>
        <w:spacing w:after="0" w:line="262" w:lineRule="auto"/>
        <w:tabs>
          <w:tab w:leader="none" w:pos="165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Shares will not be issued pursuant to the Award, including without limitation upon vesting thereof, unless the issuance and delivery of such Shares and unless the vesting of the Award will comply with Applicable Laws. If required by the Administrator, issuance will be further subject to the approval of counsel for the Company with respect to such compliance.</w:t>
      </w:r>
    </w:p>
    <w:p>
      <w:pPr>
        <w:spacing w:after="0" w:line="177" w:lineRule="exact"/>
        <w:rPr>
          <w:rFonts w:ascii="Times New Roman" w:cs="Times New Roman" w:eastAsia="Times New Roman" w:hAnsi="Times New Roman"/>
          <w:sz w:val="18"/>
          <w:szCs w:val="18"/>
          <w:color w:val="auto"/>
        </w:rPr>
      </w:pPr>
    </w:p>
    <w:p>
      <w:pPr>
        <w:jc w:val="both"/>
        <w:ind w:right="160" w:firstLine="1289"/>
        <w:spacing w:after="0" w:line="262" w:lineRule="auto"/>
        <w:tabs>
          <w:tab w:leader="none" w:pos="16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Representations. As a condition to the issuance and delivery of Shares pursuant to the Award, the Company may require the person to whom such Shares will be issued to represent and warrant at such time that the Shares are being acquired only for investment and without any present intention to sell or distribute such Shares if, in the opinion of counsel for the Company, such a representation is required.</w:t>
      </w:r>
    </w:p>
    <w:p>
      <w:pPr>
        <w:spacing w:after="0" w:line="177" w:lineRule="exact"/>
        <w:rPr>
          <w:rFonts w:ascii="Times New Roman" w:cs="Times New Roman" w:eastAsia="Times New Roman" w:hAnsi="Times New Roman"/>
          <w:sz w:val="18"/>
          <w:szCs w:val="18"/>
          <w:color w:val="auto"/>
        </w:rPr>
      </w:pPr>
    </w:p>
    <w:p>
      <w:pPr>
        <w:ind w:right="20" w:firstLine="1289"/>
        <w:spacing w:after="0" w:line="266" w:lineRule="auto"/>
        <w:tabs>
          <w:tab w:leader="none" w:pos="1648"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Conditions to Issuance of Stock.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Participant’s estate) hereunder, such issuance will not occur unless and until such listing, registration, qualification, rule compliance, clearance, consent or approval will have been completed, effected or obtained free of any conditions not acceptable to the Company. If any such listing, registration, qualification, rule compliance, clearance, consent or approval has not been completed by the applicable Settlement Deadline Date (or, if later, the settlement date required under Section 6(c)(ii), as applicable) with respect to a Restricted Stock Unit in a manner that would allow it to be settled by the applicable Settlement Deadline Date (or, if later, the settlement date required under Section 6(c)(ii), as applicable), such Restricted Stock Unit shall be forfeited as of immediately following the Settlement Deadline Date (or, if later, the settlement date required under Section 6(c)(ii), as applicable). Subject to the terms of this Award Agreement,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75" w:lineRule="exact"/>
        <w:rPr>
          <w:rFonts w:ascii="Times New Roman" w:cs="Times New Roman" w:eastAsia="Times New Roman" w:hAnsi="Times New Roman"/>
          <w:sz w:val="17"/>
          <w:szCs w:val="17"/>
          <w:color w:val="auto"/>
        </w:rPr>
      </w:pPr>
    </w:p>
    <w:p>
      <w:pPr>
        <w:ind w:right="40" w:firstLine="1289"/>
        <w:spacing w:after="0" w:line="271" w:lineRule="auto"/>
        <w:tabs>
          <w:tab w:leader="none" w:pos="1668"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Authority. If the Company determines it to be impossible or impractical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71" w:lineRule="exact"/>
        <w:rPr>
          <w:rFonts w:ascii="Times New Roman" w:cs="Times New Roman" w:eastAsia="Times New Roman" w:hAnsi="Times New Roman"/>
          <w:sz w:val="17"/>
          <w:szCs w:val="17"/>
          <w:color w:val="auto"/>
        </w:rPr>
      </w:pPr>
    </w:p>
    <w:p>
      <w:pPr>
        <w:ind w:right="80" w:firstLine="648"/>
        <w:spacing w:after="0" w:line="252" w:lineRule="auto"/>
        <w:tabs>
          <w:tab w:leader="none" w:pos="104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 The Administrator will have the power to interpret this Award Agreement and to adopt such rules for the administration, interpretation and application of the Award Agreement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this Award Agreement. Unless the context requires otherwise and subject to the foregoing interpretation rights and powers of the Administrator in this Section 23, the term “or” as used in this Award Agreement is not exclusive.</w:t>
      </w:r>
    </w:p>
    <w:p>
      <w:pPr>
        <w:spacing w:after="0" w:line="188" w:lineRule="exact"/>
        <w:rPr>
          <w:rFonts w:ascii="Times New Roman" w:cs="Times New Roman" w:eastAsia="Times New Roman" w:hAnsi="Times New Roman"/>
          <w:sz w:val="18"/>
          <w:szCs w:val="18"/>
          <w:color w:val="auto"/>
        </w:rPr>
      </w:pPr>
    </w:p>
    <w:p>
      <w:pPr>
        <w:ind w:right="20" w:firstLine="648"/>
        <w:spacing w:after="0" w:line="277" w:lineRule="auto"/>
        <w:tabs>
          <w:tab w:leader="none" w:pos="104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Electronic Delivery and Acceptance. The Company may, in its sole discretion, decide to deliver any documents related to the Restricted Stock Units (including, without limitation, prospectuses required by the U.S. Securities and Exchange Commission) by electronic means (including, without limitation, all other documents that the Company is required to deliver to its security holders, such as annual reports and proxy statements). Participant hereby consents to receive such documents by electronic delivery and agrees to participate in this Award Agreement through any on-line or electronic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-8593455</wp:posOffset>
            </wp:positionV>
            <wp:extent cx="13906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139065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-7915275</wp:posOffset>
            </wp:positionV>
            <wp:extent cx="10109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101092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-7372350</wp:posOffset>
            </wp:positionV>
            <wp:extent cx="23253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232537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-6422390</wp:posOffset>
            </wp:positionV>
            <wp:extent cx="11868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118681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-5743575</wp:posOffset>
            </wp:positionV>
            <wp:extent cx="1786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178689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-5472430</wp:posOffset>
            </wp:positionV>
            <wp:extent cx="9448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944880"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-4929505</wp:posOffset>
            </wp:positionV>
            <wp:extent cx="13658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136588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-4386580</wp:posOffset>
            </wp:positionV>
            <wp:extent cx="20567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2056765"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-2486025</wp:posOffset>
            </wp:positionV>
            <wp:extent cx="14160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141605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-1536065</wp:posOffset>
            </wp:positionV>
            <wp:extent cx="7283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-450215</wp:posOffset>
            </wp:positionV>
            <wp:extent cx="17481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1748155"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27" w:name="page28"/>
    <w:bookmarkEnd w:id="27"/>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established and maintained by the Company or a third party designated by the Company. Participant agrees that the Company may deliver these documents by posting them on a web site maintained by the Company or by a third party under contract with the Company. If the Company posts these documents on a web site, it will notify Participant by electronic means.</w:t>
      </w:r>
    </w:p>
    <w:p>
      <w:pPr>
        <w:spacing w:after="0" w:line="177" w:lineRule="exact"/>
        <w:rPr>
          <w:sz w:val="20"/>
          <w:szCs w:val="20"/>
          <w:color w:val="auto"/>
        </w:rPr>
      </w:pPr>
    </w:p>
    <w:p>
      <w:pPr>
        <w:ind w:left="1040" w:hanging="392"/>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Captions. Captions provided herein are for convenience only and are not to serve as a basis for interpretation or construction of this Award</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1" w:lineRule="exact"/>
        <w:rPr>
          <w:rFonts w:ascii="Times New Roman" w:cs="Times New Roman" w:eastAsia="Times New Roman" w:hAnsi="Times New Roman"/>
          <w:sz w:val="18"/>
          <w:szCs w:val="18"/>
          <w:color w:val="auto"/>
        </w:rPr>
      </w:pPr>
    </w:p>
    <w:p>
      <w:pPr>
        <w:ind w:right="20" w:firstLine="648"/>
        <w:spacing w:after="0" w:line="253" w:lineRule="auto"/>
        <w:tabs>
          <w:tab w:leader="none" w:pos="10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Addendum. Notwithstanding any provisions in this Award Agreement, the Restricted Stock Units shall be subject to any global terms and conditions set forth in an appendix (if any) to this Award Agreement as well as any terms and conditions for any country whose laws are applicable to Participant and the Restricted Stock Units (as determined by the Administrator in its sole discretion) (the “</w:t>
      </w:r>
      <w:r>
        <w:rPr>
          <w:rFonts w:ascii="Times New Roman" w:cs="Times New Roman" w:eastAsia="Times New Roman" w:hAnsi="Times New Roman"/>
          <w:sz w:val="18"/>
          <w:szCs w:val="18"/>
          <w:b w:val="1"/>
          <w:bCs w:val="1"/>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186" w:lineRule="exact"/>
        <w:rPr>
          <w:rFonts w:ascii="Times New Roman" w:cs="Times New Roman" w:eastAsia="Times New Roman" w:hAnsi="Times New Roman"/>
          <w:sz w:val="18"/>
          <w:szCs w:val="18"/>
          <w:color w:val="auto"/>
        </w:rPr>
      </w:pPr>
    </w:p>
    <w:p>
      <w:pPr>
        <w:ind w:firstLine="648"/>
        <w:spacing w:after="0" w:line="251" w:lineRule="auto"/>
        <w:tabs>
          <w:tab w:leader="none" w:pos="10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 Agreement; Modifications. This Award Agreement (including for clarity any exhibits, appendices, and addenda attached to the Notice of Grant) constitutes the entire agreement of the parties with respect to the subject matter hereof and supersede in their entirety all prior undertakings and agreements of the Company and Participant with respect to the subject matter hereof. Participant expressly warrants that Participant is not accepting this Award Agreement in reliance on any promises, representations, or inducements other than those contained herein. Modifications to this Award Agreement can be made only by approval of the Administrator memorialized in an express written instrument executed by a duly authorized signatory of the Company. Except as provided in this paragraph, no amendment to this Award Agreement may materially impair the rights of Participant unless mutually agreed between Participant and the Administrator, which agreement must be in writing signed by Participant and a duly authorized signatory of the Company. Notwithstanding anything to the contrary in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86" w:lineRule="exact"/>
        <w:rPr>
          <w:rFonts w:ascii="Times New Roman" w:cs="Times New Roman" w:eastAsia="Times New Roman" w:hAnsi="Times New Roman"/>
          <w:sz w:val="18"/>
          <w:szCs w:val="18"/>
          <w:color w:val="auto"/>
        </w:rPr>
      </w:pPr>
    </w:p>
    <w:p>
      <w:pPr>
        <w:ind w:right="40" w:firstLine="648"/>
        <w:spacing w:after="0" w:line="257" w:lineRule="auto"/>
        <w:tabs>
          <w:tab w:leader="none" w:pos="10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Waiver.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2" w:lineRule="exact"/>
        <w:rPr>
          <w:rFonts w:ascii="Times New Roman" w:cs="Times New Roman" w:eastAsia="Times New Roman" w:hAnsi="Times New Roman"/>
          <w:sz w:val="18"/>
          <w:szCs w:val="18"/>
          <w:color w:val="auto"/>
        </w:rPr>
      </w:pPr>
    </w:p>
    <w:p>
      <w:pPr>
        <w:ind w:firstLine="648"/>
        <w:spacing w:after="0" w:line="262" w:lineRule="auto"/>
        <w:tabs>
          <w:tab w:leader="none" w:pos="10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Severability. This Award Agreement and the Restricted Stock Units are governed by, and construed in accordance with,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7" w:lineRule="exact"/>
        <w:rPr>
          <w:rFonts w:ascii="Times New Roman" w:cs="Times New Roman" w:eastAsia="Times New Roman" w:hAnsi="Times New Roman"/>
          <w:sz w:val="18"/>
          <w:szCs w:val="18"/>
          <w:color w:val="auto"/>
        </w:rPr>
      </w:pPr>
    </w:p>
    <w:p>
      <w:pPr>
        <w:ind w:right="240" w:firstLine="648"/>
        <w:spacing w:after="0" w:line="257" w:lineRule="auto"/>
        <w:tabs>
          <w:tab w:leader="none" w:pos="10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Terms. The terms, conditions, obligations, and requirements of this Award Agreement will apply as a condition of receiving and holding the Award without the need for any manual or other execution of this Award Agreement by Participant or the Company. Notwithstanding the foregoing, however, as a condition to holding the Award or the vesting or settlement of the Award, upon the Company’s request at any time, the Company may require Participant to manually or electronically sign this Award Agreement, if Participant has not already done so.</w:t>
      </w:r>
    </w:p>
    <w:p>
      <w:pPr>
        <w:spacing w:after="0" w:line="182"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-4759325</wp:posOffset>
            </wp:positionV>
            <wp:extent cx="5149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51498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-4351655</wp:posOffset>
            </wp:positionV>
            <wp:extent cx="10140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101409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-3401695</wp:posOffset>
            </wp:positionV>
            <wp:extent cx="16135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161353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-1908810</wp:posOffset>
            </wp:positionV>
            <wp:extent cx="6032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60325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-1230630</wp:posOffset>
            </wp:positionV>
            <wp:extent cx="14319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143192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-687705</wp:posOffset>
            </wp:positionV>
            <wp:extent cx="7867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color w:val="auto"/>
        </w:rPr>
        <w:t>EXHIBIT 99.3</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b w:val="1"/>
          <w:bCs w:val="1"/>
          <w:color w:val="auto"/>
        </w:rPr>
        <w:t>**Certain identified information has been excluded from this exhibit because it is both (i) not material and (ii) would be competitively harmful if</w:t>
      </w:r>
    </w:p>
    <w:p>
      <w:pPr>
        <w:spacing w:after="0" w:line="1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publicly disclosed**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STAND-ALONE INDUCEMENT PERFORMANCE UNIT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PERFORMANCE UNIT GRANT</w:t>
      </w:r>
    </w:p>
    <w:p>
      <w:pPr>
        <w:spacing w:after="0" w:line="220"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b w:val="1"/>
          <w:bCs w:val="1"/>
          <w:color w:val="auto"/>
        </w:rPr>
        <w:t xml:space="preserve">Participant must notify Accuray Incorporated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by the fifteenth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day of the month following the Date of Grant if he or she wishes to reject this Award. Otherwise, Participant will be deemed to have accepted the Award on the terms and conditions on which it is offered.</w:t>
      </w:r>
    </w:p>
    <w:p>
      <w:pPr>
        <w:spacing w:after="0" w:line="195"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Unless otherwise defined herein, each capitalized term used in this Notice of Performance Unit Grant and all exhibits, appendices, and addenda attached hereto, will have the meaning given such term in the Terms and Conditions of Performance Unit Grant attached hereto as Exhibit A (together, the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4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Participant Name:</w:t>
      </w:r>
      <w:r>
        <w:rPr>
          <w:sz w:val="20"/>
          <w:szCs w:val="20"/>
          <w:color w:val="auto"/>
        </w:rPr>
        <w:tab/>
      </w:r>
      <w:r>
        <w:rPr>
          <w:rFonts w:ascii="Times New Roman" w:cs="Times New Roman" w:eastAsia="Times New Roman" w:hAnsi="Times New Roman"/>
          <w:sz w:val="17"/>
          <w:szCs w:val="17"/>
          <w:b w:val="1"/>
          <w:bCs w:val="1"/>
          <w:color w:val="auto"/>
        </w:rPr>
        <w:t>David Shin</w:t>
      </w:r>
    </w:p>
    <w:p>
      <w:pPr>
        <w:spacing w:after="0" w:line="220"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8"/>
          <w:szCs w:val="18"/>
          <w:b w:val="1"/>
          <w:bCs w:val="1"/>
          <w:color w:val="auto"/>
        </w:rPr>
        <w:t>[Address]</w:t>
      </w:r>
    </w:p>
    <w:p>
      <w:pPr>
        <w:spacing w:after="0" w:line="220"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Participant has been granted the right to receive an Award of Performance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subject to the terms and conditions of this Award Agreement, as follows:</w:t>
      </w:r>
    </w:p>
    <w:p>
      <w:pPr>
        <w:spacing w:after="0" w:line="14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Number</w:t>
            </w:r>
          </w:p>
        </w:tc>
        <w:tc>
          <w:tcPr>
            <w:tcW w:w="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2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May 29, 2026</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07"/>
        </w:trPr>
        <w:tc>
          <w:tcPr>
            <w:tcW w:w="2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Target Number of PSUs</w:t>
            </w:r>
          </w:p>
        </w:tc>
        <w:tc>
          <w:tcPr>
            <w:tcW w:w="14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375,000 shares</w:t>
            </w:r>
          </w:p>
        </w:tc>
      </w:tr>
      <w:tr>
        <w:trPr>
          <w:trHeight w:val="20"/>
        </w:trPr>
        <w:tc>
          <w:tcPr>
            <w:tcW w:w="11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07"/>
        </w:trPr>
        <w:tc>
          <w:tcPr>
            <w:tcW w:w="2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Maximum Number of PSUs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6"/>
              </w:rPr>
              <w:t>562,500 shares</w:t>
            </w:r>
          </w:p>
        </w:tc>
      </w:tr>
      <w:tr>
        <w:trPr>
          <w:trHeight w:val="4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Criteria:</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18"/>
          <w:szCs w:val="18"/>
          <w:color w:val="auto"/>
        </w:rPr>
        <w:t xml:space="preserve">Subject to Section 5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any acceleration provisions contained in this Award Agreement or any other written agreement authorized by the Administrator between Participant and the Company (or any Parent, Subsidiary or Affiliate of the Company, as applicable) governing the terms of this Award (which, for clarity, includes that certain Executive Employment Agreement previously entered into between the Company and Participant that remains in effect as of the Date of Grant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xml:space="preserve">”)), the PSUs will be scheduled to vest according to the terms set forth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attached hereto.</w:t>
      </w:r>
    </w:p>
    <w:p>
      <w:pPr>
        <w:spacing w:after="0" w:line="182" w:lineRule="exact"/>
        <w:rPr>
          <w:sz w:val="20"/>
          <w:szCs w:val="20"/>
          <w:color w:val="auto"/>
        </w:rPr>
      </w:pPr>
    </w:p>
    <w:p>
      <w:pPr>
        <w:jc w:val="both"/>
        <w:ind w:firstLine="641"/>
        <w:spacing w:after="0" w:line="224" w:lineRule="auto"/>
        <w:rPr>
          <w:sz w:val="20"/>
          <w:szCs w:val="20"/>
          <w:color w:val="auto"/>
        </w:rPr>
      </w:pPr>
      <w:r>
        <w:rPr>
          <w:rFonts w:ascii="Times New Roman" w:cs="Times New Roman" w:eastAsia="Times New Roman" w:hAnsi="Times New Roman"/>
          <w:sz w:val="18"/>
          <w:szCs w:val="18"/>
          <w:color w:val="auto"/>
        </w:rPr>
        <w:t xml:space="preserve">If Participant does not wish to receive this Award and/or does not consent and agree to the terms and conditions on which the Award is offered, as set forth in this Award Agreement, then Participant must reject the Award by notifying the Company at Accuray Incorporated, Attention: Stock Administration, 1240 Deming Way, Madison, WI 53717 no later than </w:t>
      </w:r>
      <w:r>
        <w:rPr>
          <w:rFonts w:ascii="Times New Roman" w:cs="Times New Roman" w:eastAsia="Times New Roman" w:hAnsi="Times New Roman"/>
          <w:sz w:val="18"/>
          <w:szCs w:val="18"/>
          <w:b w:val="1"/>
          <w:bCs w:val="1"/>
          <w:color w:val="auto"/>
        </w:rPr>
        <w:t>the fifteenth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day of the month following the Date of Grant</w:t>
      </w:r>
      <w:r>
        <w:rPr>
          <w:rFonts w:ascii="Times New Roman" w:cs="Times New Roman" w:eastAsia="Times New Roman" w:hAnsi="Times New Roman"/>
          <w:sz w:val="18"/>
          <w:szCs w:val="18"/>
          <w:color w:val="auto"/>
        </w:rPr>
        <w:t>, in which case the Award will be cancelled. Participant’s failure to notify the Company of his or her rejection of the Award within this specified period will constitute Participant’s acceptance of the Award and his or her agreement with all terms and conditions of the Award, as set forth in this Award Agreement.</w:t>
      </w:r>
    </w:p>
    <w:p>
      <w:pPr>
        <w:spacing w:after="0" w:line="198"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 xml:space="preserve">Participant has reviewed this Award Agreement in its entirety, has had an opportunity to obtain the advice of counsel prior to executing this Award Agreement and fully understands all provisions of this Award Agreement. By accepting this Award, Participant hereby (i) agrees that this Award of PSUs is granted under and governed by the terms and conditions of this Award Agreement, including for clarity the Terms and Conditions of Performance Unit Grant,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and all other exhibits, appendices and addenda attached hereto, all of which are made a part of this document, (ii) accepts this Award Agreement subject to all of the terms and provisions thereof, (iii) accepts as binding, conclusive and final all decisions or interpretations of the Administrator upon any questions relating to this Award Agreement, and (iv) agrees to notify the Company upon any change in Participant’s residence address indicated below and to provide a valid email address if Participant no longer has a Company email address.</w:t>
      </w:r>
    </w:p>
    <w:p>
      <w:pPr>
        <w:sectPr>
          <w:pgSz w:w="11900" w:h="16838" w:orient="portrait"/>
          <w:cols w:equalWidth="0" w:num="1">
            <w:col w:w="11240"/>
          </w:cols>
          <w:pgMar w:left="320" w:top="335" w:right="339" w:bottom="561"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ACCURAY INCORPORATED</w:t>
      </w:r>
    </w:p>
    <w:p>
      <w:pPr>
        <w:spacing w:after="0" w:line="200" w:lineRule="exact"/>
        <w:rPr>
          <w:sz w:val="20"/>
          <w:szCs w:val="20"/>
          <w:color w:val="auto"/>
        </w:rPr>
      </w:pPr>
    </w:p>
    <w:p>
      <w:pPr>
        <w:sectPr>
          <w:pgSz w:w="11900" w:h="16838" w:orient="portrait"/>
          <w:cols w:equalWidth="0" w:num="2">
            <w:col w:w="1180" w:space="720"/>
            <w:col w:w="9340"/>
          </w:cols>
          <w:pgMar w:left="320" w:top="335" w:right="339" w:bottom="561" w:gutter="0" w:footer="0" w:header="0"/>
          <w:type w:val="continuous"/>
        </w:sectPr>
      </w:pPr>
    </w:p>
    <w:p>
      <w:pPr>
        <w:spacing w:after="0" w:line="28"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b w:val="1"/>
          <w:bCs w:val="1"/>
          <w:color w:val="auto"/>
        </w:rPr>
        <w:t xml:space="preserve">____________________________________ </w:t>
      </w:r>
      <w:r>
        <w:rPr>
          <w:rFonts w:ascii="Times New Roman" w:cs="Times New Roman" w:eastAsia="Times New Roman" w:hAnsi="Times New Roman"/>
          <w:sz w:val="17"/>
          <w:szCs w:val="17"/>
          <w:color w:val="auto"/>
        </w:rPr>
        <w:t>Signature Signature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w:t>
      </w:r>
    </w:p>
    <w:p>
      <w:pPr>
        <w:spacing w:after="0" w:line="445" w:lineRule="exact"/>
        <w:rPr>
          <w:sz w:val="20"/>
          <w:szCs w:val="20"/>
          <w:color w:val="auto"/>
        </w:rPr>
      </w:pPr>
    </w:p>
    <w:p>
      <w:pPr>
        <w:sectPr>
          <w:pgSz w:w="11900" w:h="16838" w:orient="portrait"/>
          <w:cols w:equalWidth="0" w:num="2">
            <w:col w:w="3220" w:space="400"/>
            <w:col w:w="7620"/>
          </w:cols>
          <w:pgMar w:left="320" w:top="335" w:right="339" w:bottom="561" w:gutter="0" w:footer="0" w:header="0"/>
          <w:type w:val="continuous"/>
        </w:sectPr>
      </w:pPr>
    </w:p>
    <w:p>
      <w:pPr>
        <w:spacing w:after="0" w:line="312" w:lineRule="auto"/>
        <w:rPr>
          <w:sz w:val="20"/>
          <w:szCs w:val="20"/>
          <w:color w:val="auto"/>
        </w:rPr>
      </w:pPr>
      <w:r>
        <w:rPr>
          <w:rFonts w:ascii="Times New Roman" w:cs="Times New Roman" w:eastAsia="Times New Roman" w:hAnsi="Times New Roman"/>
          <w:sz w:val="17"/>
          <w:szCs w:val="17"/>
          <w:b w:val="1"/>
          <w:bCs w:val="1"/>
          <w:color w:val="auto"/>
        </w:rPr>
        <w:t xml:space="preserve">____________________________________ </w:t>
      </w:r>
      <w:r>
        <w:rPr>
          <w:rFonts w:ascii="Times New Roman" w:cs="Times New Roman" w:eastAsia="Times New Roman" w:hAnsi="Times New Roman"/>
          <w:sz w:val="17"/>
          <w:szCs w:val="17"/>
          <w:color w:val="auto"/>
        </w:rPr>
        <w:t>Print Name 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w:t>
      </w:r>
    </w:p>
    <w:p>
      <w:pPr>
        <w:spacing w:after="0" w:line="445" w:lineRule="exact"/>
        <w:rPr>
          <w:sz w:val="20"/>
          <w:szCs w:val="20"/>
          <w:color w:val="auto"/>
        </w:rPr>
      </w:pPr>
    </w:p>
    <w:p>
      <w:pPr>
        <w:sectPr>
          <w:pgSz w:w="11900" w:h="16838" w:orient="portrait"/>
          <w:cols w:equalWidth="0" w:num="2">
            <w:col w:w="3220" w:space="400"/>
            <w:col w:w="7620"/>
          </w:cols>
          <w:pgMar w:left="320" w:top="335" w:right="339" w:bottom="561" w:gutter="0" w:footer="0" w:header="0"/>
          <w:type w:val="continuous"/>
        </w:sectPr>
      </w:pPr>
    </w:p>
    <w:p>
      <w:pPr>
        <w:ind w:left="4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Residence Address: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w:t>
      </w:r>
    </w:p>
    <w:p>
      <w:pPr>
        <w:sectPr>
          <w:pgSz w:w="11900" w:h="16838" w:orient="portrait"/>
          <w:cols w:equalWidth="0" w:num="1">
            <w:col w:w="11240"/>
          </w:cols>
          <w:pgMar w:left="320" w:top="335" w:right="339" w:bottom="561" w:gutter="0" w:footer="0" w:header="0"/>
          <w:type w:val="continuous"/>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STAND-ALONE INDUCEMENT PERFORMANCE UNIT AGREEMENT</w:t>
      </w:r>
    </w:p>
    <w:p>
      <w:pPr>
        <w:spacing w:after="0" w:line="22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TERMS AND CONDITIONS OF PERFORMANCE UNIT GRANT</w:t>
      </w:r>
    </w:p>
    <w:p>
      <w:pPr>
        <w:spacing w:after="0" w:line="224"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Definitions. As used herein, the following definitions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-8890</wp:posOffset>
            </wp:positionV>
            <wp:extent cx="6216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621665" cy="8255"/>
                    </a:xfrm>
                    <a:prstGeom prst="rect">
                      <a:avLst/>
                    </a:prstGeom>
                    <a:noFill/>
                  </pic:spPr>
                </pic:pic>
              </a:graphicData>
            </a:graphic>
          </wp:anchor>
        </w:drawing>
      </w:r>
    </w:p>
    <w:p>
      <w:pPr>
        <w:spacing w:after="0" w:line="196"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means the Board or any of its Committees as will be administering the Award Agreement, in accordance with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w:t>
      </w:r>
    </w:p>
    <w:p>
      <w:pPr>
        <w:spacing w:after="0" w:line="198"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any entity that, directly or indirectly, controls, is controlled by, or is under common control with, the Company.</w:t>
      </w:r>
    </w:p>
    <w:p>
      <w:pPr>
        <w:spacing w:after="0" w:line="220" w:lineRule="exact"/>
        <w:rPr>
          <w:sz w:val="20"/>
          <w:szCs w:val="20"/>
          <w:color w:val="auto"/>
        </w:rPr>
      </w:pPr>
    </w:p>
    <w:p>
      <w:pPr>
        <w:ind w:right="120" w:firstLine="1282"/>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that may apply to this Award.</w:t>
      </w:r>
    </w:p>
    <w:p>
      <w:pPr>
        <w:spacing w:after="0" w:line="175"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this award of Performance Units.</w:t>
      </w:r>
    </w:p>
    <w:p>
      <w:pPr>
        <w:spacing w:after="0" w:line="220"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means this Stand-Alone Inducement Performance Unit Agreement evidencing the Award.</w:t>
      </w:r>
    </w:p>
    <w:p>
      <w:pPr>
        <w:spacing w:after="0" w:line="220"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w:t>
      </w:r>
    </w:p>
    <w:p>
      <w:pPr>
        <w:spacing w:after="0" w:line="220"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(g)“</w:t>
      </w:r>
      <w:r>
        <w:rPr>
          <w:sz w:val="20"/>
          <w:szCs w:val="20"/>
          <w:color w:val="auto"/>
        </w:rPr>
        <w:tab/>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 the occurrence of any of the following events:</w:t>
      </w:r>
    </w:p>
    <w:p>
      <w:pPr>
        <w:spacing w:after="0" w:line="224" w:lineRule="exact"/>
        <w:rPr>
          <w:sz w:val="20"/>
          <w:szCs w:val="20"/>
          <w:color w:val="auto"/>
        </w:rPr>
      </w:pPr>
    </w:p>
    <w:p>
      <w:pPr>
        <w:ind w:firstLine="2251"/>
        <w:spacing w:after="0" w:line="267" w:lineRule="auto"/>
        <w:tabs>
          <w:tab w:leader="none" w:pos="258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ownership of the Company which occurs on the date that any one person, or more than one person acting as a group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acquires ownership of the stock of the Company that, together with the stock held by such Person, constitutes more than fifty percent (50%) of the total voting power of the stock of the Company; provided, however, that for purposes of this subsection (i),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6" w:lineRule="exact"/>
        <w:rPr>
          <w:rFonts w:ascii="Times New Roman" w:cs="Times New Roman" w:eastAsia="Times New Roman" w:hAnsi="Times New Roman"/>
          <w:sz w:val="17"/>
          <w:szCs w:val="17"/>
          <w:color w:val="auto"/>
        </w:rPr>
      </w:pPr>
    </w:p>
    <w:p>
      <w:pPr>
        <w:ind w:right="20" w:firstLine="2251"/>
        <w:spacing w:after="0" w:line="257" w:lineRule="auto"/>
        <w:tabs>
          <w:tab w:leader="none" w:pos="263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2" w:lineRule="exact"/>
        <w:rPr>
          <w:rFonts w:ascii="Times New Roman" w:cs="Times New Roman" w:eastAsia="Times New Roman" w:hAnsi="Times New Roman"/>
          <w:sz w:val="18"/>
          <w:szCs w:val="18"/>
          <w:color w:val="auto"/>
        </w:rPr>
      </w:pPr>
    </w:p>
    <w:p>
      <w:pPr>
        <w:ind w:right="60" w:firstLine="2251"/>
        <w:spacing w:after="0" w:line="250" w:lineRule="auto"/>
        <w:tabs>
          <w:tab w:leader="none" w:pos="267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jc w:val="both"/>
        <w:ind w:firstLine="1924"/>
        <w:spacing w:after="0" w:line="277"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3" w:lineRule="exact"/>
        <w:rPr>
          <w:sz w:val="20"/>
          <w:szCs w:val="20"/>
          <w:color w:val="auto"/>
        </w:rPr>
      </w:pPr>
    </w:p>
    <w:p>
      <w:pPr>
        <w:jc w:val="both"/>
        <w:ind w:firstLine="1924"/>
        <w:spacing w:after="0" w:line="277"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63" w:lineRule="exact"/>
        <w:rPr>
          <w:sz w:val="20"/>
          <w:szCs w:val="20"/>
          <w:color w:val="auto"/>
        </w:rPr>
      </w:pPr>
    </w:p>
    <w:p>
      <w:pPr>
        <w:jc w:val="both"/>
        <w:ind w:firstLine="1924"/>
        <w:spacing w:after="0" w:line="262" w:lineRule="auto"/>
        <w:rPr>
          <w:sz w:val="20"/>
          <w:szCs w:val="20"/>
          <w:color w:val="auto"/>
        </w:rPr>
      </w:pPr>
      <w:r>
        <w:rPr>
          <w:rFonts w:ascii="Times New Roman" w:cs="Times New Roman" w:eastAsia="Times New Roman" w:hAnsi="Times New Roman"/>
          <w:sz w:val="18"/>
          <w:szCs w:val="18"/>
          <w:color w:val="auto"/>
        </w:rPr>
        <w:t>Further and for purposes of clarity, a transaction will not constitute a Change in Control if: (i) its primary purpose is to change the jurisdiction of the Company’s incorporation, or (ii) its primary purpose is to create a holding company that will be owned in substantially the same proportions by the persons who held the Company’s securities immediately before such transaction.</w:t>
      </w:r>
    </w:p>
    <w:p>
      <w:pPr>
        <w:spacing w:after="0" w:line="173" w:lineRule="exact"/>
        <w:rPr>
          <w:sz w:val="20"/>
          <w:szCs w:val="20"/>
          <w:color w:val="auto"/>
        </w:rPr>
      </w:pPr>
    </w:p>
    <w:p>
      <w:pPr>
        <w:ind w:right="280" w:firstLine="1289"/>
        <w:spacing w:after="0" w:line="265" w:lineRule="auto"/>
        <w:tabs>
          <w:tab w:leader="none" w:pos="171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69" w:lineRule="exact"/>
        <w:rPr>
          <w:sz w:val="20"/>
          <w:szCs w:val="20"/>
          <w:color w:val="auto"/>
        </w:rPr>
      </w:pPr>
    </w:p>
    <w:p>
      <w:pPr>
        <w:ind w:firstLine="1282"/>
        <w:spacing w:after="0" w:line="28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2.</w:t>
      </w:r>
    </w:p>
    <w:p>
      <w:pPr>
        <w:spacing w:after="0" w:line="155"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of the Company.</w:t>
      </w:r>
    </w:p>
    <w:p>
      <w:pPr>
        <w:sectPr>
          <w:pgSz w:w="11900" w:h="16838" w:orient="portrait"/>
          <w:cols w:equalWidth="0" w:num="1">
            <w:col w:w="11240"/>
          </w:cols>
          <w:pgMar w:left="320" w:top="571" w:right="339" w:bottom="0" w:gutter="0" w:footer="0" w:header="0"/>
        </w:sectPr>
      </w:pPr>
    </w:p>
    <w:bookmarkStart w:id="31" w:name="page32"/>
    <w:bookmarkEnd w:id="31"/>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(k)“</w:t>
      </w:r>
      <w:r>
        <w:rPr>
          <w:sz w:val="20"/>
          <w:szCs w:val="20"/>
          <w:color w:val="auto"/>
        </w:rPr>
        <w:tab/>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means Accuray Incorporated, a Delaware corporation, or any successor thereto.</w:t>
      </w:r>
    </w:p>
    <w:p>
      <w:pPr>
        <w:spacing w:after="0" w:line="220" w:lineRule="exact"/>
        <w:rPr>
          <w:sz w:val="20"/>
          <w:szCs w:val="20"/>
          <w:color w:val="auto"/>
        </w:rPr>
      </w:pPr>
    </w:p>
    <w:p>
      <w:pPr>
        <w:ind w:right="180" w:firstLine="1282"/>
        <w:spacing w:after="0" w:line="256"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natural person, including an advisor, engaged by the Company or any Parent, Subsidiary or Affiliate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78" w:lineRule="exact"/>
        <w:rPr>
          <w:sz w:val="20"/>
          <w:szCs w:val="20"/>
          <w:color w:val="auto"/>
        </w:rPr>
      </w:pPr>
    </w:p>
    <w:p>
      <w:pPr>
        <w:ind w:left="1280"/>
        <w:spacing w:after="0"/>
        <w:tabs>
          <w:tab w:leader="none" w:pos="1780" w:val="left"/>
        </w:tabs>
        <w:rPr>
          <w:sz w:val="20"/>
          <w:szCs w:val="20"/>
          <w:color w:val="auto"/>
        </w:rPr>
      </w:pPr>
      <w:r>
        <w:rPr>
          <w:rFonts w:ascii="Times New Roman" w:cs="Times New Roman" w:eastAsia="Times New Roman" w:hAnsi="Times New Roman"/>
          <w:sz w:val="18"/>
          <w:szCs w:val="18"/>
          <w:color w:val="auto"/>
        </w:rPr>
        <w:t>(m)“</w:t>
      </w:r>
      <w:r>
        <w:rPr>
          <w:sz w:val="20"/>
          <w:szCs w:val="20"/>
          <w:color w:val="auto"/>
        </w:rPr>
        <w:tab/>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w:t>
      </w:r>
    </w:p>
    <w:p>
      <w:pPr>
        <w:spacing w:after="0" w:line="220" w:lineRule="exact"/>
        <w:rPr>
          <w:sz w:val="20"/>
          <w:szCs w:val="20"/>
          <w:color w:val="auto"/>
        </w:rPr>
      </w:pPr>
    </w:p>
    <w:p>
      <w:pPr>
        <w:ind w:right="60" w:firstLine="1282"/>
        <w:spacing w:after="0" w:line="312" w:lineRule="auto"/>
        <w:rPr>
          <w:sz w:val="20"/>
          <w:szCs w:val="20"/>
          <w:color w:val="auto"/>
        </w:rPr>
      </w:pPr>
      <w:r>
        <w:rPr>
          <w:rFonts w:ascii="Times New Roman" w:cs="Times New Roman" w:eastAsia="Times New Roman" w:hAnsi="Times New Roman"/>
          <w:sz w:val="17"/>
          <w:szCs w:val="17"/>
          <w:color w:val="auto"/>
        </w:rPr>
        <w:t xml:space="preserve">(n)“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means any person, including Officers and Directors, employed by the Company or any Parent, Subsidiary or Affiliate of the Company. Neither service as a Director nor payment of a director’s fee by the Company will be sufficient to constitute “employment” by the Company.</w:t>
      </w:r>
    </w:p>
    <w:p>
      <w:pPr>
        <w:spacing w:after="0" w:line="133"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U.S. Securities Exchange Act of 1934, as amended, including the rules and regulations promulgated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198"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(p)“</w:t>
      </w:r>
      <w:r>
        <w:rPr>
          <w:sz w:val="20"/>
          <w:szCs w:val="20"/>
          <w:color w:val="auto"/>
        </w:rPr>
        <w:tab/>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means, as of any date and unless the Administrator determines otherwise, the value of a Share determined as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2" w:lineRule="exact"/>
        <w:rPr>
          <w:sz w:val="20"/>
          <w:szCs w:val="20"/>
          <w:color w:val="auto"/>
        </w:rPr>
      </w:pPr>
    </w:p>
    <w:p>
      <w:pPr>
        <w:ind w:right="100" w:firstLine="2251"/>
        <w:spacing w:after="0" w:line="255" w:lineRule="auto"/>
        <w:tabs>
          <w:tab w:leader="none" w:pos="259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The Wall Street Journal or such other source as the Administrator deems reliable;</w:t>
      </w:r>
    </w:p>
    <w:p>
      <w:pPr>
        <w:spacing w:after="0" w:line="182" w:lineRule="exact"/>
        <w:rPr>
          <w:rFonts w:ascii="Times New Roman" w:cs="Times New Roman" w:eastAsia="Times New Roman" w:hAnsi="Times New Roman"/>
          <w:sz w:val="18"/>
          <w:szCs w:val="18"/>
          <w:color w:val="auto"/>
        </w:rPr>
      </w:pPr>
    </w:p>
    <w:p>
      <w:pPr>
        <w:jc w:val="both"/>
        <w:ind w:right="80" w:firstLine="2251"/>
        <w:spacing w:after="0" w:line="257" w:lineRule="auto"/>
        <w:tabs>
          <w:tab w:leader="none" w:pos="2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by a recognized securities dealer but selling prices are not reported, the Fair Market Value will be the mean between the high bid and low asked prices for the Common Stock on the date of determination (or, if no bids and asks were reported on that date, as applicable, on the last Trading Day such bids and asks were reported), as reported in The Wall Street Journal or such other source as the Administrator deems reliable; or</w:t>
      </w:r>
    </w:p>
    <w:p>
      <w:pPr>
        <w:spacing w:after="0" w:line="182" w:lineRule="exact"/>
        <w:rPr>
          <w:rFonts w:ascii="Times New Roman" w:cs="Times New Roman" w:eastAsia="Times New Roman" w:hAnsi="Times New Roman"/>
          <w:sz w:val="18"/>
          <w:szCs w:val="18"/>
          <w:color w:val="auto"/>
        </w:rPr>
      </w:pPr>
    </w:p>
    <w:p>
      <w:pPr>
        <w:ind w:left="2700" w:hanging="449"/>
        <w:spacing w:after="0"/>
        <w:tabs>
          <w:tab w:leader="none" w:pos="27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Stock, the Fair Market Value will be determined in good faith</w:t>
      </w:r>
    </w:p>
    <w:p>
      <w:pPr>
        <w:spacing w:after="0" w:line="3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by the Administrator.</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Notwithstanding the foregoing, for purposes of determining the fair market value of any Shares subject to the PSUs for any reason,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78" w:lineRule="exact"/>
        <w:rPr>
          <w:sz w:val="20"/>
          <w:szCs w:val="20"/>
          <w:color w:val="auto"/>
        </w:rPr>
      </w:pPr>
    </w:p>
    <w:p>
      <w:pPr>
        <w:ind w:right="1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55"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(r)“</w:t>
      </w:r>
      <w:r>
        <w:rPr>
          <w:sz w:val="20"/>
          <w:szCs w:val="20"/>
          <w:color w:val="auto"/>
        </w:rPr>
        <w:tab/>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means a “parent corporation,” whether now or hereafter existing, as defined in Section 424(e) of the Code.</w:t>
      </w:r>
    </w:p>
    <w:p>
      <w:pPr>
        <w:spacing w:after="0" w:line="220"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the person named in the Notice of Grant or such person’s successor.</w:t>
      </w:r>
    </w:p>
    <w:p>
      <w:pPr>
        <w:spacing w:after="0" w:line="220" w:lineRule="exact"/>
        <w:rPr>
          <w:sz w:val="20"/>
          <w:szCs w:val="20"/>
          <w:color w:val="auto"/>
        </w:rPr>
      </w:pPr>
    </w:p>
    <w:p>
      <w:pPr>
        <w:ind w:right="200" w:firstLine="1282"/>
        <w:spacing w:after="0" w:line="265"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b w:val="1"/>
          <w:bCs w:val="1"/>
          <w:color w:val="auto"/>
        </w:rPr>
        <w:t>Performance Unit</w:t>
      </w:r>
      <w:r>
        <w:rPr>
          <w:rFonts w:ascii="Times New Roman" w:cs="Times New Roman" w:eastAsia="Times New Roman" w:hAnsi="Times New Roman"/>
          <w:sz w:val="18"/>
          <w:szCs w:val="18"/>
          <w:color w:val="auto"/>
        </w:rPr>
        <w:t>” means a bookkeeping entry representing an amount equal to the fair market value of one Share, which may be earned in whole or in part upon attainment of performance goals or other vesting criteria as the Administrator may determine. Each Performance Unit represents an unfunded and unsecured obligation of the Company.</w:t>
      </w:r>
    </w:p>
    <w:p>
      <w:pPr>
        <w:spacing w:after="0" w:line="169" w:lineRule="exact"/>
        <w:rPr>
          <w:sz w:val="20"/>
          <w:szCs w:val="20"/>
          <w:color w:val="auto"/>
        </w:rPr>
      </w:pPr>
    </w:p>
    <w:p>
      <w:pPr>
        <w:ind w:right="1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Award Agreement.</w:t>
      </w:r>
    </w:p>
    <w:p>
      <w:pPr>
        <w:spacing w:after="0" w:line="155" w:lineRule="exact"/>
        <w:rPr>
          <w:sz w:val="20"/>
          <w:szCs w:val="20"/>
          <w:color w:val="auto"/>
        </w:rPr>
      </w:pPr>
    </w:p>
    <w:p>
      <w:pPr>
        <w:ind w:right="3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 and the U.S. Treasury Regulations and guidance thereunder, and any applicable state law equivalent, as each may be promulgated, amended or modified from time to time.</w:t>
      </w:r>
    </w:p>
    <w:p>
      <w:pPr>
        <w:spacing w:after="0" w:line="155" w:lineRule="exact"/>
        <w:rPr>
          <w:sz w:val="20"/>
          <w:szCs w:val="20"/>
          <w:color w:val="auto"/>
        </w:rPr>
      </w:pPr>
    </w:p>
    <w:p>
      <w:pPr>
        <w:ind w:left="1280"/>
        <w:spacing w:after="0"/>
        <w:tabs>
          <w:tab w:leader="none" w:pos="1780" w:val="left"/>
        </w:tabs>
        <w:rPr>
          <w:sz w:val="20"/>
          <w:szCs w:val="20"/>
          <w:color w:val="auto"/>
        </w:rPr>
      </w:pPr>
      <w:r>
        <w:rPr>
          <w:rFonts w:ascii="Times New Roman" w:cs="Times New Roman" w:eastAsia="Times New Roman" w:hAnsi="Times New Roman"/>
          <w:sz w:val="18"/>
          <w:szCs w:val="18"/>
          <w:color w:val="auto"/>
        </w:rPr>
        <w:t>(w)“</w:t>
      </w:r>
      <w:r>
        <w:rPr>
          <w:sz w:val="20"/>
          <w:szCs w:val="20"/>
          <w:color w:val="auto"/>
        </w:rPr>
        <w:tab/>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U.S. Securities Act of 1933, as amended, including the rules and regulations promulgated thereunder.</w:t>
      </w:r>
    </w:p>
    <w:p>
      <w:pPr>
        <w:spacing w:after="0" w:line="220"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7"/>
          <w:szCs w:val="17"/>
          <w:b w:val="1"/>
          <w:bCs w:val="1"/>
          <w:color w:val="auto"/>
        </w:rPr>
        <w:t>Service Provider</w:t>
      </w:r>
      <w:r>
        <w:rPr>
          <w:rFonts w:ascii="Times New Roman" w:cs="Times New Roman" w:eastAsia="Times New Roman" w:hAnsi="Times New Roman"/>
          <w:sz w:val="17"/>
          <w:szCs w:val="17"/>
          <w:color w:val="auto"/>
        </w:rPr>
        <w:t>” means an Employee, Director or Consultant.</w:t>
      </w:r>
    </w:p>
    <w:p>
      <w:pPr>
        <w:spacing w:after="0" w:line="220"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(y)“</w:t>
      </w:r>
      <w:r>
        <w:rPr>
          <w:sz w:val="20"/>
          <w:szCs w:val="20"/>
          <w:color w:val="auto"/>
        </w:rPr>
        <w:tab/>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means a share of the Common Stock, as adjusted in accordance with Section 15.</w:t>
      </w:r>
    </w:p>
    <w:p>
      <w:pPr>
        <w:spacing w:after="0" w:line="184" w:lineRule="exact"/>
        <w:rPr>
          <w:sz w:val="20"/>
          <w:szCs w:val="20"/>
          <w:color w:val="auto"/>
        </w:rPr>
      </w:pPr>
    </w:p>
    <w:p>
      <w:pPr>
        <w:ind w:left="1280"/>
        <w:spacing w:after="0" w:line="207" w:lineRule="exact"/>
        <w:tabs>
          <w:tab w:leader="none" w:pos="1720" w:val="left"/>
        </w:tabs>
        <w:rPr>
          <w:sz w:val="20"/>
          <w:szCs w:val="20"/>
          <w:color w:val="auto"/>
        </w:rPr>
      </w:pPr>
      <w:r>
        <w:rPr>
          <w:rFonts w:ascii="Times New Roman" w:cs="Times New Roman" w:eastAsia="Times New Roman" w:hAnsi="Times New Roman"/>
          <w:sz w:val="18"/>
          <w:szCs w:val="18"/>
          <w:color w:val="auto"/>
        </w:rPr>
        <w:t>(z)“</w:t>
      </w:r>
      <w:r>
        <w:rPr>
          <w:sz w:val="20"/>
          <w:szCs w:val="20"/>
          <w:color w:val="auto"/>
        </w:rPr>
        <w:tab/>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 “subsidiary corporation,” whether now or hereafter exist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ing, as defined in Section 424(f) of the Code.</w:t>
      </w:r>
    </w:p>
    <w:p>
      <w:pPr>
        <w:spacing w:after="0" w:line="257" w:lineRule="exact"/>
        <w:rPr>
          <w:sz w:val="20"/>
          <w:szCs w:val="20"/>
          <w:color w:val="auto"/>
        </w:rPr>
      </w:pPr>
    </w:p>
    <w:p>
      <w:pPr>
        <w:ind w:right="1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(aa)“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55" w:lineRule="exact"/>
        <w:rPr>
          <w:sz w:val="20"/>
          <w:szCs w:val="20"/>
          <w:color w:val="auto"/>
        </w:rPr>
      </w:pPr>
    </w:p>
    <w:p>
      <w:pPr>
        <w:ind w:right="140" w:firstLine="1282"/>
        <w:spacing w:after="0" w:line="265"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3" w:lineRule="exact"/>
        <w:rPr>
          <w:sz w:val="20"/>
          <w:szCs w:val="20"/>
          <w:color w:val="auto"/>
        </w:rPr>
      </w:pPr>
    </w:p>
    <w:p>
      <w:pPr>
        <w:ind w:left="940" w:hanging="292"/>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w:t>
      </w:r>
    </w:p>
    <w:p>
      <w:pPr>
        <w:spacing w:after="0" w:line="220" w:lineRule="exact"/>
        <w:rPr>
          <w:rFonts w:ascii="Times New Roman" w:cs="Times New Roman" w:eastAsia="Times New Roman" w:hAnsi="Times New Roman"/>
          <w:sz w:val="18"/>
          <w:szCs w:val="18"/>
          <w:color w:val="auto"/>
        </w:rPr>
      </w:pPr>
    </w:p>
    <w:p>
      <w:pPr>
        <w:ind w:left="1660" w:hanging="371"/>
        <w:spacing w:after="0"/>
        <w:tabs>
          <w:tab w:leader="none" w:pos="1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w:t>
      </w:r>
    </w:p>
    <w:p>
      <w:pPr>
        <w:spacing w:after="0" w:line="220" w:lineRule="exact"/>
        <w:rPr>
          <w:rFonts w:ascii="Times New Roman" w:cs="Times New Roman" w:eastAsia="Times New Roman" w:hAnsi="Times New Roman"/>
          <w:sz w:val="18"/>
          <w:szCs w:val="18"/>
          <w:color w:val="auto"/>
        </w:rPr>
      </w:pPr>
    </w:p>
    <w:p>
      <w:pPr>
        <w:ind w:right="500" w:firstLine="2251"/>
        <w:spacing w:after="0" w:line="277" w:lineRule="auto"/>
        <w:tabs>
          <w:tab w:leader="none" w:pos="259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16b-3. To the extent desirable to qualify transactions hereunder as exempt under Rule 16b-3, the transactions contemplated hereunder will be structured to satisfy the requirements for exemption under Rule 16b-3.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-723900</wp:posOffset>
            </wp:positionV>
            <wp:extent cx="7912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9121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-452120</wp:posOffset>
            </wp:positionV>
            <wp:extent cx="571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1536065</wp:posOffset>
            </wp:positionH>
            <wp:positionV relativeFrom="paragraph">
              <wp:posOffset>-180975</wp:posOffset>
            </wp:positionV>
            <wp:extent cx="6184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618490" cy="825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bookmarkStart w:id="32" w:name="page33"/>
    <w:bookmarkEnd w:id="32"/>
    <w:p>
      <w:pPr>
        <w:ind w:left="2633" w:hanging="389"/>
        <w:spacing w:after="0"/>
        <w:tabs>
          <w:tab w:leader="none" w:pos="2633"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Administration. Other than as provided above, this Award Agreement will be administered by (A) the Board or</w:t>
      </w:r>
    </w:p>
    <w:p>
      <w:pPr>
        <w:spacing w:after="0" w:line="25" w:lineRule="exact"/>
        <w:rPr>
          <w:rFonts w:ascii="Times New Roman" w:cs="Times New Roman" w:eastAsia="Times New Roman" w:hAnsi="Times New Roman"/>
          <w:sz w:val="18"/>
          <w:szCs w:val="18"/>
          <w:color w:val="auto"/>
        </w:rPr>
      </w:pPr>
    </w:p>
    <w:p>
      <w:pPr>
        <w:ind w:left="273" w:hanging="273"/>
        <w:spacing w:after="0"/>
        <w:tabs>
          <w:tab w:leader="none" w:pos="2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which Committee will be constituted to comply with Applicable Laws.</w:t>
      </w:r>
    </w:p>
    <w:p>
      <w:pPr>
        <w:spacing w:after="0" w:line="201" w:lineRule="exact"/>
        <w:rPr>
          <w:rFonts w:ascii="Times New Roman" w:cs="Times New Roman" w:eastAsia="Times New Roman" w:hAnsi="Times New Roman"/>
          <w:sz w:val="18"/>
          <w:szCs w:val="18"/>
          <w:color w:val="auto"/>
        </w:rPr>
      </w:pPr>
    </w:p>
    <w:p>
      <w:pPr>
        <w:ind w:left="-7" w:right="100" w:firstLine="2251"/>
        <w:spacing w:after="0" w:line="262" w:lineRule="auto"/>
        <w:tabs>
          <w:tab w:leader="none" w:pos="2682"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for Day-to-Day Administration. Except to the extent prohibited by Applicable Laws, the Administrator may delegate to one or more individuals the day-to-day administration of this Award Agreement and any of the functions assigned to it in this Award Agreement. Such delegation may be revoked at any time.</w:t>
      </w:r>
    </w:p>
    <w:p>
      <w:pPr>
        <w:spacing w:after="0" w:line="177" w:lineRule="exact"/>
        <w:rPr>
          <w:rFonts w:ascii="Times New Roman" w:cs="Times New Roman" w:eastAsia="Times New Roman" w:hAnsi="Times New Roman"/>
          <w:sz w:val="18"/>
          <w:szCs w:val="18"/>
          <w:color w:val="auto"/>
        </w:rPr>
      </w:pPr>
    </w:p>
    <w:p>
      <w:pPr>
        <w:ind w:left="-7" w:right="560" w:firstLine="1289"/>
        <w:spacing w:after="0" w:line="277" w:lineRule="auto"/>
        <w:tabs>
          <w:tab w:leader="none" w:pos="166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the Administrator. Subject to the provisions of the Award Agreement, and in the case of a Committee, subject to the specific duties delegated by the Board to such Committee, the Administrator will have the authority, in its discretion:</w:t>
      </w:r>
    </w:p>
    <w:p>
      <w:pPr>
        <w:spacing w:after="0" w:line="163" w:lineRule="exact"/>
        <w:rPr>
          <w:rFonts w:ascii="Times New Roman" w:cs="Times New Roman" w:eastAsia="Times New Roman" w:hAnsi="Times New Roman"/>
          <w:sz w:val="18"/>
          <w:szCs w:val="18"/>
          <w:color w:val="auto"/>
        </w:rPr>
      </w:pPr>
    </w:p>
    <w:p>
      <w:pPr>
        <w:ind w:left="2593" w:hanging="349"/>
        <w:spacing w:after="0"/>
        <w:tabs>
          <w:tab w:leader="none" w:pos="2593"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-1365885</wp:posOffset>
            </wp:positionV>
            <wp:extent cx="10833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1083310" cy="825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-958850</wp:posOffset>
            </wp:positionV>
            <wp:extent cx="26403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-415925</wp:posOffset>
            </wp:positionV>
            <wp:extent cx="13970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00" w:lineRule="exact"/>
        <w:rPr>
          <w:sz w:val="20"/>
          <w:szCs w:val="20"/>
          <w:color w:val="auto"/>
        </w:rPr>
      </w:pPr>
    </w:p>
    <w:p>
      <w:pPr>
        <w:ind w:left="2633" w:hanging="389"/>
        <w:spacing w:after="0"/>
        <w:tabs>
          <w:tab w:leader="none" w:pos="2633"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Award and this Award Agreement;</w:t>
      </w:r>
    </w:p>
    <w:p>
      <w:pPr>
        <w:spacing w:after="0" w:line="220" w:lineRule="exact"/>
        <w:rPr>
          <w:rFonts w:ascii="Times New Roman" w:cs="Times New Roman" w:eastAsia="Times New Roman" w:hAnsi="Times New Roman"/>
          <w:sz w:val="18"/>
          <w:szCs w:val="18"/>
          <w:color w:val="auto"/>
        </w:rPr>
      </w:pPr>
    </w:p>
    <w:p>
      <w:pPr>
        <w:ind w:left="-7" w:right="160" w:firstLine="2251"/>
        <w:spacing w:after="0" w:line="238" w:lineRule="exact"/>
        <w:tabs>
          <w:tab w:leader="none" w:pos="2682" w:val="left"/>
        </w:tabs>
        <w:numPr>
          <w:ilvl w:val="2"/>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prescribe, amend and rescind rules and regulations relating to the Award, including easing the administration of the Award and/or qualifying for favorable tax treatment under applicable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laws, in each case as the Administrator may deem necessary or advisable.</w:t>
      </w:r>
    </w:p>
    <w:p>
      <w:pPr>
        <w:spacing w:after="0" w:line="167" w:lineRule="exact"/>
        <w:rPr>
          <w:rFonts w:ascii="Times New Roman" w:cs="Times New Roman" w:eastAsia="Times New Roman" w:hAnsi="Times New Roman"/>
          <w:sz w:val="17"/>
          <w:szCs w:val="17"/>
          <w:color w:val="auto"/>
        </w:rPr>
      </w:pPr>
    </w:p>
    <w:p>
      <w:pPr>
        <w:ind w:left="2673" w:hanging="429"/>
        <w:spacing w:after="0"/>
        <w:tabs>
          <w:tab w:leader="none" w:pos="2673"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the Award;</w:t>
      </w:r>
    </w:p>
    <w:p>
      <w:pPr>
        <w:spacing w:after="0" w:line="220" w:lineRule="exact"/>
        <w:rPr>
          <w:rFonts w:ascii="Times New Roman" w:cs="Times New Roman" w:eastAsia="Times New Roman" w:hAnsi="Times New Roman"/>
          <w:sz w:val="18"/>
          <w:szCs w:val="18"/>
          <w:color w:val="auto"/>
        </w:rPr>
      </w:pPr>
    </w:p>
    <w:p>
      <w:pPr>
        <w:ind w:left="2633" w:hanging="389"/>
        <w:spacing w:after="0"/>
        <w:tabs>
          <w:tab w:leader="none" w:pos="2633"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the Award will be settled in Shares, cash or in any combination thereof; and</w:t>
      </w:r>
    </w:p>
    <w:p>
      <w:pPr>
        <w:spacing w:after="0" w:line="220" w:lineRule="exact"/>
        <w:rPr>
          <w:rFonts w:ascii="Times New Roman" w:cs="Times New Roman" w:eastAsia="Times New Roman" w:hAnsi="Times New Roman"/>
          <w:sz w:val="18"/>
          <w:szCs w:val="18"/>
          <w:color w:val="auto"/>
        </w:rPr>
      </w:pPr>
    </w:p>
    <w:p>
      <w:pPr>
        <w:ind w:left="2673" w:hanging="429"/>
        <w:spacing w:after="0"/>
        <w:tabs>
          <w:tab w:leader="none" w:pos="2673" w:val="left"/>
        </w:tabs>
        <w:numPr>
          <w:ilvl w:val="2"/>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all other determinations deemed necessary or advisable for administering the Award and the Award Agreement.</w:t>
      </w:r>
    </w:p>
    <w:p>
      <w:pPr>
        <w:spacing w:after="0" w:line="231" w:lineRule="exact"/>
        <w:rPr>
          <w:rFonts w:ascii="Times New Roman" w:cs="Times New Roman" w:eastAsia="Times New Roman" w:hAnsi="Times New Roman"/>
          <w:sz w:val="17"/>
          <w:szCs w:val="17"/>
          <w:color w:val="auto"/>
        </w:rPr>
      </w:pPr>
    </w:p>
    <w:p>
      <w:pPr>
        <w:ind w:left="-7" w:right="200" w:firstLine="1289"/>
        <w:spacing w:after="0" w:line="277" w:lineRule="auto"/>
        <w:tabs>
          <w:tab w:leader="none" w:pos="165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Administrator’s Decisions. The Administrator’s decisions, determinations, and interpretations will be final and binding on Participant and will be given the maximum deference permitted by Applicable Laws.</w:t>
      </w:r>
    </w:p>
    <w:p>
      <w:pPr>
        <w:spacing w:after="0" w:line="159" w:lineRule="exact"/>
        <w:rPr>
          <w:rFonts w:ascii="Times New Roman" w:cs="Times New Roman" w:eastAsia="Times New Roman" w:hAnsi="Times New Roman"/>
          <w:sz w:val="18"/>
          <w:szCs w:val="18"/>
          <w:color w:val="auto"/>
        </w:rPr>
      </w:pPr>
    </w:p>
    <w:p>
      <w:pPr>
        <w:ind w:left="-7" w:right="60" w:firstLine="648"/>
        <w:spacing w:after="0" w:line="265" w:lineRule="auto"/>
        <w:tabs>
          <w:tab w:leader="none" w:pos="9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Performance Units. The Company hereby grants to the individual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named in the Notice of Performance Unit Grant of this Award Agreement (the “</w:t>
      </w:r>
      <w:r>
        <w:rPr>
          <w:rFonts w:ascii="Times New Roman" w:cs="Times New Roman" w:eastAsia="Times New Roman" w:hAnsi="Times New Roman"/>
          <w:sz w:val="18"/>
          <w:szCs w:val="18"/>
          <w:b w:val="1"/>
          <w:bCs w:val="1"/>
          <w:color w:val="auto"/>
        </w:rPr>
        <w:t>Notice of Grant</w:t>
      </w:r>
      <w:r>
        <w:rPr>
          <w:rFonts w:ascii="Times New Roman" w:cs="Times New Roman" w:eastAsia="Times New Roman" w:hAnsi="Times New Roman"/>
          <w:sz w:val="18"/>
          <w:szCs w:val="18"/>
          <w:color w:val="auto"/>
        </w:rPr>
        <w:t>”) an Award of Performance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subject to the terms and conditions of this Award Agreement. The Award is intended to qualify as an employment inducement grant under Nasdaq Listing Rule 5635(c)(4).</w:t>
      </w:r>
    </w:p>
    <w:p>
      <w:pPr>
        <w:spacing w:after="0" w:line="173" w:lineRule="exact"/>
        <w:rPr>
          <w:rFonts w:ascii="Times New Roman" w:cs="Times New Roman" w:eastAsia="Times New Roman" w:hAnsi="Times New Roman"/>
          <w:sz w:val="18"/>
          <w:szCs w:val="18"/>
          <w:color w:val="auto"/>
        </w:rPr>
      </w:pPr>
    </w:p>
    <w:p>
      <w:pPr>
        <w:jc w:val="both"/>
        <w:ind w:left="-7" w:right="40" w:firstLine="648"/>
        <w:spacing w:after="0" w:line="262" w:lineRule="auto"/>
        <w:tabs>
          <w:tab w:leader="none" w:pos="9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Obligation to Pay. Each PSU represents the right to receive a Share on the date it vests. Unless and until the PSUs will have vested in the manner set forth in Sections 5 or 6, Participant will have no right to payment of any such PSUs. Prior to actual payment of any vested PSUs, such PSU will represent an unsecured obligation of the Company, payable (if at all) only from the general assets of the Company.</w:t>
      </w:r>
    </w:p>
    <w:p>
      <w:pPr>
        <w:spacing w:after="0" w:line="177" w:lineRule="exact"/>
        <w:rPr>
          <w:rFonts w:ascii="Times New Roman" w:cs="Times New Roman" w:eastAsia="Times New Roman" w:hAnsi="Times New Roman"/>
          <w:sz w:val="18"/>
          <w:szCs w:val="18"/>
          <w:color w:val="auto"/>
        </w:rPr>
      </w:pPr>
    </w:p>
    <w:p>
      <w:pPr>
        <w:ind w:left="-7" w:right="120" w:firstLine="648"/>
        <w:spacing w:after="0" w:line="253" w:lineRule="auto"/>
        <w:tabs>
          <w:tab w:leader="none" w:pos="94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Schedule. Except as provided in Section 6, and subject to Section 9, the PSUs 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Subsidiary or Affiliate of the Company, as applicable, governing the terms of this Award, PSUs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86" w:lineRule="exact"/>
        <w:rPr>
          <w:rFonts w:ascii="Times New Roman" w:cs="Times New Roman" w:eastAsia="Times New Roman" w:hAnsi="Times New Roman"/>
          <w:sz w:val="18"/>
          <w:szCs w:val="18"/>
          <w:color w:val="auto"/>
        </w:rPr>
      </w:pPr>
    </w:p>
    <w:p>
      <w:pPr>
        <w:ind w:left="953" w:hanging="312"/>
        <w:spacing w:after="0"/>
        <w:tabs>
          <w:tab w:leader="none" w:pos="95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After Vesting.</w:t>
      </w:r>
    </w:p>
    <w:p>
      <w:pPr>
        <w:spacing w:after="0" w:line="220" w:lineRule="exact"/>
        <w:rPr>
          <w:rFonts w:ascii="Times New Roman" w:cs="Times New Roman" w:eastAsia="Times New Roman" w:hAnsi="Times New Roman"/>
          <w:sz w:val="18"/>
          <w:szCs w:val="18"/>
          <w:color w:val="auto"/>
        </w:rPr>
      </w:pPr>
    </w:p>
    <w:p>
      <w:pPr>
        <w:ind w:left="-7" w:right="60" w:firstLine="1289"/>
        <w:spacing w:after="0" w:line="251" w:lineRule="auto"/>
        <w:tabs>
          <w:tab w:leader="none" w:pos="165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Rule. Subject to Sections 6(c) and 11, any PSUs that vest will be paid to Participant (or in the event of Participant’s death, to Participant’s properly designated beneficiary or estate) in whole Shares no later than seventy-four (74) days following the vesting date applicable to such PSUs (the “</w:t>
      </w:r>
      <w:r>
        <w:rPr>
          <w:rFonts w:ascii="Times New Roman" w:cs="Times New Roman" w:eastAsia="Times New Roman" w:hAnsi="Times New Roman"/>
          <w:sz w:val="18"/>
          <w:szCs w:val="18"/>
          <w:b w:val="1"/>
          <w:bCs w:val="1"/>
          <w:color w:val="auto"/>
        </w:rPr>
        <w:t>Settlement Deadline Date</w:t>
      </w:r>
      <w:r>
        <w:rPr>
          <w:rFonts w:ascii="Times New Roman" w:cs="Times New Roman" w:eastAsia="Times New Roman" w:hAnsi="Times New Roman"/>
          <w:sz w:val="18"/>
          <w:szCs w:val="18"/>
          <w:color w:val="auto"/>
        </w:rPr>
        <w:t>”). Except as may be required by the provisions of Section 6(c), no PSU will be settled after the Settlement Deadline Date applicable to it. If any PSU has not met all the requirements for settlement under this Award Agreement in a manner that would allow it to be settled by the applicable Settlement Deadline Date (or, if applicable, such other date required by Section 6(c)), such PSU will be forfeited as of immediately following the applicable Settlement Deadline Date (or such other date required by Section 6(c), as applicable). In no event will Participant be permitted, directly or indirectly, to specify the taxable year of payment of any PSUs payable under this Award Agreement. For clarity, there may be multiple Settlement Deadline Dates, each corresponding to a particular PSU. Further for clarity, to the extent the Employment Agreement specifically provides for different payment timing upon the occurrence of specified events described therein, such payment terms under the Employment Agreement will apply (subject to any delay required by Section 16(c) of the Employment Agreement).</w:t>
      </w:r>
    </w:p>
    <w:p>
      <w:pPr>
        <w:spacing w:after="0" w:line="186" w:lineRule="exact"/>
        <w:rPr>
          <w:rFonts w:ascii="Times New Roman" w:cs="Times New Roman" w:eastAsia="Times New Roman" w:hAnsi="Times New Roman"/>
          <w:sz w:val="18"/>
          <w:szCs w:val="18"/>
          <w:color w:val="auto"/>
        </w:rPr>
      </w:pPr>
    </w:p>
    <w:p>
      <w:pPr>
        <w:jc w:val="both"/>
        <w:ind w:left="-7" w:right="60" w:firstLine="1289"/>
        <w:spacing w:after="0" w:line="262" w:lineRule="auto"/>
        <w:tabs>
          <w:tab w:leader="none" w:pos="165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 Discretion. The Administrator, in its discretion, may accelerate the vesting of the balance, or some lesser portion of the balance, of the unvested PSUs at any time, subject to the terms of the Award Agreement. If so accelerated, such PSUs will be considered as having vested as of the date specified by the Administrator.</w:t>
      </w:r>
    </w:p>
    <w:p>
      <w:pPr>
        <w:spacing w:after="0" w:line="177" w:lineRule="exact"/>
        <w:rPr>
          <w:rFonts w:ascii="Times New Roman" w:cs="Times New Roman" w:eastAsia="Times New Roman" w:hAnsi="Times New Roman"/>
          <w:sz w:val="18"/>
          <w:szCs w:val="18"/>
          <w:color w:val="auto"/>
        </w:rPr>
      </w:pPr>
    </w:p>
    <w:p>
      <w:pPr>
        <w:ind w:left="1653" w:hanging="371"/>
        <w:spacing w:after="0"/>
        <w:tabs>
          <w:tab w:leader="none" w:pos="165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This Section 6(c) will apply to Participant to the extent Participant is a U.S. taxpayer.</w:t>
      </w:r>
    </w:p>
    <w:p>
      <w:pPr>
        <w:spacing w:after="0" w:line="220" w:lineRule="exact"/>
        <w:rPr>
          <w:rFonts w:ascii="Times New Roman" w:cs="Times New Roman" w:eastAsia="Times New Roman" w:hAnsi="Times New Roman"/>
          <w:sz w:val="18"/>
          <w:szCs w:val="18"/>
          <w:color w:val="auto"/>
        </w:rPr>
      </w:pPr>
    </w:p>
    <w:p>
      <w:pPr>
        <w:ind w:left="-7" w:right="200" w:firstLine="2251"/>
        <w:spacing w:after="0" w:line="262" w:lineRule="auto"/>
        <w:tabs>
          <w:tab w:leader="none" w:pos="258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Shares vesting pursuant to this Award Agreement (including any discretionary acceleration under Section 6(b)) shall in all cases be paid at a time and in a manner that is intended to be exempt from, or comply with, Section 409A. The prior sentence may be superseded in a future agreement or amendment to this Award Agreement only by direct and specific reference to such sentence.</w:t>
      </w:r>
    </w:p>
    <w:p>
      <w:pPr>
        <w:spacing w:after="0" w:line="177" w:lineRule="exact"/>
        <w:rPr>
          <w:rFonts w:ascii="Times New Roman" w:cs="Times New Roman" w:eastAsia="Times New Roman" w:hAnsi="Times New Roman"/>
          <w:sz w:val="18"/>
          <w:szCs w:val="18"/>
          <w:color w:val="auto"/>
        </w:rPr>
      </w:pPr>
    </w:p>
    <w:p>
      <w:pPr>
        <w:ind w:left="-7" w:firstLine="2251"/>
        <w:spacing w:after="0" w:line="216" w:lineRule="exact"/>
        <w:tabs>
          <w:tab w:leader="none" w:pos="2623" w:val="left"/>
        </w:tabs>
        <w:numPr>
          <w:ilvl w:val="2"/>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PSUs under this Award Agreement that are considered deferred compensation within the meaning of Section 409A (“</w:t>
      </w:r>
      <w:r>
        <w:rPr>
          <w:rFonts w:ascii="Times New Roman" w:cs="Times New Roman" w:eastAsia="Times New Roman" w:hAnsi="Times New Roman"/>
          <w:sz w:val="17"/>
          <w:szCs w:val="17"/>
          <w:b w:val="1"/>
          <w:bCs w:val="1"/>
          <w:color w:val="auto"/>
        </w:rPr>
        <w:t>Deferred Payments</w:t>
      </w:r>
      <w:r>
        <w:rPr>
          <w:rFonts w:ascii="Times New Roman" w:cs="Times New Roman" w:eastAsia="Times New Roman" w:hAnsi="Times New Roman"/>
          <w:sz w:val="17"/>
          <w:szCs w:val="17"/>
          <w:color w:val="auto"/>
        </w:rPr>
        <w:t>”) that otherwise are intended to be paid, pursuant to subsection (i), (ii) or (v) of Code Section 409A(a)(2)(A), upon the occurrence of a merger of the Company with or into another corporation or other entity, a Change in Control, or Participant’s disability or termination from employment or other service (whether pursuant to the vesting criteria set forth in the Notice of Grant or a written agreement authorized by the Administrator between Participant and the Company or any of its Parents or Subsidiaries, as applicable), will not be payable upon such event unless and until the circumstances giving rise to such merger, Change in Control, disability, or termination constitutes a change in control event, disability, or separation from service, as applicable, within the meaning of Section 409A (a “</w:t>
      </w:r>
      <w:r>
        <w:rPr>
          <w:rFonts w:ascii="Times New Roman" w:cs="Times New Roman" w:eastAsia="Times New Roman" w:hAnsi="Times New Roman"/>
          <w:sz w:val="17"/>
          <w:szCs w:val="17"/>
          <w:b w:val="1"/>
          <w:bCs w:val="1"/>
          <w:color w:val="auto"/>
        </w:rPr>
        <w:t>409A-Conforming Event</w:t>
      </w:r>
      <w:r>
        <w:rPr>
          <w:rFonts w:ascii="Times New Roman" w:cs="Times New Roman" w:eastAsia="Times New Roman" w:hAnsi="Times New Roman"/>
          <w:sz w:val="17"/>
          <w:szCs w:val="17"/>
          <w:color w:val="auto"/>
        </w:rPr>
        <w:t>”), and to the extent such payment will not be subject to the additional tax imposed under Section 409A. In the event that the immediately preceding sentence prevents the payment of any Deferred Payments, then such Deferred Payments will be paid at the time and in the form that would have applied absent such event that fails to constitute a 409A-Conforming Event. For clarity, this Section 6(c) does not affect the value or dollar amount payable, or prohibit the vesting of Deferred Payments, including without limitation in connection with a merger of the Company with or into another corporation or other entity, a Change in Control, Participant’s disability or termination, or pursuant to Section 6(b) above. If the PSUs otherwise would be exempt from Section 409A pursuant to U.S. Treasury Regulation Section 1.409A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1(b)(9), any such PSUs that vest in connection with the termination of Participant’s employment (or other service, as applicable) will not be payable until Participant has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-7216775</wp:posOffset>
            </wp:positionV>
            <wp:extent cx="1727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1727835"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-6809740</wp:posOffset>
            </wp:positionV>
            <wp:extent cx="13716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-6266815</wp:posOffset>
            </wp:positionV>
            <wp:extent cx="14598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1459865"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-5723890</wp:posOffset>
            </wp:positionV>
            <wp:extent cx="8928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89281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-4773930</wp:posOffset>
            </wp:positionV>
            <wp:extent cx="11430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114300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-4502785</wp:posOffset>
            </wp:positionV>
            <wp:extent cx="712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2470" cy="82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-3009900</wp:posOffset>
            </wp:positionV>
            <wp:extent cx="12401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1240155"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-2466975</wp:posOffset>
            </wp:positionV>
            <wp:extent cx="7315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31520" cy="8255"/>
                    </a:xfrm>
                    <a:prstGeom prst="rect">
                      <a:avLst/>
                    </a:prstGeom>
                    <a:noFill/>
                  </pic:spPr>
                </pic:pic>
              </a:graphicData>
            </a:graphic>
          </wp:anchor>
        </w:drawing>
      </w:r>
    </w:p>
    <w:p>
      <w:pPr>
        <w:sectPr>
          <w:pgSz w:w="11900" w:h="16838" w:orient="portrait"/>
          <w:cols w:equalWidth="0" w:num="1">
            <w:col w:w="11233"/>
          </w:cols>
          <w:pgMar w:left="327" w:top="121" w:right="339" w:bottom="0" w:gutter="0" w:footer="0" w:header="0"/>
        </w:sectPr>
      </w:pPr>
    </w:p>
    <w:bookmarkStart w:id="33" w:name="page34"/>
    <w:bookmarkEnd w:id="33"/>
    <w:p>
      <w:pPr>
        <w:ind w:right="60"/>
        <w:spacing w:after="0" w:line="217" w:lineRule="exact"/>
        <w:rPr>
          <w:sz w:val="20"/>
          <w:szCs w:val="20"/>
          <w:color w:val="auto"/>
        </w:rPr>
      </w:pPr>
      <w:r>
        <w:rPr>
          <w:rFonts w:ascii="Times New Roman" w:cs="Times New Roman" w:eastAsia="Times New Roman" w:hAnsi="Times New Roman"/>
          <w:sz w:val="18"/>
          <w:szCs w:val="18"/>
          <w:color w:val="auto"/>
        </w:rPr>
        <w:t>separation from service within the meaning of Section 409A. Except as otherwise provided in a written agreement between the Company and Participant authorized by the Administrator providing for payment in compliance with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3(b) (in which case, for clarity, such provisions shall govern), PSUs that become payable by reason of the occurrence of a 409A-Conforming Event will be settled no later than seventy four (74) days following the applicable 409A-Conforming Event, subject to the following under this subsection (ii). Notwithstanding any provisions to the contrary in this Award Agreement or any other agreement (whether entered into before, on or after the Date of Grant), if any Deferred Payments become payable upon a separation from service within the meaning of Section 409A, other than due to Participant’s death, and if (x) Participant is a “specified employee” within the meaning of Section 409A at the time of such separation from service and (y) the payment of such Deferred Payments will result in the imposition of additional tax under Section 409A if paid to Participant within the six (6) month period following the separation from service, then the payment of such Deferred Payments will not be made until the date six (6) months and one (1) day following the date of Participant’s separation from service, unless Participant dies following such separation, in which case, the Deferred Payments will be paid to Participant’s estate as soon as practicable following Participant’s death. To the extent that Participant is not a “specified employee” but Participant’s separation from service occurs at a time during the year whereby the deadline date for any separation agreement and release of claims (or similar agreement or release) to become effective and irrevocable will occur in the year immediately following the year in which the separation from service occurs, then any Deferred Payments that otherwise would be payable prior to such deadline date will be paid without applying the delay set forth in the immediately preceding sentence, but will be paid in the year immediately following the year in which the separation from service occurs. Subject to compliance with the applicable requirements under Section 409A, the Administrator in its sole discretion will be permitted to make any accelerated payment of Deferred Payments pursuant to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3(j)(4).</w:t>
      </w:r>
    </w:p>
    <w:p>
      <w:pPr>
        <w:spacing w:after="0" w:line="167" w:lineRule="exact"/>
        <w:rPr>
          <w:sz w:val="20"/>
          <w:szCs w:val="20"/>
          <w:color w:val="auto"/>
        </w:rPr>
      </w:pPr>
    </w:p>
    <w:p>
      <w:pPr>
        <w:ind w:right="80" w:firstLine="2251"/>
        <w:spacing w:after="0" w:line="216" w:lineRule="exact"/>
        <w:tabs>
          <w:tab w:leader="none" w:pos="2689"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this Award Agreement that it and all payments and benefits to U.S. taxpayers hereunder be exempt from, or comply with, the requirements of Section 409A so that none of the PSUs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2(b)(2). To the extent necessary to comply with Section 409A, references to termination of Participant’s status as an employee, termination of employment, or similar phrases will be references to Participant’s “separation from service” within the meaning of Section 409A. In no event will the Company, any Service Recipient (as defined below) or any Parent, Subsidiary, or Affiliate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96" w:lineRule="exact"/>
        <w:rPr>
          <w:rFonts w:ascii="Times New Roman" w:cs="Times New Roman" w:eastAsia="Times New Roman" w:hAnsi="Times New Roman"/>
          <w:sz w:val="18"/>
          <w:szCs w:val="18"/>
          <w:color w:val="auto"/>
        </w:rPr>
      </w:pPr>
    </w:p>
    <w:p>
      <w:pPr>
        <w:ind w:right="20" w:firstLine="648"/>
        <w:spacing w:after="0" w:line="277" w:lineRule="auto"/>
        <w:tabs>
          <w:tab w:leader="none" w:pos="953"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With respect to this Award, until the Shares are issued (as evidenced by the appropriate entry on the books of the Company or a duly authorized transfer agent of the Company), no right to receive dividends or any other rights as a stockholder will exist with respect to the Shares subject to this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this Award.</w:t>
      </w:r>
    </w:p>
    <w:p>
      <w:pPr>
        <w:spacing w:after="0" w:line="166" w:lineRule="exact"/>
        <w:rPr>
          <w:rFonts w:ascii="Times New Roman" w:cs="Times New Roman" w:eastAsia="Times New Roman" w:hAnsi="Times New Roman"/>
          <w:sz w:val="17"/>
          <w:szCs w:val="17"/>
          <w:color w:val="auto"/>
        </w:rPr>
      </w:pPr>
    </w:p>
    <w:p>
      <w:pPr>
        <w:ind w:right="300" w:firstLine="648"/>
        <w:spacing w:after="0" w:line="285" w:lineRule="auto"/>
        <w:tabs>
          <w:tab w:leader="none" w:pos="953"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Leaves of Absence/Transfer Between Locations. Unless the Administrator provides otherwise or as otherwise required by Applicable Laws, vesting of the Award will be suspended during any unpaid leave of absence. Participant will not cease to be an Employee in the case of (a) any leave of absence approved by the Company or (b) transfers between locations of, or between, the Company or any Subsidiary, Parent or Affiliate of the Company.</w:t>
      </w:r>
    </w:p>
    <w:p>
      <w:pPr>
        <w:spacing w:after="0" w:line="158" w:lineRule="exact"/>
        <w:rPr>
          <w:rFonts w:ascii="Times New Roman" w:cs="Times New Roman" w:eastAsia="Times New Roman" w:hAnsi="Times New Roman"/>
          <w:sz w:val="17"/>
          <w:szCs w:val="17"/>
          <w:color w:val="auto"/>
        </w:rPr>
      </w:pPr>
    </w:p>
    <w:p>
      <w:pPr>
        <w:jc w:val="both"/>
        <w:ind w:right="120" w:firstLine="648"/>
        <w:spacing w:after="0" w:line="277" w:lineRule="auto"/>
        <w:tabs>
          <w:tab w:leader="none" w:pos="953"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Forfeiture Upon Termination of Status as a Service Provider. Unless specifically provided otherwise in this Award Agreement or other written agreement authorized by the Administrator between Participant and the Company or any of its Subsidiaries or Parents, as applicable, governing the terms of this Award, if Participant ceases to be a Service Provider for any reason, the then-unvested PSUs awarded by this Award Agreement will thereupon be forfeited at no cost to the Company upon the date of such cessation and Participant will have no further rights to such PSUs or the Shares thereunder.</w:t>
      </w:r>
    </w:p>
    <w:p>
      <w:pPr>
        <w:spacing w:after="0" w:line="166" w:lineRule="exact"/>
        <w:rPr>
          <w:rFonts w:ascii="Times New Roman" w:cs="Times New Roman" w:eastAsia="Times New Roman" w:hAnsi="Times New Roman"/>
          <w:sz w:val="17"/>
          <w:szCs w:val="17"/>
          <w:color w:val="auto"/>
        </w:rPr>
      </w:pPr>
    </w:p>
    <w:p>
      <w:pPr>
        <w:ind w:right="180" w:firstLine="648"/>
        <w:spacing w:after="0" w:line="257" w:lineRule="auto"/>
        <w:tabs>
          <w:tab w:leader="none" w:pos="104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of Participant.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such transferee’s status as transferee, and (b) evidence satisfactory to the Company to establish the validity of the transfer and compliance with any laws or regulations pertaining to said transfer.</w:t>
      </w:r>
    </w:p>
    <w:p>
      <w:pPr>
        <w:spacing w:after="0" w:line="182"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Obligations.</w:t>
      </w:r>
    </w:p>
    <w:p>
      <w:pPr>
        <w:spacing w:after="0" w:line="220" w:lineRule="exact"/>
        <w:rPr>
          <w:rFonts w:ascii="Times New Roman" w:cs="Times New Roman" w:eastAsia="Times New Roman" w:hAnsi="Times New Roman"/>
          <w:sz w:val="18"/>
          <w:szCs w:val="18"/>
          <w:color w:val="auto"/>
        </w:rPr>
      </w:pPr>
    </w:p>
    <w:p>
      <w:pPr>
        <w:ind w:right="20" w:firstLine="1289"/>
        <w:spacing w:after="0" w:line="251" w:lineRule="auto"/>
        <w:tabs>
          <w:tab w:leader="none" w:pos="165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Requirements. Prior to the delivery of any Shares or cash pursuant to the Award or such earlier time as any tax withholdings are due, the Company (or any of its Parents, Subsidiaries or other affiliates employing or retaining the services of Participant, as applicable) will have the power and the right to deduct or withhold, or require Participant to remit to the Company (or any of its Parents, Subsidiaries, or other affiliates, as applicable) or a relevant tax authority, an amount sufficient to satisfy U.S. federal, state, local, non-U.S. and other taxes (including Participant’s FICA or other social insurance contribution obligation) required to be withheld or paid with respect to the Award. The amount of the withholding obligation will be deemed to include any amount that the Administrator agrees may be withheld at the time the election is made, not to exceed the amount determined by using the maximum U.S. federal, state or local rates applicable to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86" w:lineRule="exact"/>
        <w:rPr>
          <w:rFonts w:ascii="Times New Roman" w:cs="Times New Roman" w:eastAsia="Times New Roman" w:hAnsi="Times New Roman"/>
          <w:sz w:val="18"/>
          <w:szCs w:val="18"/>
          <w:color w:val="auto"/>
        </w:rPr>
      </w:pPr>
    </w:p>
    <w:p>
      <w:pPr>
        <w:ind w:firstLine="1289"/>
        <w:spacing w:after="0" w:line="249" w:lineRule="auto"/>
        <w:tabs>
          <w:tab w:leader="none" w:pos="166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Responsibility for Taxes. Participant acknowledges that, regardless of any action taken by the Company or, if different, Participant’s employer or any Parent, Subsidiary, or Affiliate of the Company to which Participant is providing services (together, the “Service Recipient(s)”), the ultimate liability for any tax and social insurance liability obligations and requirements in connection with the PSUs, including, without limitation, (i) all federal, national, state, non-U.S. and local taxes (including Participant’s U.S. Federal Insurance Contributions Act (FICA) obligations and social liability insurance obligations) that are required to be withheld by any Service Recipient or other payment of tax-related items related to Participant’s participation in this Award Agreement and legally applicable to Participant, (ii) Participant’s and, to the extent required by any Service Recipient, the Service Recipient’s fringe benefit tax liability, if any, associated with the grant, vesting, or settlement of the PSUs or sale of Shares, and (iii) any other Service Recipient taxes the responsibility for which Participant has, or has agreed to bear, with respect to the PSUs (or the vesting or settlement thereof or issuance of Shares thereunder) (collectively, the “</w:t>
      </w:r>
      <w:r>
        <w:rPr>
          <w:rFonts w:ascii="Times New Roman" w:cs="Times New Roman" w:eastAsia="Times New Roman" w:hAnsi="Times New Roman"/>
          <w:sz w:val="18"/>
          <w:szCs w:val="18"/>
          <w:b w:val="1"/>
          <w:bCs w:val="1"/>
          <w:color w:val="auto"/>
        </w:rPr>
        <w:t>Tax Obligations</w:t>
      </w:r>
      <w:r>
        <w:rPr>
          <w:rFonts w:ascii="Times New Roman" w:cs="Times New Roman" w:eastAsia="Times New Roman" w:hAnsi="Times New Roman"/>
          <w:sz w:val="18"/>
          <w:szCs w:val="18"/>
          <w:color w:val="auto"/>
        </w:rPr>
        <w:t>”), are and remain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PSUs, including, but not limited to, the grant, vesting or settlement of the PSUs, the subsequent sale of Shares acquired pursuant to such settlement and the receipt of any dividends, dividend equivalents, or other distributions, or (B) makes any commitment to and is under any obligation to structure the terms of the grant or any aspect of the PSUs to reduce or eliminate Participant’s liability for Tax Obligations or achieve any particular tax result. Further, if Participant is subject to Tax Obligations in more than one jurisdiction, Participant acknowledges that the applicable Service Recipient(s) (or former Service Recipient(s), as applicable) may be required to withhold or account for Withholding Obligations (as defined below)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-6402070</wp:posOffset>
            </wp:positionV>
            <wp:extent cx="5778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577850" cy="8255"/>
                    </a:xfrm>
                    <a:prstGeom prst="rect">
                      <a:avLst/>
                    </a:prstGeom>
                    <a:noFill/>
                  </pic:spPr>
                </pic:pic>
              </a:graphicData>
            </a:graphic>
          </wp:anchor>
        </w:drawing>
        <w:drawing>
          <wp:anchor simplePos="0" relativeHeight="251657728" behindDoc="1" locked="0" layoutInCell="0" allowOverlap="1">
            <wp:simplePos x="0" y="0"/>
            <wp:positionH relativeFrom="column">
              <wp:posOffset>495935</wp:posOffset>
            </wp:positionH>
            <wp:positionV relativeFrom="paragraph">
              <wp:posOffset>-5723890</wp:posOffset>
            </wp:positionV>
            <wp:extent cx="22815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2281555" cy="8255"/>
                    </a:xfrm>
                    <a:prstGeom prst="rect">
                      <a:avLst/>
                    </a:prstGeom>
                    <a:noFill/>
                  </pic:spPr>
                </pic:pic>
              </a:graphicData>
            </a:graphic>
          </wp:anchor>
        </w:drawing>
        <w:drawing>
          <wp:anchor simplePos="0" relativeHeight="251657728" behindDoc="1" locked="0" layoutInCell="0" allowOverlap="1">
            <wp:simplePos x="0" y="0"/>
            <wp:positionH relativeFrom="column">
              <wp:posOffset>495935</wp:posOffset>
            </wp:positionH>
            <wp:positionV relativeFrom="paragraph">
              <wp:posOffset>-5180965</wp:posOffset>
            </wp:positionV>
            <wp:extent cx="28365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283654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-4502150</wp:posOffset>
            </wp:positionV>
            <wp:extent cx="10236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102362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-3823335</wp:posOffset>
            </wp:positionV>
            <wp:extent cx="8343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83439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-3552190</wp:posOffset>
            </wp:positionV>
            <wp:extent cx="13341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1334135"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-2059305</wp:posOffset>
            </wp:positionV>
            <wp:extent cx="12166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34" w:name="page35"/>
    <w:bookmarkEnd w:id="34"/>
    <w:p>
      <w:pPr>
        <w:ind w:left="-648" w:firstLine="1289"/>
        <w:spacing w:after="0" w:line="248" w:lineRule="auto"/>
        <w:tabs>
          <w:tab w:leader="none" w:pos="100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Withholding. Pursuant to such procedures as the Administrator may specify from time to time, the applicable Service Recipient(s) (or former Service Recipient(s)) will withhold the amount required to be withheld for the payment of Tax Obligations (the “</w:t>
      </w:r>
      <w:r>
        <w:rPr>
          <w:rFonts w:ascii="Times New Roman" w:cs="Times New Roman" w:eastAsia="Times New Roman" w:hAnsi="Times New Roman"/>
          <w:sz w:val="18"/>
          <w:szCs w:val="18"/>
          <w:b w:val="1"/>
          <w:bCs w:val="1"/>
          <w:color w:val="auto"/>
        </w:rPr>
        <w:t>Withholding Obligations</w:t>
      </w:r>
      <w:r>
        <w:rPr>
          <w:rFonts w:ascii="Times New Roman" w:cs="Times New Roman" w:eastAsia="Times New Roman" w:hAnsi="Times New Roman"/>
          <w:sz w:val="18"/>
          <w:szCs w:val="18"/>
          <w:color w:val="auto"/>
        </w:rPr>
        <w:t>”) which, to the extent permitted under this Award Agreement, may, in the discretion of the Administrator, be in excess of the minimum statutory required amount to be withheld, upon each date with respect to which the Administrator determines Withholding Obligations are due, including but not limited to, at grant, vesting, settlement or any other date with respect to which Withholding Obligations arise. The Administrator, in its sole discretion and pursuant to such procedures as it may specify from time to time, may permit or require Participant to satisfy such Withholding Obligations, in whole or in part (without limitation), if permissible by Applicable Laws, by one or a combination of the following: (i) paying cash, (ii) having the Company withhold otherwise deliverable Shares having a fair market value equal to the minimum amount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18"/>
          <w:szCs w:val="18"/>
          <w:b w:val="1"/>
          <w:bCs w:val="1"/>
          <w:color w:val="auto"/>
        </w:rPr>
        <w:t>Net Share Withholding</w:t>
      </w:r>
      <w:r>
        <w:rPr>
          <w:rFonts w:ascii="Times New Roman" w:cs="Times New Roman" w:eastAsia="Times New Roman" w:hAnsi="Times New Roman"/>
          <w:sz w:val="18"/>
          <w:szCs w:val="18"/>
          <w:color w:val="auto"/>
        </w:rPr>
        <w:t>”), (iii) withholding the amount of such Withholding Obligations from Participant’s wages or other cash compensation paid to Participant by the applicable Service Recipient(s) (or former Service Recipient(s)), (iv) delivering to the Company Shares that Participant owns and that already have vested with a fair market value equal to the Withholding Obligations (or such greater amount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necessary to meet the withholding requirement for such Withholding Obligations (or such greater amount as Participant may elect or the Company may require, if permitted by the Administrator and if such greater amount would not result in adverse financial accounting consequences) (“</w:t>
      </w:r>
      <w:r>
        <w:rPr>
          <w:rFonts w:ascii="Times New Roman" w:cs="Times New Roman" w:eastAsia="Times New Roman" w:hAnsi="Times New Roman"/>
          <w:sz w:val="18"/>
          <w:szCs w:val="18"/>
          <w:b w:val="1"/>
          <w:bCs w:val="1"/>
          <w:color w:val="auto"/>
        </w:rPr>
        <w:t>Sell to Cover</w:t>
      </w:r>
      <w:r>
        <w:rPr>
          <w:rFonts w:ascii="Times New Roman" w:cs="Times New Roman" w:eastAsia="Times New Roman" w:hAnsi="Times New Roman"/>
          <w:sz w:val="18"/>
          <w:szCs w:val="18"/>
          <w:color w:val="auto"/>
        </w:rPr>
        <w:t xml:space="preserve">”), or (vi) such other means as the Administrator deems appropriate. If the Withholding Obligations are satisfied by withholding in Shares, for tax purposes, Participant is deemed to have been issued the full number of Shares subject to the vested PSUs,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 Until and unless determined otherwise by the Administrator, Sell to Cover will be the method by which such Withholding Obligations are satisfied. </w:t>
      </w:r>
      <w:r>
        <w:rPr>
          <w:rFonts w:ascii="Times New Roman" w:cs="Times New Roman" w:eastAsia="Times New Roman" w:hAnsi="Times New Roman"/>
          <w:sz w:val="18"/>
          <w:szCs w:val="18"/>
          <w:b w:val="1"/>
          <w:bCs w:val="1"/>
          <w:color w:val="auto"/>
        </w:rPr>
        <w:t>For purposes of clarity and without limitation,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accepting this Award, Participant expressly consents to such Sell to Cover as the method by which Withholding Obligations are satisfied and agrees and acknowledges that Participant may not satisfy them by any means other than such Sell to Cover, unless required to do so by the Administrator or pursuant to the Administrator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express consent.</w:t>
      </w:r>
    </w:p>
    <w:p>
      <w:pPr>
        <w:spacing w:after="0" w:line="209" w:lineRule="exact"/>
        <w:rPr>
          <w:rFonts w:ascii="Times New Roman" w:cs="Times New Roman" w:eastAsia="Times New Roman" w:hAnsi="Times New Roman"/>
          <w:sz w:val="18"/>
          <w:szCs w:val="18"/>
          <w:color w:val="auto"/>
        </w:rPr>
      </w:pPr>
    </w:p>
    <w:p>
      <w:pPr>
        <w:ind w:left="-648" w:right="140" w:firstLine="1289"/>
        <w:spacing w:after="0" w:line="255" w:lineRule="auto"/>
        <w:tabs>
          <w:tab w:leader="none" w:pos="101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Participant has reviewed with Participant’s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82" w:lineRule="exact"/>
        <w:rPr>
          <w:rFonts w:ascii="Times New Roman" w:cs="Times New Roman" w:eastAsia="Times New Roman" w:hAnsi="Times New Roman"/>
          <w:sz w:val="18"/>
          <w:szCs w:val="18"/>
          <w:color w:val="auto"/>
        </w:rPr>
      </w:pPr>
    </w:p>
    <w:p>
      <w:pPr>
        <w:ind w:left="-648" w:right="20" w:firstLine="1289"/>
        <w:spacing w:after="0" w:line="252" w:lineRule="auto"/>
        <w:tabs>
          <w:tab w:leader="none" w:pos="101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Obligation to Deliver Shares. For clarification purposes, in no event will the Company 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PSUs otherwise are scheduled to vest pursuant to Sections 5 or 6 or Participant’s Withholding Obligations otherwise become due, Participant permanently will forfeit such PSUs to which Participant’s Withholding Obligation relates and any right to receive Shares thereunder and such PSUs will be returned to the Company at no cost to the Company. Participant acknowledges and agrees that the Company may permanently refuse to issue or deliver the Shares if such Withholding Obligations are not delivered at the time they are due.</w:t>
      </w:r>
    </w:p>
    <w:p>
      <w:pPr>
        <w:spacing w:after="0" w:line="188" w:lineRule="exact"/>
        <w:rPr>
          <w:rFonts w:ascii="Times New Roman" w:cs="Times New Roman" w:eastAsia="Times New Roman" w:hAnsi="Times New Roman"/>
          <w:sz w:val="18"/>
          <w:szCs w:val="18"/>
          <w:color w:val="auto"/>
        </w:rPr>
      </w:pPr>
    </w:p>
    <w:p>
      <w:pPr>
        <w:ind w:left="-648" w:firstLine="648"/>
        <w:spacing w:after="0" w:line="250" w:lineRule="auto"/>
        <w:tabs>
          <w:tab w:leader="none" w:pos="39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Events. Notwithstanding any provisions to the contrary under this Award Agreement, the Award will be subject to reduction, cancellation, forfeiture, recoupment, reimbursement or reacquisition upon the occurrence of certain specified events, in addition to any otherwise applicable vesting or performance conditions of the Award. Such events may include, without limitation, termination of Participant’s status as an employee or other service provider for cause or any specified action or inaction by Participant, whether before or after such termination of employment or other service, that would constitute cause for termination of Participant’s status as an employee or other service provider. The Award will be subject to reduction, cancellation, forfeiture, recoupment, reimbursement or reacquisition under any Company clawback policy that may be in effect at grant and any other clawback policy that the Company is required to adopt to comply with Applicable Laws, including without limitation pursuant to the listing standards of any national securities exchange or association on which the Company’s securities are listed or otherwise required by the Dodd-Frank Wall Street Reform and Consumer Protection Act (collectively,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The Administrator may require Participant to forfeit, return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12 specifically is mentioned and waived in a document, no recovery of compensation under a Clawback Policy or otherwise will constitute an event that triggers or contributes to any right of a Participant to resign for “good reason” or “constructive termination” (or similar term) under any agreement with the Company or any Subsidiary, Parent or Affiliate of the Company.</w:t>
      </w:r>
    </w:p>
    <w:p>
      <w:pPr>
        <w:spacing w:after="0" w:line="187" w:lineRule="exact"/>
        <w:rPr>
          <w:rFonts w:ascii="Times New Roman" w:cs="Times New Roman" w:eastAsia="Times New Roman" w:hAnsi="Times New Roman"/>
          <w:sz w:val="18"/>
          <w:szCs w:val="18"/>
          <w:color w:val="auto"/>
        </w:rPr>
      </w:pPr>
    </w:p>
    <w:p>
      <w:pPr>
        <w:ind w:left="-648" w:right="60" w:firstLine="648"/>
        <w:spacing w:after="0" w:line="255" w:lineRule="auto"/>
        <w:tabs>
          <w:tab w:leader="none" w:pos="39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as Stockholder.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2" w:lineRule="exact"/>
        <w:rPr>
          <w:rFonts w:ascii="Times New Roman" w:cs="Times New Roman" w:eastAsia="Times New Roman" w:hAnsi="Times New Roman"/>
          <w:sz w:val="18"/>
          <w:szCs w:val="18"/>
          <w:color w:val="auto"/>
        </w:rPr>
      </w:pPr>
    </w:p>
    <w:p>
      <w:pPr>
        <w:ind w:left="-648" w:right="20" w:firstLine="648"/>
        <w:spacing w:after="0" w:line="251" w:lineRule="auto"/>
        <w:tabs>
          <w:tab w:leader="none" w:pos="39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Guarantee of Continued Service. PARTICIPANT ACKNOWLEDGES AND AGREES THAT THE VESTING OF THE PERFORMANCE UNITS PURSUANT TO THE VESTING SCHEDULE HEREOF IS EARNED ONLY BY CONTINUING AS A SERVICE PROVIDER, WHICH UNLESS PROVIDED OTHERWISE UNDER APPLICABLE LAWS IS AT THE WILL OF THE APPLICABLE SERVICE RECIPIENT AND NOT THROUGH THE ACT OF BEING HIRED, BEING GRANTED THIS PERFORMANCE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-10209530</wp:posOffset>
            </wp:positionV>
            <wp:extent cx="8743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-6002020</wp:posOffset>
            </wp:positionV>
            <wp:extent cx="9537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953770"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-5187950</wp:posOffset>
            </wp:positionV>
            <wp:extent cx="19589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195897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-4102100</wp:posOffset>
            </wp:positionV>
            <wp:extent cx="9010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90106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-2066290</wp:posOffset>
            </wp:positionV>
            <wp:extent cx="11055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-1252220</wp:posOffset>
            </wp:positionV>
            <wp:extent cx="17329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ectPr>
          <w:pgSz w:w="11900" w:h="16838" w:orient="portrait"/>
          <w:cols w:equalWidth="0" w:num="1">
            <w:col w:w="10592"/>
          </w:cols>
          <w:pgMar w:left="968" w:top="121" w:right="339" w:bottom="0" w:gutter="0" w:footer="0" w:header="0"/>
        </w:sectPr>
      </w:pPr>
    </w:p>
    <w:bookmarkStart w:id="35" w:name="page36"/>
    <w:bookmarkEnd w:id="35"/>
    <w:p>
      <w:pPr>
        <w:ind w:left="1040" w:hanging="392"/>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Dissolution or Liquidation; Merger or Change in Control.</w:t>
      </w:r>
    </w:p>
    <w:p>
      <w:pPr>
        <w:spacing w:after="0" w:line="220" w:lineRule="exact"/>
        <w:rPr>
          <w:rFonts w:ascii="Times New Roman" w:cs="Times New Roman" w:eastAsia="Times New Roman" w:hAnsi="Times New Roman"/>
          <w:sz w:val="18"/>
          <w:szCs w:val="18"/>
          <w:color w:val="auto"/>
        </w:rPr>
      </w:pPr>
    </w:p>
    <w:p>
      <w:pPr>
        <w:ind w:right="100" w:firstLine="1289"/>
        <w:spacing w:after="0" w:line="252" w:lineRule="auto"/>
        <w:tabs>
          <w:tab w:leader="none" w:pos="164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Award Agreement, will adjust the number and class of shares of stock covered by the Award. Notwithstanding the foregoing, the Company will have no obligation to effect any adjustment in a manner that may require the issuance of fractional Shares, and any fractional Shares resulting from any adjustment may be disregarded or provided for in any manner determined by the Administrator, in its sole discretion, subject to any Applicable Laws.</w:t>
      </w:r>
    </w:p>
    <w:p>
      <w:pPr>
        <w:spacing w:after="0" w:line="184" w:lineRule="exact"/>
        <w:rPr>
          <w:rFonts w:ascii="Times New Roman" w:cs="Times New Roman" w:eastAsia="Times New Roman" w:hAnsi="Times New Roman"/>
          <w:sz w:val="18"/>
          <w:szCs w:val="18"/>
          <w:color w:val="auto"/>
        </w:rPr>
      </w:pPr>
    </w:p>
    <w:p>
      <w:pPr>
        <w:ind w:right="40" w:firstLine="1289"/>
        <w:spacing w:after="0" w:line="262" w:lineRule="auto"/>
        <w:tabs>
          <w:tab w:leader="none" w:pos="166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or Liquidation. In the event of the proposed dissolution or liquidation of the Company, the Administrator will notify Participant as soon as practicable prior to the effective date of such proposed transaction. Unless provided otherwise by the Administrator, to the extent it has not been previously settled, the Award will terminate immediately prior to the consummation of such proposed action.</w:t>
      </w:r>
    </w:p>
    <w:p>
      <w:pPr>
        <w:spacing w:after="0" w:line="177" w:lineRule="exact"/>
        <w:rPr>
          <w:rFonts w:ascii="Times New Roman" w:cs="Times New Roman" w:eastAsia="Times New Roman" w:hAnsi="Times New Roman"/>
          <w:sz w:val="18"/>
          <w:szCs w:val="18"/>
          <w:color w:val="auto"/>
        </w:rPr>
      </w:pPr>
    </w:p>
    <w:p>
      <w:pPr>
        <w:ind w:firstLine="1289"/>
        <w:spacing w:after="0" w:line="250" w:lineRule="auto"/>
        <w:tabs>
          <w:tab w:leader="none" w:pos="165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or Change in Control. In the event of a merger of the Company with or into another corporation or other entity or a Change in Control, the Award will be treated as the Administrator determines (subject to the provisions of the following paragraph) without Participant’s consent, which may include, without limitation, that the Award will be: (i) assumed, or a substantially equivalent award(s) will be substituted, by the acquiring or succeeding entity (or an affiliate thereof) with appropriate adjustments as to the number and kind of shares; (ii) continued by the Company, subject to any adjustment pursuant to Section 15(a); (iii) upon written notice to Participant, terminate upon or immediately prior to the consummation of such merger or Change in Control; (iv) vest and become payable in whole or in part prior to or upon consummation of such merger or Change in Control, and, to the extent the Administrator determines, terminate upon or immediately prior to the effectiveness of such merger or Change in Control; (v) (A) terminated in exchange for an amount of cash and/or property, if any, equal to the amount that would have been attained upon the realization of Participant’s rights under this Award Agreement as of the date of the occurrence of the transaction (and, for purposes of clarity, if as of the date of the occurrence of the transaction the Administrator determines in good faith that no amount would have been attained upon the realization of Participant’s rights, then the Award will be terminated by the Company without payment), or (B) replaced with other rights or property selected by the Administrator in its sole discretion; or (vi) treated in any combination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-3556000</wp:posOffset>
            </wp:positionV>
            <wp:extent cx="33140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331406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-3284855</wp:posOffset>
            </wp:positionV>
            <wp:extent cx="678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678180"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-2063115</wp:posOffset>
            </wp:positionV>
            <wp:extent cx="13125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131254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-1520190</wp:posOffset>
            </wp:positionV>
            <wp:extent cx="14293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1429385" cy="8255"/>
                    </a:xfrm>
                    <a:prstGeom prst="rect">
                      <a:avLst/>
                    </a:prstGeom>
                    <a:noFill/>
                  </pic:spPr>
                </pic:pic>
              </a:graphicData>
            </a:graphic>
          </wp:anchor>
        </w:drawing>
      </w:r>
    </w:p>
    <w:p>
      <w:pPr>
        <w:spacing w:after="0" w:line="171"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In the event that the successor (or an affiliate thereof) does not assume the Award (or portion thereof) pursuant to the preceding clause (i) and as described below, or substitute for the Award (or portion thereof) pursuant to the preceding clause (i), and the Company does not continue the Award (or portion thereof) as described above, all restrictions on the PSUs under the Award (or portion thereof) not so assumed, substituted for, or continued will lapse, all performance goals or other vesting criteria will be deemed achieved at one hundred percent (100%) of target levels, and all other terms and conditions will be deemed met, in each case, unless specifically provided otherwise under this Award Agreement or other written agreement authorized by the Administrator between Participant and the Company or any of its Subsidiaries, Parents or Affiliates, as applicable.</w:t>
      </w:r>
    </w:p>
    <w:p>
      <w:pPr>
        <w:spacing w:after="0" w:line="187" w:lineRule="exact"/>
        <w:rPr>
          <w:sz w:val="20"/>
          <w:szCs w:val="20"/>
          <w:color w:val="auto"/>
        </w:rPr>
      </w:pPr>
    </w:p>
    <w:p>
      <w:pPr>
        <w:jc w:val="both"/>
        <w:ind w:firstLine="1282"/>
        <w:spacing w:after="0" w:line="252" w:lineRule="auto"/>
        <w:rPr>
          <w:sz w:val="20"/>
          <w:szCs w:val="20"/>
          <w:color w:val="auto"/>
        </w:rPr>
      </w:pPr>
      <w:r>
        <w:rPr>
          <w:rFonts w:ascii="Times New Roman" w:cs="Times New Roman" w:eastAsia="Times New Roman" w:hAnsi="Times New Roman"/>
          <w:sz w:val="18"/>
          <w:szCs w:val="18"/>
          <w:color w:val="auto"/>
        </w:rPr>
        <w:t>For the purposes of this Section 15(c), the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or its Parent, the Administrator may, with the consent of the successor, provide for the consideration to be received upon the payout of each PSU subject to the Award to be solely common stock of the successor or its Parent equal in fair market value to the per share consideration received by holders of Common Stock in the merger or Change in Control.</w:t>
      </w:r>
    </w:p>
    <w:p>
      <w:pPr>
        <w:spacing w:after="0" w:line="185" w:lineRule="exact"/>
        <w:rPr>
          <w:sz w:val="20"/>
          <w:szCs w:val="20"/>
          <w:color w:val="auto"/>
        </w:rPr>
      </w:pPr>
    </w:p>
    <w:p>
      <w:pPr>
        <w:jc w:val="both"/>
        <w:ind w:firstLine="1282"/>
        <w:spacing w:after="0" w:line="255" w:lineRule="auto"/>
        <w:rPr>
          <w:sz w:val="20"/>
          <w:szCs w:val="20"/>
          <w:color w:val="auto"/>
        </w:rPr>
      </w:pPr>
      <w:r>
        <w:rPr>
          <w:rFonts w:ascii="Times New Roman" w:cs="Times New Roman" w:eastAsia="Times New Roman" w:hAnsi="Times New Roman"/>
          <w:sz w:val="18"/>
          <w:szCs w:val="18"/>
          <w:color w:val="auto"/>
        </w:rPr>
        <w:t>Notwithstanding anything in this Section 15(c) to the contrary, and unless otherwise provided under this Award Agreement or other written agreement authorized by the Administrator between Participant and the Company and any of its Subsidiaries, Parents or Affiliates, as applicable, the Award will not be considered assumed if the Company or its successor modifies any of the Award’s performance goals without Participant’s consent; provided, however, that a modification to such performance goals only to reflect the successor’s post-merger or post-Change in Control corporate structure will not be deemed to invalidate an otherwise valid assumption of the Award.</w:t>
      </w:r>
    </w:p>
    <w:p>
      <w:pPr>
        <w:spacing w:after="0" w:line="183"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Notwithstanding anything in this Section 15(c) to the contrary, and unless otherwise provided in this Award Agreement or other written agreement authorized by the Administrator between Participant and the Company or any of its Subsidiaries, Parents or Affiliates, as applicable, if a payment under this Award Agreement is subject to Section 409A and if the change in control definition contained in this Award Agreement (or other agreement related to the Award, as applicable) does not comply with the definition of “change in control” for purposes of a distribution under Section 409A, then any payment of an amount that otherwise would be accelerated under this Section will be delayed until the earliest time that such payment would be permissible under Section 409A without triggering any penalties thereunder.</w:t>
      </w:r>
    </w:p>
    <w:p>
      <w:pPr>
        <w:spacing w:after="0" w:line="187" w:lineRule="exact"/>
        <w:rPr>
          <w:sz w:val="20"/>
          <w:szCs w:val="20"/>
          <w:color w:val="auto"/>
        </w:rPr>
      </w:pPr>
    </w:p>
    <w:p>
      <w:pPr>
        <w:ind w:right="120" w:firstLine="648"/>
        <w:spacing w:after="0" w:line="255" w:lineRule="auto"/>
        <w:tabs>
          <w:tab w:leader="none" w:pos="104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is Not Transferable. Except to the limited extent provided in Section 10,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2"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Grant. In accepting this Award of PSUs, Participant acknowledges, understands and agrees that:</w:t>
      </w:r>
    </w:p>
    <w:p>
      <w:pPr>
        <w:spacing w:after="0" w:line="220" w:lineRule="exact"/>
        <w:rPr>
          <w:rFonts w:ascii="Times New Roman" w:cs="Times New Roman" w:eastAsia="Times New Roman" w:hAnsi="Times New Roman"/>
          <w:sz w:val="18"/>
          <w:szCs w:val="18"/>
          <w:color w:val="auto"/>
        </w:rPr>
      </w:pPr>
    </w:p>
    <w:p>
      <w:pPr>
        <w:ind w:right="160" w:firstLine="1289"/>
        <w:spacing w:after="0" w:line="277" w:lineRule="auto"/>
        <w:tabs>
          <w:tab w:leader="none" w:pos="165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PSUs is voluntary and occasional and does not create any contractual or other right to receive future grants of PSUs, or benefits in lieu of PSUs, even if PSUs have been granted in the past;</w:t>
      </w:r>
    </w:p>
    <w:p>
      <w:pPr>
        <w:spacing w:after="0" w:line="163" w:lineRule="exact"/>
        <w:rPr>
          <w:rFonts w:ascii="Times New Roman" w:cs="Times New Roman" w:eastAsia="Times New Roman" w:hAnsi="Times New Roman"/>
          <w:sz w:val="18"/>
          <w:szCs w:val="18"/>
          <w:color w:val="auto"/>
        </w:rPr>
      </w:pPr>
    </w:p>
    <w:p>
      <w:pPr>
        <w:ind w:left="1680" w:hanging="391"/>
        <w:spacing w:after="0"/>
        <w:tabs>
          <w:tab w:leader="none" w:pos="16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PSUs or other grants, if any, will be at the sole discretion of the Administrator;</w:t>
      </w:r>
    </w:p>
    <w:p>
      <w:pPr>
        <w:spacing w:after="0" w:line="220" w:lineRule="exact"/>
        <w:rPr>
          <w:rFonts w:ascii="Times New Roman" w:cs="Times New Roman" w:eastAsia="Times New Roman" w:hAnsi="Times New Roman"/>
          <w:sz w:val="18"/>
          <w:szCs w:val="18"/>
          <w:color w:val="auto"/>
        </w:rPr>
      </w:pPr>
    </w:p>
    <w:p>
      <w:pPr>
        <w:ind w:left="1660" w:hanging="371"/>
        <w:spacing w:after="0"/>
        <w:tabs>
          <w:tab w:leader="none" w:pos="1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subject to the PSUs are not intended to replace any pension rights or compensation;</w:t>
      </w:r>
    </w:p>
    <w:p>
      <w:pPr>
        <w:spacing w:after="0" w:line="220" w:lineRule="exact"/>
        <w:rPr>
          <w:rFonts w:ascii="Times New Roman" w:cs="Times New Roman" w:eastAsia="Times New Roman" w:hAnsi="Times New Roman"/>
          <w:sz w:val="18"/>
          <w:szCs w:val="18"/>
          <w:color w:val="auto"/>
        </w:rPr>
      </w:pPr>
    </w:p>
    <w:p>
      <w:pPr>
        <w:ind w:right="80" w:firstLine="1289"/>
        <w:spacing w:after="0" w:line="262" w:lineRule="auto"/>
        <w:tabs>
          <w:tab w:leader="none" w:pos="166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subject to the PSUs,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77" w:lineRule="exact"/>
        <w:rPr>
          <w:rFonts w:ascii="Times New Roman" w:cs="Times New Roman" w:eastAsia="Times New Roman" w:hAnsi="Times New Roman"/>
          <w:sz w:val="18"/>
          <w:szCs w:val="18"/>
          <w:color w:val="auto"/>
        </w:rPr>
      </w:pPr>
    </w:p>
    <w:p>
      <w:pPr>
        <w:ind w:left="1660" w:hanging="371"/>
        <w:spacing w:after="0"/>
        <w:tabs>
          <w:tab w:leader="none" w:pos="1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PSUs is unknown, indeterminable, and cannot be predicted with 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-2587625</wp:posOffset>
            </wp:positionV>
            <wp:extent cx="12674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126746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-1772920</wp:posOffset>
            </wp:positionV>
            <wp:extent cx="8286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828675"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36" w:name="page37"/>
    <w:bookmarkEnd w:id="36"/>
    <w:p>
      <w:pPr>
        <w:ind w:left="-648" w:right="20" w:firstLine="1289"/>
        <w:spacing w:after="0" w:line="251" w:lineRule="auto"/>
        <w:tabs>
          <w:tab w:leader="none" w:pos="99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PSUs, Participant’s status as a Service Provider will be considered terminated as of the date Participant is no longer actively providing services to the Company or any Parent, Subsidiary, or Affiliate of the Company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PSUs,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PSUs (including whether Participant may still be considered to be providing services while on a leave of absence and consistent with local law); and</w:t>
      </w:r>
    </w:p>
    <w:p>
      <w:pPr>
        <w:spacing w:after="0" w:line="186" w:lineRule="exact"/>
        <w:rPr>
          <w:rFonts w:ascii="Times New Roman" w:cs="Times New Roman" w:eastAsia="Times New Roman" w:hAnsi="Times New Roman"/>
          <w:sz w:val="18"/>
          <w:szCs w:val="18"/>
          <w:color w:val="auto"/>
        </w:rPr>
      </w:pPr>
    </w:p>
    <w:p>
      <w:pPr>
        <w:ind w:left="-648" w:right="40" w:firstLine="1289"/>
        <w:spacing w:after="0" w:line="262"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Administrator in its discretion, the PSUs and the benefits evidenced by this Award Agreement do not create any entitlement to have the PSUs or any such benefits transferred to, or assumed by, another company nor be exchanged, cashed out or substituted for, in connection with any corporate transaction affecting the Shares.</w:t>
      </w:r>
    </w:p>
    <w:p>
      <w:pPr>
        <w:spacing w:after="0" w:line="177" w:lineRule="exact"/>
        <w:rPr>
          <w:rFonts w:ascii="Times New Roman" w:cs="Times New Roman" w:eastAsia="Times New Roman" w:hAnsi="Times New Roman"/>
          <w:sz w:val="18"/>
          <w:szCs w:val="18"/>
          <w:color w:val="auto"/>
        </w:rPr>
      </w:pPr>
    </w:p>
    <w:p>
      <w:pPr>
        <w:ind w:left="-648" w:right="200" w:firstLine="648"/>
        <w:spacing w:after="0" w:line="257" w:lineRule="auto"/>
        <w:tabs>
          <w:tab w:leader="none" w:pos="39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Advice Regarding Grant. The Company is not providing any tax, legal or financial advice, nor is the Company making any recommendations regarding Participant’s participation in this Award Agreement, or Participant’s acquisition or sale of the Shares underlying the PSUs. Participant is hereby advised to consult with Participant’s own personal tax, legal and financial advisers regarding Participant’s participation in this Award Agreement before taking any action related to this Award Agreement.</w:t>
      </w:r>
    </w:p>
    <w:p>
      <w:pPr>
        <w:spacing w:after="0" w:line="182" w:lineRule="exact"/>
        <w:rPr>
          <w:rFonts w:ascii="Times New Roman" w:cs="Times New Roman" w:eastAsia="Times New Roman" w:hAnsi="Times New Roman"/>
          <w:sz w:val="18"/>
          <w:szCs w:val="18"/>
          <w:color w:val="auto"/>
        </w:rPr>
      </w:pPr>
    </w:p>
    <w:p>
      <w:pPr>
        <w:ind w:left="-648" w:right="220" w:firstLine="648"/>
        <w:spacing w:after="0" w:line="262" w:lineRule="auto"/>
        <w:tabs>
          <w:tab w:leader="none" w:pos="3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Any notice to be given to the Company under the terms of this Award Agreement will be addressed to the Company at Accuray Incorporated, Attention: Stock Administration, 1240 Deming Way, Madison, WI 53717, or at such other address as the Company may hereafter designate in writing.</w:t>
      </w:r>
    </w:p>
    <w:p>
      <w:pPr>
        <w:spacing w:after="0" w:line="177" w:lineRule="exact"/>
        <w:rPr>
          <w:rFonts w:ascii="Times New Roman" w:cs="Times New Roman" w:eastAsia="Times New Roman" w:hAnsi="Times New Roman"/>
          <w:sz w:val="18"/>
          <w:szCs w:val="18"/>
          <w:color w:val="auto"/>
        </w:rPr>
      </w:pPr>
    </w:p>
    <w:p>
      <w:pPr>
        <w:ind w:left="-648" w:right="40" w:firstLine="648"/>
        <w:spacing w:after="0" w:line="253" w:lineRule="auto"/>
        <w:tabs>
          <w:tab w:leader="none" w:pos="39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Restrictions/Market Abuse Laws. In addition to all other restrictions set forth in this Award Agreement, Participant is hereby notified that Participant may be subject to insider trading restrictions or market abuse laws, which may affect Participant’s ability to acquire or sell Shares or rights to Shares under this Award Agreement during such time as Participant is considered to have “inside information” regarding the Company (as defined by Applicable Laws). Any restrictions under these laws or regulations are separate from and in addition to any restrictions that may be imposed under any applicable Company insider trading policy. Participant acknowledges and agrees that it is Participant’s responsibility to comply with any applicable restrictions and Participant is advised to speak to Participant’s personal advisor on this matter.</w:t>
      </w:r>
    </w:p>
    <w:p>
      <w:pPr>
        <w:spacing w:after="0" w:line="186" w:lineRule="exact"/>
        <w:rPr>
          <w:rFonts w:ascii="Times New Roman" w:cs="Times New Roman" w:eastAsia="Times New Roman" w:hAnsi="Times New Roman"/>
          <w:sz w:val="18"/>
          <w:szCs w:val="18"/>
          <w:color w:val="auto"/>
        </w:rPr>
      </w:pPr>
    </w:p>
    <w:p>
      <w:pPr>
        <w:ind w:left="-648" w:right="120" w:firstLine="648"/>
        <w:spacing w:after="0" w:line="257" w:lineRule="auto"/>
        <w:tabs>
          <w:tab w:leader="none" w:pos="39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and Assigns.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182"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Upon Issuance of Shares.</w:t>
      </w:r>
    </w:p>
    <w:p>
      <w:pPr>
        <w:spacing w:after="0" w:line="220" w:lineRule="exact"/>
        <w:rPr>
          <w:rFonts w:ascii="Times New Roman" w:cs="Times New Roman" w:eastAsia="Times New Roman" w:hAnsi="Times New Roman"/>
          <w:sz w:val="18"/>
          <w:szCs w:val="18"/>
          <w:color w:val="auto"/>
        </w:rPr>
      </w:pPr>
    </w:p>
    <w:p>
      <w:pPr>
        <w:ind w:left="-648" w:right="100" w:firstLine="1289"/>
        <w:spacing w:after="0" w:line="262" w:lineRule="auto"/>
        <w:tabs>
          <w:tab w:leader="none" w:pos="101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Shares will not be issued pursuant to the Award, including without limitation upon vesting thereof, unless the issuance and delivery of such Shares and unless the vesting of the Award will comply with Applicable Laws. If required by the Administrator, issuance will be further subject to the approval of counsel for the Company with respect to such compliance.</w:t>
      </w:r>
    </w:p>
    <w:p>
      <w:pPr>
        <w:spacing w:after="0" w:line="177" w:lineRule="exact"/>
        <w:rPr>
          <w:rFonts w:ascii="Times New Roman" w:cs="Times New Roman" w:eastAsia="Times New Roman" w:hAnsi="Times New Roman"/>
          <w:sz w:val="18"/>
          <w:szCs w:val="18"/>
          <w:color w:val="auto"/>
        </w:rPr>
      </w:pPr>
    </w:p>
    <w:p>
      <w:pPr>
        <w:jc w:val="both"/>
        <w:ind w:left="-648" w:right="120" w:firstLine="1289"/>
        <w:spacing w:after="0" w:line="26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Representations. As a condition to the issuance and delivery of Shares pursuant to the Award, the Company may require the person to whom such Shares will be issued to represent and warrant at such time that the Shares are being acquired only for investment and without any present intention to sell or distribute such Shares if, in the opinion of counsel for the Company, such a representation is required.</w:t>
      </w:r>
    </w:p>
    <w:p>
      <w:pPr>
        <w:spacing w:after="0" w:line="177" w:lineRule="exact"/>
        <w:rPr>
          <w:rFonts w:ascii="Times New Roman" w:cs="Times New Roman" w:eastAsia="Times New Roman" w:hAnsi="Times New Roman"/>
          <w:sz w:val="18"/>
          <w:szCs w:val="18"/>
          <w:color w:val="auto"/>
        </w:rPr>
      </w:pPr>
    </w:p>
    <w:p>
      <w:pPr>
        <w:ind w:left="-648" w:right="20" w:firstLine="1289"/>
        <w:spacing w:after="0" w:line="250" w:lineRule="auto"/>
        <w:tabs>
          <w:tab w:leader="none" w:pos="10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Conditions to Issuance of Stock.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Participant’s estate) hereunder, such issuance will not occur unless and until such listing, registration, qualification, rule compliance, clearance, consent or approval will have been completed, effected or obtained free of any conditions not acceptable to the Company. If any such listing, registration, qualification, rule compliance, clearance, consent or approval has not been completed by the applicable Settlement Deadline Date (or, if later, the settlement date required under Section 6(c)(ii), as applicable) with respect to a PSU in a manner that would allow it to be settled by the applicable Settlement Deadline Date (or, if later, the settlement date required under Section 6(c)(ii), as applicable), such PSU shall be forfeited as of immediately following the Settlement Deadline Date (or, if later, the settlement date required under Section 6(c)(ii), as applicable). Subject to the terms of this Award Agreement,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PSUs as the Administrator may establish from time to time for reasons of administrative convenience.</w:t>
      </w:r>
    </w:p>
    <w:p>
      <w:pPr>
        <w:spacing w:after="0" w:line="189" w:lineRule="exact"/>
        <w:rPr>
          <w:rFonts w:ascii="Times New Roman" w:cs="Times New Roman" w:eastAsia="Times New Roman" w:hAnsi="Times New Roman"/>
          <w:sz w:val="18"/>
          <w:szCs w:val="18"/>
          <w:color w:val="auto"/>
        </w:rPr>
      </w:pPr>
    </w:p>
    <w:p>
      <w:pPr>
        <w:ind w:left="-648" w:firstLine="1289"/>
        <w:spacing w:after="0" w:line="271" w:lineRule="auto"/>
        <w:tabs>
          <w:tab w:leader="none" w:pos="102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Authority. If the Company determines it to be impossible or impractical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71" w:lineRule="exact"/>
        <w:rPr>
          <w:rFonts w:ascii="Times New Roman" w:cs="Times New Roman" w:eastAsia="Times New Roman" w:hAnsi="Times New Roman"/>
          <w:sz w:val="17"/>
          <w:szCs w:val="17"/>
          <w:color w:val="auto"/>
        </w:rPr>
      </w:pPr>
    </w:p>
    <w:p>
      <w:pPr>
        <w:ind w:left="-648" w:right="40" w:firstLine="648"/>
        <w:spacing w:after="0" w:line="252" w:lineRule="auto"/>
        <w:tabs>
          <w:tab w:leader="none" w:pos="39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 The Administrator will have the power to interpret this Award Agreement and to adopt such rules for the administration, interpretation and application of the Award Agreement as are consistent therewith and to interpret or revoke any such rules (including, but not limited to, the determination of whether or not any PSUs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this Award Agreement. Unless the context requires otherwise and subject to the foregoing interpretation rights and powers of the Administrator in this Section 23, the term “or” as used in this Award Agreement is not exclusive.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-7900670</wp:posOffset>
            </wp:positionV>
            <wp:extent cx="13906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139065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-7222490</wp:posOffset>
            </wp:positionV>
            <wp:extent cx="10109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101092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-6679565</wp:posOffset>
            </wp:positionV>
            <wp:extent cx="23253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232537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-5729605</wp:posOffset>
            </wp:positionV>
            <wp:extent cx="11868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118681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-5050790</wp:posOffset>
            </wp:positionV>
            <wp:extent cx="1786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1786890"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-4779645</wp:posOffset>
            </wp:positionV>
            <wp:extent cx="9448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944880" cy="8255"/>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-4236720</wp:posOffset>
            </wp:positionV>
            <wp:extent cx="13658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1365885"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-3693795</wp:posOffset>
            </wp:positionV>
            <wp:extent cx="20567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2056765" cy="8255"/>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-1793240</wp:posOffset>
            </wp:positionV>
            <wp:extent cx="14160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141605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-843280</wp:posOffset>
            </wp:positionV>
            <wp:extent cx="7283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ectPr>
          <w:pgSz w:w="11900" w:h="16838" w:orient="portrait"/>
          <w:cols w:equalWidth="0" w:num="1">
            <w:col w:w="10552"/>
          </w:cols>
          <w:pgMar w:left="968" w:top="335" w:right="379" w:bottom="97" w:gutter="0" w:footer="0" w:header="0"/>
        </w:sectPr>
      </w:pPr>
    </w:p>
    <w:bookmarkStart w:id="37" w:name="page38"/>
    <w:bookmarkEnd w:id="37"/>
    <w:p>
      <w:pPr>
        <w:ind w:right="20" w:firstLine="648"/>
        <w:spacing w:after="0" w:line="252" w:lineRule="auto"/>
        <w:tabs>
          <w:tab w:leader="none" w:pos="10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Delivery and Acceptance. The Company may, in its sole discretion, decide to deliver any documents related to the PSUs (including, without limitation, prospectuses required by the U.S. Securities and Exchange Commission) by electronic means (including, without limitation, all other documents that the Company is required to deliver to its security holders, such as annual reports and proxy statements). Participant hereby consents to receive such documents by electronic delivery and agrees to participate in this Award Agreement through any on-line or electronic system established and maintained by the Company or a third party designated by the Company. Participant agrees that the Company may deliver these documents by posting them on a web site maintained by the Company or by a third party under contract with the Company. If the Company posts these documents on a web site, it will notify Participant by electronic means.</w:t>
      </w:r>
    </w:p>
    <w:p>
      <w:pPr>
        <w:spacing w:after="0" w:line="188"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Captions. Captions provided herein are for convenience only and are not to serve as a basis for interpretation or construction of this Award</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1" w:lineRule="exact"/>
        <w:rPr>
          <w:rFonts w:ascii="Times New Roman" w:cs="Times New Roman" w:eastAsia="Times New Roman" w:hAnsi="Times New Roman"/>
          <w:sz w:val="18"/>
          <w:szCs w:val="18"/>
          <w:color w:val="auto"/>
        </w:rPr>
      </w:pPr>
    </w:p>
    <w:p>
      <w:pPr>
        <w:ind w:firstLine="648"/>
        <w:spacing w:after="0" w:line="253" w:lineRule="auto"/>
        <w:tabs>
          <w:tab w:leader="none" w:pos="10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Addendum. Notwithstanding any provisions in this Award Agreement, the PSUs shall be subject to any global terms and conditions set forth in an appendix (if any) to this Award Agreement as well as any terms and conditions for any country whose laws are applicable to Participant and the PSUs (as determined by the Administrator in its sole discretion) (the “</w:t>
      </w:r>
      <w:r>
        <w:rPr>
          <w:rFonts w:ascii="Times New Roman" w:cs="Times New Roman" w:eastAsia="Times New Roman" w:hAnsi="Times New Roman"/>
          <w:sz w:val="18"/>
          <w:szCs w:val="18"/>
          <w:b w:val="1"/>
          <w:bCs w:val="1"/>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186" w:lineRule="exact"/>
        <w:rPr>
          <w:rFonts w:ascii="Times New Roman" w:cs="Times New Roman" w:eastAsia="Times New Roman" w:hAnsi="Times New Roman"/>
          <w:sz w:val="18"/>
          <w:szCs w:val="18"/>
          <w:color w:val="auto"/>
        </w:rPr>
      </w:pPr>
    </w:p>
    <w:p>
      <w:pPr>
        <w:ind w:right="40" w:firstLine="648"/>
        <w:spacing w:after="0" w:line="251" w:lineRule="auto"/>
        <w:tabs>
          <w:tab w:leader="none" w:pos="10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 Agreement; Modifications. This Award Agreement (including for clarity any exhibits, appendices, and addenda attached to the Notice of Grant) constitutes the entire agreement of the parties with respect to the subject matter hereof and supersede in their entirety all prior undertakings and agreements of the Company and Participant with respect to the subject matter hereof. Participant expressly warrants that Participant is not accepting this Award Agreement in reliance on any promises, representations, or inducements other than those contained herein. Modifications to this Award Agreement can be made only by approval of the Administrator memorialized in an express written instrument executed by a duly authorized signatory of the Company. Except as provided in this paragraph, no amendment to this Award Agreement may materially impair the rights of Participant unless mutually agreed between Participant and the Administrator, which agreement must be in writing signed by Participant and a duly authorized signatory of the Company. Notwithstanding anything to the contrary in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PSUs.</w:t>
      </w:r>
    </w:p>
    <w:p>
      <w:pPr>
        <w:spacing w:after="0" w:line="186" w:lineRule="exact"/>
        <w:rPr>
          <w:rFonts w:ascii="Times New Roman" w:cs="Times New Roman" w:eastAsia="Times New Roman" w:hAnsi="Times New Roman"/>
          <w:sz w:val="18"/>
          <w:szCs w:val="18"/>
          <w:color w:val="auto"/>
        </w:rPr>
      </w:pPr>
    </w:p>
    <w:p>
      <w:pPr>
        <w:ind w:right="80" w:firstLine="648"/>
        <w:spacing w:after="0" w:line="257" w:lineRule="auto"/>
        <w:tabs>
          <w:tab w:leader="none" w:pos="10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Waiver.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2" w:lineRule="exact"/>
        <w:rPr>
          <w:rFonts w:ascii="Times New Roman" w:cs="Times New Roman" w:eastAsia="Times New Roman" w:hAnsi="Times New Roman"/>
          <w:sz w:val="18"/>
          <w:szCs w:val="18"/>
          <w:color w:val="auto"/>
        </w:rPr>
      </w:pPr>
    </w:p>
    <w:p>
      <w:pPr>
        <w:ind w:right="620" w:firstLine="648"/>
        <w:spacing w:after="0" w:line="262" w:lineRule="auto"/>
        <w:tabs>
          <w:tab w:leader="none" w:pos="10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Severability. This Award Agreement and the PSUs are governed by, and construed in accordance with,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7" w:lineRule="exact"/>
        <w:rPr>
          <w:rFonts w:ascii="Times New Roman" w:cs="Times New Roman" w:eastAsia="Times New Roman" w:hAnsi="Times New Roman"/>
          <w:sz w:val="18"/>
          <w:szCs w:val="18"/>
          <w:color w:val="auto"/>
        </w:rPr>
      </w:pPr>
    </w:p>
    <w:p>
      <w:pPr>
        <w:ind w:right="280" w:firstLine="648"/>
        <w:spacing w:after="0" w:line="257" w:lineRule="auto"/>
        <w:tabs>
          <w:tab w:leader="none" w:pos="10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Terms. The terms, conditions, obligations, and requirements of this Award Agreement will apply as a condition of receiving and holding the Award without the need for any manual or other execution of this Award Agreement by Participant or the Company. Notwithstanding the foregoing, however, as a condition to holding the Award or the vesting or settlement of the Award, upon the Company’s request at any time, the Company may require Participant to manually or electronically sign this Award Agreement, if Participant has not already done so.</w:t>
      </w:r>
    </w:p>
    <w:p>
      <w:pPr>
        <w:spacing w:after="0" w:line="182"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236220</wp:posOffset>
            </wp:positionV>
            <wp:extent cx="71335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-5844540</wp:posOffset>
            </wp:positionV>
            <wp:extent cx="17481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174815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-4759325</wp:posOffset>
            </wp:positionV>
            <wp:extent cx="51498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51498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-4351655</wp:posOffset>
            </wp:positionV>
            <wp:extent cx="10140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101409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-3401695</wp:posOffset>
            </wp:positionV>
            <wp:extent cx="16135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161353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-1908810</wp:posOffset>
            </wp:positionV>
            <wp:extent cx="6032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60325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-1230630</wp:posOffset>
            </wp:positionV>
            <wp:extent cx="14319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143192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-687705</wp:posOffset>
            </wp:positionV>
            <wp:extent cx="7867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STAND-ALONE INDUCEMENT PERFORMANCE UNIT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VESTING CRITERIA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Award will vest in accordance with the following schedule:</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Compensation Committee certifies achievement of one or more of the Performance Goals (as defined below), then a number of PSUs subject to this Award Agreement will be eligible to vest as calculated below, and shall vest on the date on which the Compensation Committee certifies such achievement, subject to the Participant continuing to be a Service Provider through such date. The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is the period beginning on the Date of Grant and ending on the last day of the Company’s 2028 fiscal year (“</w:t>
      </w:r>
      <w:r>
        <w:rPr>
          <w:rFonts w:ascii="Times New Roman" w:cs="Times New Roman" w:eastAsia="Times New Roman" w:hAnsi="Times New Roman"/>
          <w:sz w:val="18"/>
          <w:szCs w:val="18"/>
          <w:b w:val="1"/>
          <w:bCs w:val="1"/>
          <w:color w:val="auto"/>
        </w:rPr>
        <w:t>Fiscal 28</w:t>
      </w:r>
      <w:r>
        <w:rPr>
          <w:rFonts w:ascii="Times New Roman" w:cs="Times New Roman" w:eastAsia="Times New Roman" w:hAnsi="Times New Roman"/>
          <w:sz w:val="18"/>
          <w:szCs w:val="18"/>
          <w:color w:val="auto"/>
        </w:rPr>
        <w:t>”). The Compensation Committee shall certify the achievement or non-achievement of the Performance Goals, including the level of achievement, within ninety (90) days following the last day of the Performance Period.</w:t>
      </w:r>
    </w:p>
    <w:p>
      <w:pPr>
        <w:spacing w:after="0" w:line="18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“Performance Goals” are the Company’s (i) product revenue for Fiscal 28, (ii) service revenue for Fiscal 28, (ii) adjusted EBITDA for Fiscal 28, and (iv) total global system install base as of the last day of Fiscal 28 meeting or exceeding the levels as set forth in the table below.</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set forth in the table below, each Performance Goal must meet its Threshold for PSUs subject to this Award Agreement to be eligible to vest for that particular Performance Goal, and incremental PSUs will be eligible to vest with respect to such Performance Goal when actual performance exceeds the Threshold. The number of PSUs eligible to vest with respect to each Performance Goal will be the product obtained by multiplying (i) the target number of PSUs subject to this Award, (ii) the Weight of such Performance Goal in the table below, and (iii) a percentage based on the level of achievement of such Performance Goal, which will be fifty percent (50%) if the Performance Goal is met at the Threshold and increase in a straight line to one hundred percent (100%) at the Target, and increase in another straight line from one hundred percent (100%) at the Target to one hundred fifty percent (150%) at the Maximum, rounding down to the nearest whole PSU.</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Performance Goal</w:t>
            </w: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6"/>
              </w:rPr>
              <w:t>Weight</w:t>
            </w:r>
          </w:p>
        </w:tc>
        <w:tc>
          <w:tcPr>
            <w:tcW w:w="1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Maximum</w:t>
            </w:r>
          </w:p>
        </w:tc>
      </w:tr>
      <w:tr>
        <w:trPr>
          <w:trHeight w:val="207"/>
        </w:trPr>
        <w:tc>
          <w:tcPr>
            <w:tcW w:w="28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Product Revenue</w:t>
            </w: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r>
      <w:tr>
        <w:trPr>
          <w:trHeight w:val="207"/>
        </w:trPr>
        <w:tc>
          <w:tcPr>
            <w:tcW w:w="28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Service Revenue</w:t>
            </w: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r>
      <w:tr>
        <w:trPr>
          <w:trHeight w:val="207"/>
        </w:trPr>
        <w:tc>
          <w:tcPr>
            <w:tcW w:w="28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Adjusted EBITDA Percentage</w:t>
            </w: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rPr>
              <w:t>30%</w:t>
            </w:r>
          </w:p>
        </w:tc>
        <w:tc>
          <w:tcPr>
            <w:tcW w:w="14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6"/>
              </w:rPr>
              <w:t>[***]%</w:t>
            </w:r>
          </w:p>
        </w:tc>
      </w:tr>
      <w:tr>
        <w:trPr>
          <w:trHeight w:val="207"/>
        </w:trPr>
        <w:tc>
          <w:tcPr>
            <w:tcW w:w="28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Total Global System Install Base</w:t>
            </w: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rPr>
              <w:t>20%</w:t>
            </w:r>
          </w:p>
        </w:tc>
        <w:tc>
          <w:tcPr>
            <w:tcW w:w="14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7"/>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6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rPr>
              <w:t>[***]</w:t>
            </w:r>
          </w:p>
        </w:tc>
      </w:tr>
      <w:tr>
        <w:trPr>
          <w:trHeight w:val="185"/>
        </w:trPr>
        <w:tc>
          <w:tcPr>
            <w:tcW w:w="2880" w:type="dxa"/>
            <w:vAlign w:val="bottom"/>
          </w:tcPr>
          <w:p>
            <w:pPr>
              <w:jc w:val="center"/>
              <w:ind w:right="51"/>
              <w:spacing w:after="0" w:line="185" w:lineRule="exact"/>
              <w:rPr>
                <w:sz w:val="20"/>
                <w:szCs w:val="20"/>
                <w:color w:val="auto"/>
              </w:rPr>
            </w:pPr>
            <w:r>
              <w:rPr>
                <w:rFonts w:ascii="Times New Roman" w:cs="Times New Roman" w:eastAsia="Times New Roman" w:hAnsi="Times New Roman"/>
                <w:sz w:val="18"/>
                <w:szCs w:val="18"/>
                <w:b w:val="1"/>
                <w:bCs w:val="1"/>
                <w:color w:val="auto"/>
                <w:w w:val="99"/>
              </w:rPr>
              <w:t>Percentage of PSUs Subject to each</w:t>
            </w:r>
          </w:p>
        </w:tc>
        <w:tc>
          <w:tcPr>
            <w:tcW w:w="1000" w:type="dxa"/>
            <w:vAlign w:val="bottom"/>
          </w:tcPr>
          <w:p>
            <w:pPr>
              <w:spacing w:after="0"/>
              <w:rPr>
                <w:sz w:val="16"/>
                <w:szCs w:val="16"/>
                <w:color w:val="auto"/>
              </w:rPr>
            </w:pPr>
          </w:p>
        </w:tc>
        <w:tc>
          <w:tcPr>
            <w:tcW w:w="1480" w:type="dxa"/>
            <w:vAlign w:val="bottom"/>
          </w:tcPr>
          <w:p>
            <w:pPr>
              <w:jc w:val="center"/>
              <w:ind w:right="31"/>
              <w:spacing w:after="0" w:line="185" w:lineRule="exact"/>
              <w:rPr>
                <w:sz w:val="20"/>
                <w:szCs w:val="20"/>
                <w:color w:val="auto"/>
              </w:rPr>
            </w:pPr>
            <w:r>
              <w:rPr>
                <w:rFonts w:ascii="Times New Roman" w:cs="Times New Roman" w:eastAsia="Times New Roman" w:hAnsi="Times New Roman"/>
                <w:sz w:val="18"/>
                <w:szCs w:val="18"/>
                <w:color w:val="auto"/>
                <w:w w:val="96"/>
              </w:rPr>
              <w:t>50%</w:t>
            </w:r>
          </w:p>
        </w:tc>
        <w:tc>
          <w:tcPr>
            <w:tcW w:w="142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tcPr>
          <w:p>
            <w:pPr>
              <w:jc w:val="center"/>
              <w:ind w:left="11"/>
              <w:spacing w:after="0" w:line="185" w:lineRule="exact"/>
              <w:rPr>
                <w:sz w:val="20"/>
                <w:szCs w:val="20"/>
                <w:color w:val="auto"/>
              </w:rPr>
            </w:pPr>
            <w:r>
              <w:rPr>
                <w:rFonts w:ascii="Times New Roman" w:cs="Times New Roman" w:eastAsia="Times New Roman" w:hAnsi="Times New Roman"/>
                <w:sz w:val="18"/>
                <w:szCs w:val="18"/>
                <w:color w:val="auto"/>
                <w:w w:val="95"/>
              </w:rPr>
              <w:t>150%</w:t>
            </w:r>
          </w:p>
        </w:tc>
      </w:tr>
      <w:tr>
        <w:trPr>
          <w:trHeight w:val="236"/>
        </w:trPr>
        <w:tc>
          <w:tcPr>
            <w:tcW w:w="28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Performance Goal Eligible to Vest</w:t>
            </w:r>
          </w:p>
        </w:tc>
        <w:tc>
          <w:tcPr>
            <w:tcW w:w="10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bl>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PSUs not eligible to vest following the Compensation Committee’s certification of achievement or non-achievement shall be returned to the Plan effective as of the date of the Compensation Committee’s certification. For purposes of determining whether the Performance Goals are achieved, (i) Product Revenue and Service Revenue will be calculated based on GAAP numbers and (ii) adjusted EBITDA percentage and total global system install base will be calculated by the Company in its reasonable discretion. Any products acquired (i.e., through the acquisition of another company) on or after the Grant Date are excluded from the calculation of Product Revenue, Service Revenue, and adjusted EBITDA percentage, unless expressly included by the Compensation Committee. Adjusted EBITDA percentage is calculated as adjusted EBITDA (measured consistent with such methodology the Company uses in determining adjusted EBITDA for disclosure in the Form 8-K announcing the Company’s financial results for the applicable fiscal year) divided by total net revenue expressed as a percentage.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this </w:t>
      </w:r>
      <w:r>
        <w:rPr>
          <w:rFonts w:ascii="Times New Roman" w:cs="Times New Roman" w:eastAsia="Times New Roman" w:hAnsi="Times New Roman"/>
          <w:sz w:val="17"/>
          <w:szCs w:val="17"/>
          <w:b w:val="1"/>
          <w:bCs w:val="1"/>
          <w:color w:val="auto"/>
        </w:rPr>
        <w:t>Exhibit B</w:t>
      </w:r>
      <w:r>
        <w:rPr>
          <w:rFonts w:ascii="Times New Roman" w:cs="Times New Roman" w:eastAsia="Times New Roman" w:hAnsi="Times New Roman"/>
          <w:sz w:val="17"/>
          <w:szCs w:val="17"/>
          <w:color w:val="auto"/>
        </w:rPr>
        <w:t>: (i) in the event of a Change in Control that is consummated prior to the end of the Performance Period, then, effective as of immediately prior to the consummation of such Change in Control, the target number of PSUs subject to this Award Agreement shall be converted into service-based Restricted Stock Units and will be scheduled to vest as to all of such PSUs on the last day of the Performance Period, subject to Participant’s continuing to be a Service Provider through such date, and for clarity for purposes of Section 15.3 of the Plan, such target number of PSUs will be treated as of the consummation of the Change of Control as an Award that is subject only to service-based vesting but not subject to performance-based vesting; and (ii) in the event of a Change in Control that is consummated after the Performance Period, the Compensation Committee’s certification of the achievement or non-achievement will be completed no later than immediately prior to the consummation of such Change in Control.</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clarity, if during the Performance Period, Participant incurs a termination pursuant to which Participant becomes entitled to the Enhanced Severance Benefits (as defined in the Employment Agreement) and such termination occurs within the three-month period prior to the Change in Control during the Change in Control Period, then vesting of the PSUs will be (x) at the target number of PSUs in the circumstance described in clause (i) of the immediately preceding paragraph, or otherwise, (y) in the circumstance described in clause (ii) of the immediately preceding paragraph, as to 100% of the PSUs that have been deemed by the Compensation Committee as having achieved the applicable performance.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 for clarity, (a) if Participant becomes entitled to the Severance Benefits (as defined in the Employment Agreement) but not the Enhanced Severance Benefits and a Change in Control occurs during the Performance Period, then as of immediately prior to the Change in Control, the PSUs will vest as to the target number of PSUs (but subject to the proration set forth in the Employment Agreement) and will be settled in the same calendar year as the Change in Control; and (b) if Participant becomes entitled to the vesting provided in Section 5(c) of the Employment Agreement but not the Enhanced Severance Benefits (for clarity, such termination due to death or Incapacity occurs on or after January 1, 2028), and thereafter a Change in Control occurs during the Performance Period, then as of immediately prior to the Change in Control, the PSUs will vest as to the target number of PSUs and will be settled in the same calendar year as the calendar year in which the Performance Period ends.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Compensation Committee has full authority to determine whether or not (and the extent to which) the Performance Goals have been achieved, the number of PSUs under the Award (if any) that have become eligible for vesting, and the number of PSUs under this Award (if any) that will vest. The maximum number of Shares underlying the PSUs under this Award that may become eligible for vesting, and that may vest, is the Maximum Number of PSUs as set forth in the Notice of Grant.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Award Agreement and the PSUs under this Award are subject to any clawback policy, compensation recovery or similar policy that the Company may adopt from time to time in order to comply with Applicable Laws.</w:t>
      </w:r>
    </w:p>
    <w:p>
      <w:pPr>
        <w:spacing w:after="0" w:line="1" w:lineRule="exact"/>
        <w:rPr>
          <w:sz w:val="20"/>
          <w:szCs w:val="20"/>
          <w:color w:val="auto"/>
        </w:rPr>
      </w:pPr>
    </w:p>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ectPr>
          <w:pgSz w:w="11900" w:h="16898" w:orient="portrait"/>
          <w:cols w:equalWidth="0" w:num="1">
            <w:col w:w="11240"/>
          </w:cols>
          <w:pgMar w:left="320" w:top="785" w:right="339" w:bottom="0" w:gutter="0" w:footer="0" w:header="0"/>
        </w:sectPr>
      </w:pPr>
    </w:p>
    <w:bookmarkStart w:id="39" w:name="page40"/>
    <w:bookmarkEnd w:id="39"/>
    <w:p>
      <w:pPr>
        <w:spacing w:after="0"/>
        <w:tabs>
          <w:tab w:leader="none" w:pos="5560" w:val="left"/>
          <w:tab w:leader="none" w:pos="6100" w:val="left"/>
        </w:tabs>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ind w:left="10180"/>
        <w:spacing w:after="0"/>
        <w:rPr>
          <w:sz w:val="20"/>
          <w:szCs w:val="20"/>
          <w:color w:val="auto"/>
        </w:rPr>
      </w:pPr>
      <w:r>
        <w:rPr>
          <w:rFonts w:ascii="Times New Roman" w:cs="Times New Roman" w:eastAsia="Times New Roman" w:hAnsi="Times New Roman"/>
          <w:sz w:val="17"/>
          <w:szCs w:val="17"/>
          <w:color w:val="auto"/>
        </w:rPr>
        <w:t>EXHIBIT 99.4</w:t>
      </w:r>
    </w:p>
    <w:p>
      <w:pPr>
        <w:spacing w:after="0" w:line="228" w:lineRule="exact"/>
        <w:rPr>
          <w:sz w:val="20"/>
          <w:szCs w:val="20"/>
          <w:color w:val="auto"/>
        </w:rPr>
      </w:pPr>
    </w:p>
    <w:p>
      <w:pPr>
        <w:jc w:val="center"/>
        <w:ind w:left="480" w:right="60"/>
        <w:spacing w:after="0" w:line="282"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both (i) not material and (ii) would be competitively harmful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STAND-ALONE INDUCEMENT PERFORMANCE UNIT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PERFORMANCE UNIT GRANT</w:t>
      </w:r>
    </w:p>
    <w:p>
      <w:pPr>
        <w:spacing w:after="0" w:line="220"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b w:val="1"/>
          <w:bCs w:val="1"/>
          <w:color w:val="auto"/>
        </w:rPr>
        <w:t xml:space="preserve">Participant must notify Accuray Incorporated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by the fifteenth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day of the month following the Date of Grant if he or she wishes to reject this Award. Otherwise, Participant will be deemed to have accepted the Award on the terms and conditions on which it is offered.</w:t>
      </w:r>
    </w:p>
    <w:p>
      <w:pPr>
        <w:spacing w:after="0" w:line="195"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Unless otherwise defined herein, each capitalized term used in this Notice of Performance Unit Grant and all exhibits, appendices, and addenda attached hereto, will have the meaning given such term in the Terms and Conditions of Performance Unit Grant attached hereto as Exhibit A (together, the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4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Participant Name:</w:t>
      </w:r>
      <w:r>
        <w:rPr>
          <w:sz w:val="20"/>
          <w:szCs w:val="20"/>
          <w:color w:val="auto"/>
        </w:rPr>
        <w:tab/>
      </w:r>
      <w:r>
        <w:rPr>
          <w:rFonts w:ascii="Times New Roman" w:cs="Times New Roman" w:eastAsia="Times New Roman" w:hAnsi="Times New Roman"/>
          <w:sz w:val="17"/>
          <w:szCs w:val="17"/>
          <w:b w:val="1"/>
          <w:bCs w:val="1"/>
          <w:color w:val="auto"/>
        </w:rPr>
        <w:t>Paul Miele</w:t>
      </w:r>
    </w:p>
    <w:p>
      <w:pPr>
        <w:spacing w:after="0" w:line="220"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8"/>
          <w:szCs w:val="18"/>
          <w:b w:val="1"/>
          <w:bCs w:val="1"/>
          <w:color w:val="auto"/>
        </w:rPr>
        <w:t>[Address]</w:t>
      </w:r>
    </w:p>
    <w:p>
      <w:pPr>
        <w:spacing w:after="0" w:line="220"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Participant has been granted the right to receive an Award of Performance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subject to the terms and conditions of this Award Agreement, as follows:</w:t>
      </w:r>
    </w:p>
    <w:p>
      <w:pPr>
        <w:spacing w:after="0" w:line="14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Number</w:t>
            </w:r>
          </w:p>
        </w:tc>
        <w:tc>
          <w:tcPr>
            <w:tcW w:w="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2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May 29, 2026</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07"/>
        </w:trPr>
        <w:tc>
          <w:tcPr>
            <w:tcW w:w="2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Target Number of PSUs</w:t>
            </w:r>
          </w:p>
        </w:tc>
        <w:tc>
          <w:tcPr>
            <w:tcW w:w="14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650,000 shares</w:t>
            </w:r>
          </w:p>
        </w:tc>
      </w:tr>
      <w:tr>
        <w:trPr>
          <w:trHeight w:val="20"/>
        </w:trPr>
        <w:tc>
          <w:tcPr>
            <w:tcW w:w="11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07"/>
        </w:trPr>
        <w:tc>
          <w:tcPr>
            <w:tcW w:w="2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Maximum Number of PSUs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6"/>
              </w:rPr>
              <w:t>975,000 shares</w:t>
            </w:r>
          </w:p>
        </w:tc>
      </w:tr>
      <w:tr>
        <w:trPr>
          <w:trHeight w:val="4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Criteria:</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18"/>
          <w:szCs w:val="18"/>
          <w:color w:val="auto"/>
        </w:rPr>
        <w:t xml:space="preserve">Subject to Section 5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any acceleration provisions contained in this Award Agreement or any other written agreement authorized by the Administrator between Participant and the Company (or any Parent, Subsidiary or Affiliate of the Company, as applicable) governing the terms of this Award (which, for clarity, includes that certain Executive Employment Agreement previously entered into between the Company and Participant that remains in effect as of the Date of Grant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xml:space="preserve">”)), the PSUs will be scheduled to vest according to the terms set forth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attached hereto.</w:t>
      </w:r>
    </w:p>
    <w:p>
      <w:pPr>
        <w:spacing w:after="0" w:line="182" w:lineRule="exact"/>
        <w:rPr>
          <w:sz w:val="20"/>
          <w:szCs w:val="20"/>
          <w:color w:val="auto"/>
        </w:rPr>
      </w:pPr>
    </w:p>
    <w:p>
      <w:pPr>
        <w:jc w:val="both"/>
        <w:ind w:firstLine="641"/>
        <w:spacing w:after="0" w:line="224" w:lineRule="auto"/>
        <w:rPr>
          <w:sz w:val="20"/>
          <w:szCs w:val="20"/>
          <w:color w:val="auto"/>
        </w:rPr>
      </w:pPr>
      <w:r>
        <w:rPr>
          <w:rFonts w:ascii="Times New Roman" w:cs="Times New Roman" w:eastAsia="Times New Roman" w:hAnsi="Times New Roman"/>
          <w:sz w:val="18"/>
          <w:szCs w:val="18"/>
          <w:color w:val="auto"/>
        </w:rPr>
        <w:t xml:space="preserve">If Participant does not wish to receive this Award and/or does not consent and agree to the terms and conditions on which the Award is offered, as set forth in this Award Agreement, then Participant must reject the Award by notifying the Company at Accuray Incorporated, Attention: Stock Administration, 1240 Deming Way, Madison, WI 53717 no later than </w:t>
      </w:r>
      <w:r>
        <w:rPr>
          <w:rFonts w:ascii="Times New Roman" w:cs="Times New Roman" w:eastAsia="Times New Roman" w:hAnsi="Times New Roman"/>
          <w:sz w:val="18"/>
          <w:szCs w:val="18"/>
          <w:b w:val="1"/>
          <w:bCs w:val="1"/>
          <w:color w:val="auto"/>
        </w:rPr>
        <w:t>the fifteenth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day of the month following the Date of Grant</w:t>
      </w:r>
      <w:r>
        <w:rPr>
          <w:rFonts w:ascii="Times New Roman" w:cs="Times New Roman" w:eastAsia="Times New Roman" w:hAnsi="Times New Roman"/>
          <w:sz w:val="18"/>
          <w:szCs w:val="18"/>
          <w:color w:val="auto"/>
        </w:rPr>
        <w:t>, in which case the Award will be cancelled. Participant’s failure to notify the Company of his or her rejection of the Award within this specified period will constitute Participant’s acceptance of the Award and his or her agreement with all terms and conditions of the Award, as set forth in this Award Agreement.</w:t>
      </w:r>
    </w:p>
    <w:p>
      <w:pPr>
        <w:spacing w:after="0" w:line="198"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 xml:space="preserve">Participant has reviewed this Award Agreement in its entirety, has had an opportunity to obtain the advice of counsel prior to executing this Award Agreement and fully understands all provisions of this Award Agreement. By accepting this Award, Participant hereby (i) agrees that this Award of PSUs is granted under and governed by the terms and conditions of this Award Agreement, including for clarity the Terms and Conditions of Performance Unit Grant,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and all other exhibits, appendices and addenda attached hereto, all of which are made a part of this document, (ii) accepts this Award Agreement subject to all of the terms and provisions thereof, (iii) accepts as binding, conclusive and final all decisions or interpretations of the Administrator upon any questions relating to this Award Agreement, and (iv) agrees to notify the Company upon any change in Participant’s residence address indicated below and to provide a valid email address if Participant no longer has a Company email address.</w:t>
      </w:r>
    </w:p>
    <w:p>
      <w:pPr>
        <w:sectPr>
          <w:pgSz w:w="11900" w:h="16838" w:orient="portrait"/>
          <w:cols w:equalWidth="0" w:num="1">
            <w:col w:w="11240"/>
          </w:cols>
          <w:pgMar w:left="320" w:top="335" w:right="339" w:bottom="347"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ACCURAY INCORPORATED</w:t>
      </w:r>
    </w:p>
    <w:p>
      <w:pPr>
        <w:spacing w:after="0" w:line="200" w:lineRule="exact"/>
        <w:rPr>
          <w:sz w:val="20"/>
          <w:szCs w:val="20"/>
          <w:color w:val="auto"/>
        </w:rPr>
      </w:pPr>
    </w:p>
    <w:p>
      <w:pPr>
        <w:sectPr>
          <w:pgSz w:w="11900" w:h="16838" w:orient="portrait"/>
          <w:cols w:equalWidth="0" w:num="2">
            <w:col w:w="1180" w:space="720"/>
            <w:col w:w="9340"/>
          </w:cols>
          <w:pgMar w:left="320" w:top="335" w:right="339" w:bottom="347" w:gutter="0" w:footer="0" w:header="0"/>
          <w:type w:val="continuous"/>
        </w:sectPr>
      </w:pPr>
    </w:p>
    <w:p>
      <w:pPr>
        <w:spacing w:after="0" w:line="28"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b w:val="1"/>
          <w:bCs w:val="1"/>
          <w:color w:val="auto"/>
        </w:rPr>
        <w:t xml:space="preserve">____________________________________ </w:t>
      </w:r>
      <w:r>
        <w:rPr>
          <w:rFonts w:ascii="Times New Roman" w:cs="Times New Roman" w:eastAsia="Times New Roman" w:hAnsi="Times New Roman"/>
          <w:sz w:val="17"/>
          <w:szCs w:val="17"/>
          <w:color w:val="auto"/>
        </w:rPr>
        <w:t>Signature Signature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w:t>
      </w:r>
    </w:p>
    <w:p>
      <w:pPr>
        <w:spacing w:after="0" w:line="445" w:lineRule="exact"/>
        <w:rPr>
          <w:sz w:val="20"/>
          <w:szCs w:val="20"/>
          <w:color w:val="auto"/>
        </w:rPr>
      </w:pPr>
    </w:p>
    <w:p>
      <w:pPr>
        <w:sectPr>
          <w:pgSz w:w="11900" w:h="16838" w:orient="portrait"/>
          <w:cols w:equalWidth="0" w:num="2">
            <w:col w:w="3220" w:space="400"/>
            <w:col w:w="7620"/>
          </w:cols>
          <w:pgMar w:left="320" w:top="335" w:right="339" w:bottom="347" w:gutter="0" w:footer="0" w:header="0"/>
          <w:type w:val="continuous"/>
        </w:sectPr>
      </w:pPr>
    </w:p>
    <w:p>
      <w:pPr>
        <w:spacing w:after="0" w:line="312" w:lineRule="auto"/>
        <w:rPr>
          <w:sz w:val="20"/>
          <w:szCs w:val="20"/>
          <w:color w:val="auto"/>
        </w:rPr>
      </w:pPr>
      <w:r>
        <w:rPr>
          <w:rFonts w:ascii="Times New Roman" w:cs="Times New Roman" w:eastAsia="Times New Roman" w:hAnsi="Times New Roman"/>
          <w:sz w:val="17"/>
          <w:szCs w:val="17"/>
          <w:b w:val="1"/>
          <w:bCs w:val="1"/>
          <w:color w:val="auto"/>
        </w:rPr>
        <w:t xml:space="preserve">____________________________________ </w:t>
      </w:r>
      <w:r>
        <w:rPr>
          <w:rFonts w:ascii="Times New Roman" w:cs="Times New Roman" w:eastAsia="Times New Roman" w:hAnsi="Times New Roman"/>
          <w:sz w:val="17"/>
          <w:szCs w:val="17"/>
          <w:color w:val="auto"/>
        </w:rPr>
        <w:t>Print Name 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w:t>
      </w:r>
    </w:p>
    <w:p>
      <w:pPr>
        <w:spacing w:after="0" w:line="445" w:lineRule="exact"/>
        <w:rPr>
          <w:sz w:val="20"/>
          <w:szCs w:val="20"/>
          <w:color w:val="auto"/>
        </w:rPr>
      </w:pPr>
    </w:p>
    <w:p>
      <w:pPr>
        <w:sectPr>
          <w:pgSz w:w="11900" w:h="16838" w:orient="portrait"/>
          <w:cols w:equalWidth="0" w:num="2">
            <w:col w:w="3220" w:space="400"/>
            <w:col w:w="7620"/>
          </w:cols>
          <w:pgMar w:left="320" w:top="335" w:right="339" w:bottom="347" w:gutter="0" w:footer="0" w:header="0"/>
          <w:type w:val="continuous"/>
        </w:sectPr>
      </w:pPr>
    </w:p>
    <w:p>
      <w:pPr>
        <w:ind w:left="4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Residence Address: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w:t>
      </w:r>
    </w:p>
    <w:p>
      <w:pPr>
        <w:sectPr>
          <w:pgSz w:w="11900" w:h="16838" w:orient="portrait"/>
          <w:cols w:equalWidth="0" w:num="1">
            <w:col w:w="11240"/>
          </w:cols>
          <w:pgMar w:left="320" w:top="335" w:right="339" w:bottom="347" w:gutter="0" w:footer="0" w:header="0"/>
          <w:type w:val="continuous"/>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35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STAND-ALONE INDUCEMENT PERFORMANCE UNIT AGREEMENT</w:t>
      </w:r>
    </w:p>
    <w:p>
      <w:pPr>
        <w:spacing w:after="0" w:line="22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TERMS AND CONDITIONS OF PERFORMANCE UNIT GRANT</w:t>
      </w:r>
    </w:p>
    <w:p>
      <w:pPr>
        <w:spacing w:after="0" w:line="224"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Definitions. As used herein, the following definitions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-8890</wp:posOffset>
            </wp:positionV>
            <wp:extent cx="6216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621665" cy="8255"/>
                    </a:xfrm>
                    <a:prstGeom prst="rect">
                      <a:avLst/>
                    </a:prstGeom>
                    <a:noFill/>
                  </pic:spPr>
                </pic:pic>
              </a:graphicData>
            </a:graphic>
          </wp:anchor>
        </w:drawing>
      </w:r>
    </w:p>
    <w:p>
      <w:pPr>
        <w:spacing w:after="0" w:line="196"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means the Board or any of its Committees as will be administering the Award Agreement, in accordance with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w:t>
      </w:r>
    </w:p>
    <w:p>
      <w:pPr>
        <w:spacing w:after="0" w:line="198"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any entity that, directly or indirectly, controls, is controlled by, or is under common control with, the Company.</w:t>
      </w:r>
    </w:p>
    <w:p>
      <w:pPr>
        <w:spacing w:after="0" w:line="220" w:lineRule="exact"/>
        <w:rPr>
          <w:sz w:val="20"/>
          <w:szCs w:val="20"/>
          <w:color w:val="auto"/>
        </w:rPr>
      </w:pPr>
    </w:p>
    <w:p>
      <w:pPr>
        <w:ind w:right="120" w:firstLine="1282"/>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that may apply to this Award.</w:t>
      </w:r>
    </w:p>
    <w:p>
      <w:pPr>
        <w:spacing w:after="0" w:line="175"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this award of Performance Units.</w:t>
      </w:r>
    </w:p>
    <w:p>
      <w:pPr>
        <w:spacing w:after="0" w:line="220"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means this Stand-Alone Inducement Performance Unit Agreement evidencing the Award.</w:t>
      </w:r>
    </w:p>
    <w:p>
      <w:pPr>
        <w:spacing w:after="0" w:line="220"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w:t>
      </w:r>
    </w:p>
    <w:p>
      <w:pPr>
        <w:spacing w:after="0" w:line="220"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(g)“</w:t>
      </w:r>
      <w:r>
        <w:rPr>
          <w:sz w:val="20"/>
          <w:szCs w:val="20"/>
          <w:color w:val="auto"/>
        </w:rPr>
        <w:tab/>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 the occurrence of any of the following events:</w:t>
      </w:r>
    </w:p>
    <w:p>
      <w:pPr>
        <w:spacing w:after="0" w:line="224" w:lineRule="exact"/>
        <w:rPr>
          <w:sz w:val="20"/>
          <w:szCs w:val="20"/>
          <w:color w:val="auto"/>
        </w:rPr>
      </w:pPr>
    </w:p>
    <w:p>
      <w:pPr>
        <w:ind w:firstLine="2251"/>
        <w:spacing w:after="0" w:line="267" w:lineRule="auto"/>
        <w:tabs>
          <w:tab w:leader="none" w:pos="258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ownership of the Company which occurs on the date that any one person, or more than one person acting as a group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acquires ownership of the stock of the Company that, together with the stock held by such Person, constitutes more than fifty percent (50%) of the total voting power of the stock of the Company; provided, however, that for purposes of this subsection (i),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6" w:lineRule="exact"/>
        <w:rPr>
          <w:rFonts w:ascii="Times New Roman" w:cs="Times New Roman" w:eastAsia="Times New Roman" w:hAnsi="Times New Roman"/>
          <w:sz w:val="17"/>
          <w:szCs w:val="17"/>
          <w:color w:val="auto"/>
        </w:rPr>
      </w:pPr>
    </w:p>
    <w:p>
      <w:pPr>
        <w:ind w:right="20" w:firstLine="2251"/>
        <w:spacing w:after="0" w:line="257" w:lineRule="auto"/>
        <w:tabs>
          <w:tab w:leader="none" w:pos="263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2" w:lineRule="exact"/>
        <w:rPr>
          <w:rFonts w:ascii="Times New Roman" w:cs="Times New Roman" w:eastAsia="Times New Roman" w:hAnsi="Times New Roman"/>
          <w:sz w:val="18"/>
          <w:szCs w:val="18"/>
          <w:color w:val="auto"/>
        </w:rPr>
      </w:pPr>
    </w:p>
    <w:p>
      <w:pPr>
        <w:ind w:right="60" w:firstLine="2251"/>
        <w:spacing w:after="0" w:line="250" w:lineRule="auto"/>
        <w:tabs>
          <w:tab w:leader="none" w:pos="267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jc w:val="both"/>
        <w:ind w:firstLine="1924"/>
        <w:spacing w:after="0" w:line="277"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3" w:lineRule="exact"/>
        <w:rPr>
          <w:sz w:val="20"/>
          <w:szCs w:val="20"/>
          <w:color w:val="auto"/>
        </w:rPr>
      </w:pPr>
    </w:p>
    <w:p>
      <w:pPr>
        <w:jc w:val="both"/>
        <w:ind w:firstLine="1924"/>
        <w:spacing w:after="0" w:line="277"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63" w:lineRule="exact"/>
        <w:rPr>
          <w:sz w:val="20"/>
          <w:szCs w:val="20"/>
          <w:color w:val="auto"/>
        </w:rPr>
      </w:pPr>
    </w:p>
    <w:p>
      <w:pPr>
        <w:jc w:val="both"/>
        <w:ind w:firstLine="1924"/>
        <w:spacing w:after="0" w:line="262" w:lineRule="auto"/>
        <w:rPr>
          <w:sz w:val="20"/>
          <w:szCs w:val="20"/>
          <w:color w:val="auto"/>
        </w:rPr>
      </w:pPr>
      <w:r>
        <w:rPr>
          <w:rFonts w:ascii="Times New Roman" w:cs="Times New Roman" w:eastAsia="Times New Roman" w:hAnsi="Times New Roman"/>
          <w:sz w:val="18"/>
          <w:szCs w:val="18"/>
          <w:color w:val="auto"/>
        </w:rPr>
        <w:t>Further and for purposes of clarity, a transaction will not constitute a Change in Control if: (i) its primary purpose is to change the jurisdiction of the Company’s incorporation, or (ii) its primary purpose is to create a holding company that will be owned in substantially the same proportions by the persons who held the Company’s securities immediately before such transaction.</w:t>
      </w:r>
    </w:p>
    <w:p>
      <w:pPr>
        <w:spacing w:after="0" w:line="173" w:lineRule="exact"/>
        <w:rPr>
          <w:sz w:val="20"/>
          <w:szCs w:val="20"/>
          <w:color w:val="auto"/>
        </w:rPr>
      </w:pPr>
    </w:p>
    <w:p>
      <w:pPr>
        <w:ind w:right="280" w:firstLine="1289"/>
        <w:spacing w:after="0" w:line="265" w:lineRule="auto"/>
        <w:tabs>
          <w:tab w:leader="none" w:pos="171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69" w:lineRule="exact"/>
        <w:rPr>
          <w:sz w:val="20"/>
          <w:szCs w:val="20"/>
          <w:color w:val="auto"/>
        </w:rPr>
      </w:pPr>
    </w:p>
    <w:p>
      <w:pPr>
        <w:ind w:firstLine="1282"/>
        <w:spacing w:after="0" w:line="28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2.</w:t>
      </w:r>
    </w:p>
    <w:p>
      <w:pPr>
        <w:spacing w:after="0" w:line="155"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of the Company.</w:t>
      </w:r>
    </w:p>
    <w:p>
      <w:pPr>
        <w:sectPr>
          <w:pgSz w:w="11900" w:h="16838" w:orient="portrait"/>
          <w:cols w:equalWidth="0" w:num="1">
            <w:col w:w="11240"/>
          </w:cols>
          <w:pgMar w:left="320" w:top="571" w:right="339" w:bottom="0" w:gutter="0" w:footer="0" w:header="0"/>
        </w:sectPr>
      </w:pPr>
    </w:p>
    <w:bookmarkStart w:id="43" w:name="page44"/>
    <w:bookmarkEnd w:id="43"/>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(k)“</w:t>
      </w:r>
      <w:r>
        <w:rPr>
          <w:sz w:val="20"/>
          <w:szCs w:val="20"/>
          <w:color w:val="auto"/>
        </w:rPr>
        <w:tab/>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means Accuray Incorporated, a Delaware corporation, or any successor thereto.</w:t>
      </w:r>
    </w:p>
    <w:p>
      <w:pPr>
        <w:spacing w:after="0" w:line="220" w:lineRule="exact"/>
        <w:rPr>
          <w:sz w:val="20"/>
          <w:szCs w:val="20"/>
          <w:color w:val="auto"/>
        </w:rPr>
      </w:pPr>
    </w:p>
    <w:p>
      <w:pPr>
        <w:ind w:right="180" w:firstLine="1282"/>
        <w:spacing w:after="0" w:line="256"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natural person, including an advisor, engaged by the Company or any Parent, Subsidiary or Affiliate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78" w:lineRule="exact"/>
        <w:rPr>
          <w:sz w:val="20"/>
          <w:szCs w:val="20"/>
          <w:color w:val="auto"/>
        </w:rPr>
      </w:pPr>
    </w:p>
    <w:p>
      <w:pPr>
        <w:ind w:left="1280"/>
        <w:spacing w:after="0"/>
        <w:tabs>
          <w:tab w:leader="none" w:pos="1780" w:val="left"/>
        </w:tabs>
        <w:rPr>
          <w:sz w:val="20"/>
          <w:szCs w:val="20"/>
          <w:color w:val="auto"/>
        </w:rPr>
      </w:pPr>
      <w:r>
        <w:rPr>
          <w:rFonts w:ascii="Times New Roman" w:cs="Times New Roman" w:eastAsia="Times New Roman" w:hAnsi="Times New Roman"/>
          <w:sz w:val="18"/>
          <w:szCs w:val="18"/>
          <w:color w:val="auto"/>
        </w:rPr>
        <w:t>(m)“</w:t>
      </w:r>
      <w:r>
        <w:rPr>
          <w:sz w:val="20"/>
          <w:szCs w:val="20"/>
          <w:color w:val="auto"/>
        </w:rPr>
        <w:tab/>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w:t>
      </w:r>
    </w:p>
    <w:p>
      <w:pPr>
        <w:spacing w:after="0" w:line="220" w:lineRule="exact"/>
        <w:rPr>
          <w:sz w:val="20"/>
          <w:szCs w:val="20"/>
          <w:color w:val="auto"/>
        </w:rPr>
      </w:pPr>
    </w:p>
    <w:p>
      <w:pPr>
        <w:ind w:right="60" w:firstLine="1282"/>
        <w:spacing w:after="0" w:line="312" w:lineRule="auto"/>
        <w:rPr>
          <w:sz w:val="20"/>
          <w:szCs w:val="20"/>
          <w:color w:val="auto"/>
        </w:rPr>
      </w:pPr>
      <w:r>
        <w:rPr>
          <w:rFonts w:ascii="Times New Roman" w:cs="Times New Roman" w:eastAsia="Times New Roman" w:hAnsi="Times New Roman"/>
          <w:sz w:val="17"/>
          <w:szCs w:val="17"/>
          <w:color w:val="auto"/>
        </w:rPr>
        <w:t xml:space="preserve">(n)“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means any person, including Officers and Directors, employed by the Company or any Parent, Subsidiary or Affiliate of the Company. Neither service as a Director nor payment of a director’s fee by the Company will be sufficient to constitute “employment” by the Company.</w:t>
      </w:r>
    </w:p>
    <w:p>
      <w:pPr>
        <w:spacing w:after="0" w:line="133"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U.S. Securities Exchange Act of 1934, as amended, including the rules and regulations promulgated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198"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(p)“</w:t>
      </w:r>
      <w:r>
        <w:rPr>
          <w:sz w:val="20"/>
          <w:szCs w:val="20"/>
          <w:color w:val="auto"/>
        </w:rPr>
        <w:tab/>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means, as of any date and unless the Administrator determines otherwise, the value of a Share determined as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2" w:lineRule="exact"/>
        <w:rPr>
          <w:sz w:val="20"/>
          <w:szCs w:val="20"/>
          <w:color w:val="auto"/>
        </w:rPr>
      </w:pPr>
    </w:p>
    <w:p>
      <w:pPr>
        <w:ind w:right="100" w:firstLine="2251"/>
        <w:spacing w:after="0" w:line="255" w:lineRule="auto"/>
        <w:tabs>
          <w:tab w:leader="none" w:pos="259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The Wall Street Journal or such other source as the Administrator deems reliable;</w:t>
      </w:r>
    </w:p>
    <w:p>
      <w:pPr>
        <w:spacing w:after="0" w:line="182" w:lineRule="exact"/>
        <w:rPr>
          <w:rFonts w:ascii="Times New Roman" w:cs="Times New Roman" w:eastAsia="Times New Roman" w:hAnsi="Times New Roman"/>
          <w:sz w:val="18"/>
          <w:szCs w:val="18"/>
          <w:color w:val="auto"/>
        </w:rPr>
      </w:pPr>
    </w:p>
    <w:p>
      <w:pPr>
        <w:jc w:val="both"/>
        <w:ind w:right="80" w:firstLine="2251"/>
        <w:spacing w:after="0" w:line="257" w:lineRule="auto"/>
        <w:tabs>
          <w:tab w:leader="none" w:pos="2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by a recognized securities dealer but selling prices are not reported, the Fair Market Value will be the mean between the high bid and low asked prices for the Common Stock on the date of determination (or, if no bids and asks were reported on that date, as applicable, on the last Trading Day such bids and asks were reported), as reported in The Wall Street Journal or such other source as the Administrator deems reliable; or</w:t>
      </w:r>
    </w:p>
    <w:p>
      <w:pPr>
        <w:spacing w:after="0" w:line="182" w:lineRule="exact"/>
        <w:rPr>
          <w:rFonts w:ascii="Times New Roman" w:cs="Times New Roman" w:eastAsia="Times New Roman" w:hAnsi="Times New Roman"/>
          <w:sz w:val="18"/>
          <w:szCs w:val="18"/>
          <w:color w:val="auto"/>
        </w:rPr>
      </w:pPr>
    </w:p>
    <w:p>
      <w:pPr>
        <w:ind w:left="2700" w:hanging="449"/>
        <w:spacing w:after="0"/>
        <w:tabs>
          <w:tab w:leader="none" w:pos="27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Stock, the Fair Market Value will be determined in good faith</w:t>
      </w:r>
    </w:p>
    <w:p>
      <w:pPr>
        <w:spacing w:after="0" w:line="3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by the Administrator.</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Notwithstanding the foregoing, for purposes of determining the fair market value of any Shares subject to the PSUs for any reason,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78" w:lineRule="exact"/>
        <w:rPr>
          <w:sz w:val="20"/>
          <w:szCs w:val="20"/>
          <w:color w:val="auto"/>
        </w:rPr>
      </w:pPr>
    </w:p>
    <w:p>
      <w:pPr>
        <w:ind w:right="1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55"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(r)“</w:t>
      </w:r>
      <w:r>
        <w:rPr>
          <w:sz w:val="20"/>
          <w:szCs w:val="20"/>
          <w:color w:val="auto"/>
        </w:rPr>
        <w:tab/>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means a “parent corporation,” whether now or hereafter existing, as defined in Section 424(e) of the Code.</w:t>
      </w:r>
    </w:p>
    <w:p>
      <w:pPr>
        <w:spacing w:after="0" w:line="220"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the person named in the Notice of Grant or such person’s successor.</w:t>
      </w:r>
    </w:p>
    <w:p>
      <w:pPr>
        <w:spacing w:after="0" w:line="220" w:lineRule="exact"/>
        <w:rPr>
          <w:sz w:val="20"/>
          <w:szCs w:val="20"/>
          <w:color w:val="auto"/>
        </w:rPr>
      </w:pPr>
    </w:p>
    <w:p>
      <w:pPr>
        <w:ind w:right="200" w:firstLine="1282"/>
        <w:spacing w:after="0" w:line="265"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b w:val="1"/>
          <w:bCs w:val="1"/>
          <w:color w:val="auto"/>
        </w:rPr>
        <w:t>Performance Unit</w:t>
      </w:r>
      <w:r>
        <w:rPr>
          <w:rFonts w:ascii="Times New Roman" w:cs="Times New Roman" w:eastAsia="Times New Roman" w:hAnsi="Times New Roman"/>
          <w:sz w:val="18"/>
          <w:szCs w:val="18"/>
          <w:color w:val="auto"/>
        </w:rPr>
        <w:t>” means a bookkeeping entry representing an amount equal to the fair market value of one Share, which may be earned in whole or in part upon attainment of performance goals or other vesting criteria as the Administrator may determine. Each Performance Unit represents an unfunded and unsecured obligation of the Company.</w:t>
      </w:r>
    </w:p>
    <w:p>
      <w:pPr>
        <w:spacing w:after="0" w:line="169" w:lineRule="exact"/>
        <w:rPr>
          <w:sz w:val="20"/>
          <w:szCs w:val="20"/>
          <w:color w:val="auto"/>
        </w:rPr>
      </w:pPr>
    </w:p>
    <w:p>
      <w:pPr>
        <w:ind w:right="1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Award Agreement.</w:t>
      </w:r>
    </w:p>
    <w:p>
      <w:pPr>
        <w:spacing w:after="0" w:line="155" w:lineRule="exact"/>
        <w:rPr>
          <w:sz w:val="20"/>
          <w:szCs w:val="20"/>
          <w:color w:val="auto"/>
        </w:rPr>
      </w:pPr>
    </w:p>
    <w:p>
      <w:pPr>
        <w:ind w:right="3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 and the U.S. Treasury Regulations and guidance thereunder, and any applicable state law equivalent, as each may be promulgated, amended or modified from time to time.</w:t>
      </w:r>
    </w:p>
    <w:p>
      <w:pPr>
        <w:spacing w:after="0" w:line="155" w:lineRule="exact"/>
        <w:rPr>
          <w:sz w:val="20"/>
          <w:szCs w:val="20"/>
          <w:color w:val="auto"/>
        </w:rPr>
      </w:pPr>
    </w:p>
    <w:p>
      <w:pPr>
        <w:ind w:left="1280"/>
        <w:spacing w:after="0"/>
        <w:tabs>
          <w:tab w:leader="none" w:pos="1780" w:val="left"/>
        </w:tabs>
        <w:rPr>
          <w:sz w:val="20"/>
          <w:szCs w:val="20"/>
          <w:color w:val="auto"/>
        </w:rPr>
      </w:pPr>
      <w:r>
        <w:rPr>
          <w:rFonts w:ascii="Times New Roman" w:cs="Times New Roman" w:eastAsia="Times New Roman" w:hAnsi="Times New Roman"/>
          <w:sz w:val="18"/>
          <w:szCs w:val="18"/>
          <w:color w:val="auto"/>
        </w:rPr>
        <w:t>(w)“</w:t>
      </w:r>
      <w:r>
        <w:rPr>
          <w:sz w:val="20"/>
          <w:szCs w:val="20"/>
          <w:color w:val="auto"/>
        </w:rPr>
        <w:tab/>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U.S. Securities Act of 1933, as amended, including the rules and regulations promulgated thereunder.</w:t>
      </w:r>
    </w:p>
    <w:p>
      <w:pPr>
        <w:spacing w:after="0" w:line="220"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7"/>
          <w:szCs w:val="17"/>
          <w:b w:val="1"/>
          <w:bCs w:val="1"/>
          <w:color w:val="auto"/>
        </w:rPr>
        <w:t>Service Provider</w:t>
      </w:r>
      <w:r>
        <w:rPr>
          <w:rFonts w:ascii="Times New Roman" w:cs="Times New Roman" w:eastAsia="Times New Roman" w:hAnsi="Times New Roman"/>
          <w:sz w:val="17"/>
          <w:szCs w:val="17"/>
          <w:color w:val="auto"/>
        </w:rPr>
        <w:t>” means an Employee, Director or Consultant.</w:t>
      </w:r>
    </w:p>
    <w:p>
      <w:pPr>
        <w:spacing w:after="0" w:line="220"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(y)“</w:t>
      </w:r>
      <w:r>
        <w:rPr>
          <w:sz w:val="20"/>
          <w:szCs w:val="20"/>
          <w:color w:val="auto"/>
        </w:rPr>
        <w:tab/>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means a share of the Common Stock, as adjusted in accordance with Section 15.</w:t>
      </w:r>
    </w:p>
    <w:p>
      <w:pPr>
        <w:spacing w:after="0" w:line="184" w:lineRule="exact"/>
        <w:rPr>
          <w:sz w:val="20"/>
          <w:szCs w:val="20"/>
          <w:color w:val="auto"/>
        </w:rPr>
      </w:pPr>
    </w:p>
    <w:p>
      <w:pPr>
        <w:ind w:left="1280"/>
        <w:spacing w:after="0" w:line="207" w:lineRule="exact"/>
        <w:tabs>
          <w:tab w:leader="none" w:pos="1720" w:val="left"/>
        </w:tabs>
        <w:rPr>
          <w:sz w:val="20"/>
          <w:szCs w:val="20"/>
          <w:color w:val="auto"/>
        </w:rPr>
      </w:pPr>
      <w:r>
        <w:rPr>
          <w:rFonts w:ascii="Times New Roman" w:cs="Times New Roman" w:eastAsia="Times New Roman" w:hAnsi="Times New Roman"/>
          <w:sz w:val="18"/>
          <w:szCs w:val="18"/>
          <w:color w:val="auto"/>
        </w:rPr>
        <w:t>(z)“</w:t>
      </w:r>
      <w:r>
        <w:rPr>
          <w:sz w:val="20"/>
          <w:szCs w:val="20"/>
          <w:color w:val="auto"/>
        </w:rPr>
        <w:tab/>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 “subsidiary corporation,” whether now or hereafter exist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ing, as defined in Section 424(f) of the Code.</w:t>
      </w:r>
    </w:p>
    <w:p>
      <w:pPr>
        <w:spacing w:after="0" w:line="257" w:lineRule="exact"/>
        <w:rPr>
          <w:sz w:val="20"/>
          <w:szCs w:val="20"/>
          <w:color w:val="auto"/>
        </w:rPr>
      </w:pPr>
    </w:p>
    <w:p>
      <w:pPr>
        <w:ind w:right="120" w:firstLine="1282"/>
        <w:spacing w:after="0" w:line="282" w:lineRule="auto"/>
        <w:rPr>
          <w:sz w:val="20"/>
          <w:szCs w:val="20"/>
          <w:color w:val="auto"/>
        </w:rPr>
      </w:pPr>
      <w:r>
        <w:rPr>
          <w:rFonts w:ascii="Times New Roman" w:cs="Times New Roman" w:eastAsia="Times New Roman" w:hAnsi="Times New Roman"/>
          <w:sz w:val="18"/>
          <w:szCs w:val="18"/>
          <w:color w:val="auto"/>
        </w:rPr>
        <w:t xml:space="preserve">(aa)“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55" w:lineRule="exact"/>
        <w:rPr>
          <w:sz w:val="20"/>
          <w:szCs w:val="20"/>
          <w:color w:val="auto"/>
        </w:rPr>
      </w:pPr>
    </w:p>
    <w:p>
      <w:pPr>
        <w:ind w:right="140" w:firstLine="1282"/>
        <w:spacing w:after="0" w:line="265"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3" w:lineRule="exact"/>
        <w:rPr>
          <w:sz w:val="20"/>
          <w:szCs w:val="20"/>
          <w:color w:val="auto"/>
        </w:rPr>
      </w:pPr>
    </w:p>
    <w:p>
      <w:pPr>
        <w:ind w:left="940" w:hanging="292"/>
        <w:spacing w:after="0"/>
        <w:tabs>
          <w:tab w:leader="none" w:pos="9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w:t>
      </w:r>
    </w:p>
    <w:p>
      <w:pPr>
        <w:spacing w:after="0" w:line="220" w:lineRule="exact"/>
        <w:rPr>
          <w:rFonts w:ascii="Times New Roman" w:cs="Times New Roman" w:eastAsia="Times New Roman" w:hAnsi="Times New Roman"/>
          <w:sz w:val="18"/>
          <w:szCs w:val="18"/>
          <w:color w:val="auto"/>
        </w:rPr>
      </w:pPr>
    </w:p>
    <w:p>
      <w:pPr>
        <w:ind w:left="1660" w:hanging="371"/>
        <w:spacing w:after="0"/>
        <w:tabs>
          <w:tab w:leader="none" w:pos="16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w:t>
      </w:r>
    </w:p>
    <w:p>
      <w:pPr>
        <w:spacing w:after="0" w:line="220" w:lineRule="exact"/>
        <w:rPr>
          <w:rFonts w:ascii="Times New Roman" w:cs="Times New Roman" w:eastAsia="Times New Roman" w:hAnsi="Times New Roman"/>
          <w:sz w:val="18"/>
          <w:szCs w:val="18"/>
          <w:color w:val="auto"/>
        </w:rPr>
      </w:pPr>
    </w:p>
    <w:p>
      <w:pPr>
        <w:ind w:right="500" w:firstLine="2251"/>
        <w:spacing w:after="0" w:line="277" w:lineRule="auto"/>
        <w:tabs>
          <w:tab w:leader="none" w:pos="259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16b-3. To the extent desirable to qualify transactions hereunder as exempt under Rule 16b-3, the transactions contemplated hereunder will be structured to satisfy the requirements for exemption under Rule 16b-3.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-723900</wp:posOffset>
            </wp:positionV>
            <wp:extent cx="7912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9121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-452120</wp:posOffset>
            </wp:positionV>
            <wp:extent cx="571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1536065</wp:posOffset>
            </wp:positionH>
            <wp:positionV relativeFrom="paragraph">
              <wp:posOffset>-180975</wp:posOffset>
            </wp:positionV>
            <wp:extent cx="6184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618490" cy="825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bookmarkStart w:id="44" w:name="page45"/>
    <w:bookmarkEnd w:id="44"/>
    <w:p>
      <w:pPr>
        <w:ind w:left="2633" w:hanging="389"/>
        <w:spacing w:after="0"/>
        <w:tabs>
          <w:tab w:leader="none" w:pos="2633"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Administration. Other than as provided above, this Award Agreement will be administered by (A) the Board or</w:t>
      </w:r>
    </w:p>
    <w:p>
      <w:pPr>
        <w:spacing w:after="0" w:line="25" w:lineRule="exact"/>
        <w:rPr>
          <w:rFonts w:ascii="Times New Roman" w:cs="Times New Roman" w:eastAsia="Times New Roman" w:hAnsi="Times New Roman"/>
          <w:sz w:val="18"/>
          <w:szCs w:val="18"/>
          <w:color w:val="auto"/>
        </w:rPr>
      </w:pPr>
    </w:p>
    <w:p>
      <w:pPr>
        <w:ind w:left="273" w:hanging="273"/>
        <w:spacing w:after="0"/>
        <w:tabs>
          <w:tab w:leader="none" w:pos="2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which Committee will be constituted to comply with Applicable Laws.</w:t>
      </w:r>
    </w:p>
    <w:p>
      <w:pPr>
        <w:spacing w:after="0" w:line="201" w:lineRule="exact"/>
        <w:rPr>
          <w:rFonts w:ascii="Times New Roman" w:cs="Times New Roman" w:eastAsia="Times New Roman" w:hAnsi="Times New Roman"/>
          <w:sz w:val="18"/>
          <w:szCs w:val="18"/>
          <w:color w:val="auto"/>
        </w:rPr>
      </w:pPr>
    </w:p>
    <w:p>
      <w:pPr>
        <w:ind w:left="-7" w:right="100" w:firstLine="2251"/>
        <w:spacing w:after="0" w:line="262" w:lineRule="auto"/>
        <w:tabs>
          <w:tab w:leader="none" w:pos="2682"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of Authority for Day-to-Day Administration. Except to the extent prohibited by Applicable Laws, the Administrator may delegate to one or more individuals the day-to-day administration of this Award Agreement and any of the functions assigned to it in this Award Agreement. Such delegation may be revoked at any time.</w:t>
      </w:r>
    </w:p>
    <w:p>
      <w:pPr>
        <w:spacing w:after="0" w:line="177" w:lineRule="exact"/>
        <w:rPr>
          <w:rFonts w:ascii="Times New Roman" w:cs="Times New Roman" w:eastAsia="Times New Roman" w:hAnsi="Times New Roman"/>
          <w:sz w:val="18"/>
          <w:szCs w:val="18"/>
          <w:color w:val="auto"/>
        </w:rPr>
      </w:pPr>
    </w:p>
    <w:p>
      <w:pPr>
        <w:ind w:left="-7" w:right="560" w:firstLine="1289"/>
        <w:spacing w:after="0" w:line="277" w:lineRule="auto"/>
        <w:tabs>
          <w:tab w:leader="none" w:pos="166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the Administrator. Subject to the provisions of the Award Agreement, and in the case of a Committee, subject to the specific duties delegated by the Board to such Committee, the Administrator will have the authority, in its discretion:</w:t>
      </w:r>
    </w:p>
    <w:p>
      <w:pPr>
        <w:spacing w:after="0" w:line="163" w:lineRule="exact"/>
        <w:rPr>
          <w:rFonts w:ascii="Times New Roman" w:cs="Times New Roman" w:eastAsia="Times New Roman" w:hAnsi="Times New Roman"/>
          <w:sz w:val="18"/>
          <w:szCs w:val="18"/>
          <w:color w:val="auto"/>
        </w:rPr>
      </w:pPr>
    </w:p>
    <w:p>
      <w:pPr>
        <w:ind w:left="2593" w:hanging="349"/>
        <w:spacing w:after="0"/>
        <w:tabs>
          <w:tab w:leader="none" w:pos="2593"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-1365885</wp:posOffset>
            </wp:positionV>
            <wp:extent cx="10833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1083310" cy="825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-958850</wp:posOffset>
            </wp:positionV>
            <wp:extent cx="26403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-415925</wp:posOffset>
            </wp:positionV>
            <wp:extent cx="13970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00" w:lineRule="exact"/>
        <w:rPr>
          <w:sz w:val="20"/>
          <w:szCs w:val="20"/>
          <w:color w:val="auto"/>
        </w:rPr>
      </w:pPr>
    </w:p>
    <w:p>
      <w:pPr>
        <w:ind w:left="2633" w:hanging="389"/>
        <w:spacing w:after="0"/>
        <w:tabs>
          <w:tab w:leader="none" w:pos="2633"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Award and this Award Agreement;</w:t>
      </w:r>
    </w:p>
    <w:p>
      <w:pPr>
        <w:spacing w:after="0" w:line="220" w:lineRule="exact"/>
        <w:rPr>
          <w:rFonts w:ascii="Times New Roman" w:cs="Times New Roman" w:eastAsia="Times New Roman" w:hAnsi="Times New Roman"/>
          <w:sz w:val="18"/>
          <w:szCs w:val="18"/>
          <w:color w:val="auto"/>
        </w:rPr>
      </w:pPr>
    </w:p>
    <w:p>
      <w:pPr>
        <w:ind w:left="-7" w:right="160" w:firstLine="2251"/>
        <w:spacing w:after="0" w:line="238" w:lineRule="exact"/>
        <w:tabs>
          <w:tab w:leader="none" w:pos="2682" w:val="left"/>
        </w:tabs>
        <w:numPr>
          <w:ilvl w:val="2"/>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prescribe, amend and rescind rules and regulations relating to the Award, including easing the administration of the Award and/or qualifying for favorable tax treatment under applicable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laws, in each case as the Administrator may deem necessary or advisable.</w:t>
      </w:r>
    </w:p>
    <w:p>
      <w:pPr>
        <w:spacing w:after="0" w:line="167" w:lineRule="exact"/>
        <w:rPr>
          <w:rFonts w:ascii="Times New Roman" w:cs="Times New Roman" w:eastAsia="Times New Roman" w:hAnsi="Times New Roman"/>
          <w:sz w:val="17"/>
          <w:szCs w:val="17"/>
          <w:color w:val="auto"/>
        </w:rPr>
      </w:pPr>
    </w:p>
    <w:p>
      <w:pPr>
        <w:ind w:left="2673" w:hanging="429"/>
        <w:spacing w:after="0"/>
        <w:tabs>
          <w:tab w:leader="none" w:pos="2673"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the Award;</w:t>
      </w:r>
    </w:p>
    <w:p>
      <w:pPr>
        <w:spacing w:after="0" w:line="220" w:lineRule="exact"/>
        <w:rPr>
          <w:rFonts w:ascii="Times New Roman" w:cs="Times New Roman" w:eastAsia="Times New Roman" w:hAnsi="Times New Roman"/>
          <w:sz w:val="18"/>
          <w:szCs w:val="18"/>
          <w:color w:val="auto"/>
        </w:rPr>
      </w:pPr>
    </w:p>
    <w:p>
      <w:pPr>
        <w:ind w:left="2633" w:hanging="389"/>
        <w:spacing w:after="0"/>
        <w:tabs>
          <w:tab w:leader="none" w:pos="2633"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the Award will be settled in Shares, cash or in any combination thereof; and</w:t>
      </w:r>
    </w:p>
    <w:p>
      <w:pPr>
        <w:spacing w:after="0" w:line="220" w:lineRule="exact"/>
        <w:rPr>
          <w:rFonts w:ascii="Times New Roman" w:cs="Times New Roman" w:eastAsia="Times New Roman" w:hAnsi="Times New Roman"/>
          <w:sz w:val="18"/>
          <w:szCs w:val="18"/>
          <w:color w:val="auto"/>
        </w:rPr>
      </w:pPr>
    </w:p>
    <w:p>
      <w:pPr>
        <w:ind w:left="2673" w:hanging="429"/>
        <w:spacing w:after="0"/>
        <w:tabs>
          <w:tab w:leader="none" w:pos="2673" w:val="left"/>
        </w:tabs>
        <w:numPr>
          <w:ilvl w:val="2"/>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all other determinations deemed necessary or advisable for administering the Award and the Award Agreement.</w:t>
      </w:r>
    </w:p>
    <w:p>
      <w:pPr>
        <w:spacing w:after="0" w:line="231" w:lineRule="exact"/>
        <w:rPr>
          <w:rFonts w:ascii="Times New Roman" w:cs="Times New Roman" w:eastAsia="Times New Roman" w:hAnsi="Times New Roman"/>
          <w:sz w:val="17"/>
          <w:szCs w:val="17"/>
          <w:color w:val="auto"/>
        </w:rPr>
      </w:pPr>
    </w:p>
    <w:p>
      <w:pPr>
        <w:ind w:left="-7" w:right="200" w:firstLine="1289"/>
        <w:spacing w:after="0" w:line="277" w:lineRule="auto"/>
        <w:tabs>
          <w:tab w:leader="none" w:pos="165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Administrator’s Decisions. The Administrator’s decisions, determinations, and interpretations will be final and binding on Participant and will be given the maximum deference permitted by Applicable Laws.</w:t>
      </w:r>
    </w:p>
    <w:p>
      <w:pPr>
        <w:spacing w:after="0" w:line="159" w:lineRule="exact"/>
        <w:rPr>
          <w:rFonts w:ascii="Times New Roman" w:cs="Times New Roman" w:eastAsia="Times New Roman" w:hAnsi="Times New Roman"/>
          <w:sz w:val="18"/>
          <w:szCs w:val="18"/>
          <w:color w:val="auto"/>
        </w:rPr>
      </w:pPr>
    </w:p>
    <w:p>
      <w:pPr>
        <w:ind w:left="-7" w:right="60" w:firstLine="648"/>
        <w:spacing w:after="0" w:line="265" w:lineRule="auto"/>
        <w:tabs>
          <w:tab w:leader="none" w:pos="9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Performance Units. The Company hereby grants to the individual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named in the Notice of Performance Unit Grant of this Award Agreement (the “</w:t>
      </w:r>
      <w:r>
        <w:rPr>
          <w:rFonts w:ascii="Times New Roman" w:cs="Times New Roman" w:eastAsia="Times New Roman" w:hAnsi="Times New Roman"/>
          <w:sz w:val="18"/>
          <w:szCs w:val="18"/>
          <w:b w:val="1"/>
          <w:bCs w:val="1"/>
          <w:color w:val="auto"/>
        </w:rPr>
        <w:t>Notice of Grant</w:t>
      </w:r>
      <w:r>
        <w:rPr>
          <w:rFonts w:ascii="Times New Roman" w:cs="Times New Roman" w:eastAsia="Times New Roman" w:hAnsi="Times New Roman"/>
          <w:sz w:val="18"/>
          <w:szCs w:val="18"/>
          <w:color w:val="auto"/>
        </w:rPr>
        <w:t>”) an Award of Performance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subject to the terms and conditions of this Award Agreement. The Award is intended to qualify as an employment inducement grant under Nasdaq Listing Rule 5635(c)(4).</w:t>
      </w:r>
    </w:p>
    <w:p>
      <w:pPr>
        <w:spacing w:after="0" w:line="173" w:lineRule="exact"/>
        <w:rPr>
          <w:rFonts w:ascii="Times New Roman" w:cs="Times New Roman" w:eastAsia="Times New Roman" w:hAnsi="Times New Roman"/>
          <w:sz w:val="18"/>
          <w:szCs w:val="18"/>
          <w:color w:val="auto"/>
        </w:rPr>
      </w:pPr>
    </w:p>
    <w:p>
      <w:pPr>
        <w:jc w:val="both"/>
        <w:ind w:left="-7" w:right="40" w:firstLine="648"/>
        <w:spacing w:after="0" w:line="262" w:lineRule="auto"/>
        <w:tabs>
          <w:tab w:leader="none" w:pos="9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Obligation to Pay. Each PSU represents the right to receive a Share on the date it vests. Unless and until the PSUs will have vested in the manner set forth in Sections 5 or 6, Participant will have no right to payment of any such PSUs. Prior to actual payment of any vested PSUs, such PSU will represent an unsecured obligation of the Company, payable (if at all) only from the general assets of the Company.</w:t>
      </w:r>
    </w:p>
    <w:p>
      <w:pPr>
        <w:spacing w:after="0" w:line="177" w:lineRule="exact"/>
        <w:rPr>
          <w:rFonts w:ascii="Times New Roman" w:cs="Times New Roman" w:eastAsia="Times New Roman" w:hAnsi="Times New Roman"/>
          <w:sz w:val="18"/>
          <w:szCs w:val="18"/>
          <w:color w:val="auto"/>
        </w:rPr>
      </w:pPr>
    </w:p>
    <w:p>
      <w:pPr>
        <w:ind w:left="-7" w:right="120" w:firstLine="648"/>
        <w:spacing w:after="0" w:line="253" w:lineRule="auto"/>
        <w:tabs>
          <w:tab w:leader="none" w:pos="9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Schedule. Except as provided in Section 6, and subject to Section 9, the PSUs 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Subsidiary or Affiliate of the Company, as applicable, governing the terms of this Award, PSUs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86" w:lineRule="exact"/>
        <w:rPr>
          <w:rFonts w:ascii="Times New Roman" w:cs="Times New Roman" w:eastAsia="Times New Roman" w:hAnsi="Times New Roman"/>
          <w:sz w:val="18"/>
          <w:szCs w:val="18"/>
          <w:color w:val="auto"/>
        </w:rPr>
      </w:pPr>
    </w:p>
    <w:p>
      <w:pPr>
        <w:ind w:left="953" w:hanging="312"/>
        <w:spacing w:after="0"/>
        <w:tabs>
          <w:tab w:leader="none" w:pos="95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After Vesting.</w:t>
      </w:r>
    </w:p>
    <w:p>
      <w:pPr>
        <w:spacing w:after="0" w:line="220" w:lineRule="exact"/>
        <w:rPr>
          <w:rFonts w:ascii="Times New Roman" w:cs="Times New Roman" w:eastAsia="Times New Roman" w:hAnsi="Times New Roman"/>
          <w:sz w:val="18"/>
          <w:szCs w:val="18"/>
          <w:color w:val="auto"/>
        </w:rPr>
      </w:pPr>
    </w:p>
    <w:p>
      <w:pPr>
        <w:ind w:left="-7" w:right="60" w:firstLine="1289"/>
        <w:spacing w:after="0" w:line="251" w:lineRule="auto"/>
        <w:tabs>
          <w:tab w:leader="none" w:pos="165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Rule. Subject to Sections 6(c) and 11, any PSUs that vest will be paid to Participant (or in the event of Participant’s death, to Participant’s properly designated beneficiary or estate) in whole Shares no later than seventy-four (74) days following the vesting date applicable to such PSUs (the “</w:t>
      </w:r>
      <w:r>
        <w:rPr>
          <w:rFonts w:ascii="Times New Roman" w:cs="Times New Roman" w:eastAsia="Times New Roman" w:hAnsi="Times New Roman"/>
          <w:sz w:val="18"/>
          <w:szCs w:val="18"/>
          <w:b w:val="1"/>
          <w:bCs w:val="1"/>
          <w:color w:val="auto"/>
        </w:rPr>
        <w:t>Settlement Deadline Date</w:t>
      </w:r>
      <w:r>
        <w:rPr>
          <w:rFonts w:ascii="Times New Roman" w:cs="Times New Roman" w:eastAsia="Times New Roman" w:hAnsi="Times New Roman"/>
          <w:sz w:val="18"/>
          <w:szCs w:val="18"/>
          <w:color w:val="auto"/>
        </w:rPr>
        <w:t>”). Except as may be required by the provisions of Section 6(c), no PSU will be settled after the Settlement Deadline Date applicable to it. If any PSU has not met all the requirements for settlement under this Award Agreement in a manner that would allow it to be settled by the applicable Settlement Deadline Date (or, if applicable, such other date required by Section 6(c)), such PSU will be forfeited as of immediately following the applicable Settlement Deadline Date (or such other date required by Section 6(c), as applicable). In no event will Participant be permitted, directly or indirectly, to specify the taxable year of payment of any PSUs payable under this Award Agreement. For clarity, there may be multiple Settlement Deadline Dates, each corresponding to a particular PSU. Further for clarity, to the extent the Employment Agreement specifically provides for different payment timing upon the occurrence of specified events described therein, such payment terms under the Employment Agreement will apply (subject to any delay required by Section 16(c) of the Employment Agreement).</w:t>
      </w:r>
    </w:p>
    <w:p>
      <w:pPr>
        <w:spacing w:after="0" w:line="186" w:lineRule="exact"/>
        <w:rPr>
          <w:rFonts w:ascii="Times New Roman" w:cs="Times New Roman" w:eastAsia="Times New Roman" w:hAnsi="Times New Roman"/>
          <w:sz w:val="18"/>
          <w:szCs w:val="18"/>
          <w:color w:val="auto"/>
        </w:rPr>
      </w:pPr>
    </w:p>
    <w:p>
      <w:pPr>
        <w:jc w:val="both"/>
        <w:ind w:left="-7" w:right="60" w:firstLine="1289"/>
        <w:spacing w:after="0" w:line="262" w:lineRule="auto"/>
        <w:tabs>
          <w:tab w:leader="none" w:pos="165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 Discretion. The Administrator, in its discretion, may accelerate the vesting of the balance, or some lesser portion of the balance, of the unvested PSUs at any time, subject to the terms of the Award Agreement. If so accelerated, such PSUs will be considered as having vested as of the date specified by the Administrator.</w:t>
      </w:r>
    </w:p>
    <w:p>
      <w:pPr>
        <w:spacing w:after="0" w:line="177" w:lineRule="exact"/>
        <w:rPr>
          <w:rFonts w:ascii="Times New Roman" w:cs="Times New Roman" w:eastAsia="Times New Roman" w:hAnsi="Times New Roman"/>
          <w:sz w:val="18"/>
          <w:szCs w:val="18"/>
          <w:color w:val="auto"/>
        </w:rPr>
      </w:pPr>
    </w:p>
    <w:p>
      <w:pPr>
        <w:ind w:left="1653" w:hanging="371"/>
        <w:spacing w:after="0"/>
        <w:tabs>
          <w:tab w:leader="none" w:pos="165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This Section 6(c) will apply to Participant to the extent Participant is a U.S. taxpayer.</w:t>
      </w:r>
    </w:p>
    <w:p>
      <w:pPr>
        <w:spacing w:after="0" w:line="220" w:lineRule="exact"/>
        <w:rPr>
          <w:rFonts w:ascii="Times New Roman" w:cs="Times New Roman" w:eastAsia="Times New Roman" w:hAnsi="Times New Roman"/>
          <w:sz w:val="18"/>
          <w:szCs w:val="18"/>
          <w:color w:val="auto"/>
        </w:rPr>
      </w:pPr>
    </w:p>
    <w:p>
      <w:pPr>
        <w:ind w:left="-7" w:right="200" w:firstLine="2251"/>
        <w:spacing w:after="0" w:line="262" w:lineRule="auto"/>
        <w:tabs>
          <w:tab w:leader="none" w:pos="258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Shares vesting pursuant to this Award Agreement (including any discretionary acceleration under Section 6(b)) shall in all cases be paid at a time and in a manner that is intended to be exempt from, or comply with, Section 409A. The prior sentence may be superseded in a future agreement or amendment to this Award Agreement only by direct and specific reference to such sentence.</w:t>
      </w:r>
    </w:p>
    <w:p>
      <w:pPr>
        <w:spacing w:after="0" w:line="177" w:lineRule="exact"/>
        <w:rPr>
          <w:rFonts w:ascii="Times New Roman" w:cs="Times New Roman" w:eastAsia="Times New Roman" w:hAnsi="Times New Roman"/>
          <w:sz w:val="18"/>
          <w:szCs w:val="18"/>
          <w:color w:val="auto"/>
        </w:rPr>
      </w:pPr>
    </w:p>
    <w:p>
      <w:pPr>
        <w:ind w:left="-7" w:firstLine="2251"/>
        <w:spacing w:after="0" w:line="216" w:lineRule="exact"/>
        <w:tabs>
          <w:tab w:leader="none" w:pos="2623" w:val="left"/>
        </w:tabs>
        <w:numPr>
          <w:ilvl w:val="2"/>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PSUs under this Award Agreement that are considered deferred compensation within the meaning of Section 409A (“</w:t>
      </w:r>
      <w:r>
        <w:rPr>
          <w:rFonts w:ascii="Times New Roman" w:cs="Times New Roman" w:eastAsia="Times New Roman" w:hAnsi="Times New Roman"/>
          <w:sz w:val="17"/>
          <w:szCs w:val="17"/>
          <w:b w:val="1"/>
          <w:bCs w:val="1"/>
          <w:color w:val="auto"/>
        </w:rPr>
        <w:t>Deferred Payments</w:t>
      </w:r>
      <w:r>
        <w:rPr>
          <w:rFonts w:ascii="Times New Roman" w:cs="Times New Roman" w:eastAsia="Times New Roman" w:hAnsi="Times New Roman"/>
          <w:sz w:val="17"/>
          <w:szCs w:val="17"/>
          <w:color w:val="auto"/>
        </w:rPr>
        <w:t>”) that otherwise are intended to be paid, pursuant to subsection (i), (ii) or (v) of Code Section 409A(a)(2)(A), upon the occurrence of a merger of the Company with or into another corporation or other entity, a Change in Control, or Participant’s disability or termination from employment or other service (whether pursuant to the vesting criteria set forth in the Notice of Grant or a written agreement authorized by the Administrator between Participant and the Company or any of its Parents or Subsidiaries, as applicable), will not be payable upon such event unless and until the circumstances giving rise to such merger, Change in Control, disability, or termination constitutes a change in control event, disability, or separation from service, as applicable, within the meaning of Section 409A (a “</w:t>
      </w:r>
      <w:r>
        <w:rPr>
          <w:rFonts w:ascii="Times New Roman" w:cs="Times New Roman" w:eastAsia="Times New Roman" w:hAnsi="Times New Roman"/>
          <w:sz w:val="17"/>
          <w:szCs w:val="17"/>
          <w:b w:val="1"/>
          <w:bCs w:val="1"/>
          <w:color w:val="auto"/>
        </w:rPr>
        <w:t>409A-Conforming Event</w:t>
      </w:r>
      <w:r>
        <w:rPr>
          <w:rFonts w:ascii="Times New Roman" w:cs="Times New Roman" w:eastAsia="Times New Roman" w:hAnsi="Times New Roman"/>
          <w:sz w:val="17"/>
          <w:szCs w:val="17"/>
          <w:color w:val="auto"/>
        </w:rPr>
        <w:t>”), and to the extent such payment will not be subject to the additional tax imposed under Section 409A. In the event that the immediately preceding sentence prevents the payment of any Deferred Payments, then such Deferred Payments will be paid at the time and in the form that would have applied absent such event that fails to constitute a 409A-Conforming Event. For clarity, this Section 6(c) does not affect the value or dollar amount payable, or prohibit the vesting of Deferred Payments, including without limitation in connection with a merger of the Company with or into another corporation or other entity, a Change in Control, Participant’s disability or termination, or pursuant to Section 6(b) above. If the PSUs otherwise would be exempt from Section 409A pursuant to U.S. Treasury Regulation Section 1.409A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1(b)(9), any such PSUs that vest in connection with the termination of Participant’s employment (or other service, as applicable) will not be payable until Participant has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-7216775</wp:posOffset>
            </wp:positionV>
            <wp:extent cx="1727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1727835"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-6809740</wp:posOffset>
            </wp:positionV>
            <wp:extent cx="13716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-6266815</wp:posOffset>
            </wp:positionV>
            <wp:extent cx="14598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1459865"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-5723890</wp:posOffset>
            </wp:positionV>
            <wp:extent cx="8928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89281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-4773930</wp:posOffset>
            </wp:positionV>
            <wp:extent cx="11430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114300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-4502785</wp:posOffset>
            </wp:positionV>
            <wp:extent cx="712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2470" cy="82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-3009900</wp:posOffset>
            </wp:positionV>
            <wp:extent cx="12401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1240155"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-2466975</wp:posOffset>
            </wp:positionV>
            <wp:extent cx="7315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31520" cy="8255"/>
                    </a:xfrm>
                    <a:prstGeom prst="rect">
                      <a:avLst/>
                    </a:prstGeom>
                    <a:noFill/>
                  </pic:spPr>
                </pic:pic>
              </a:graphicData>
            </a:graphic>
          </wp:anchor>
        </w:drawing>
      </w:r>
    </w:p>
    <w:p>
      <w:pPr>
        <w:sectPr>
          <w:pgSz w:w="11900" w:h="16838" w:orient="portrait"/>
          <w:cols w:equalWidth="0" w:num="1">
            <w:col w:w="11233"/>
          </w:cols>
          <w:pgMar w:left="327" w:top="121" w:right="339" w:bottom="0" w:gutter="0" w:footer="0" w:header="0"/>
        </w:sectPr>
      </w:pPr>
    </w:p>
    <w:bookmarkStart w:id="45" w:name="page46"/>
    <w:bookmarkEnd w:id="45"/>
    <w:p>
      <w:pPr>
        <w:ind w:right="60"/>
        <w:spacing w:after="0" w:line="217" w:lineRule="exact"/>
        <w:rPr>
          <w:sz w:val="20"/>
          <w:szCs w:val="20"/>
          <w:color w:val="auto"/>
        </w:rPr>
      </w:pPr>
      <w:r>
        <w:rPr>
          <w:rFonts w:ascii="Times New Roman" w:cs="Times New Roman" w:eastAsia="Times New Roman" w:hAnsi="Times New Roman"/>
          <w:sz w:val="18"/>
          <w:szCs w:val="18"/>
          <w:color w:val="auto"/>
        </w:rPr>
        <w:t>separation from service within the meaning of Section 409A. Except as otherwise provided in a written agreement between the Company and Participant authorized by the Administrator providing for payment in compliance with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3(b) (in which case, for clarity, such provisions shall govern), PSUs that become payable by reason of the occurrence of a 409A-Conforming Event will be settled no later than seventy four (74) days following the applicable 409A-Conforming Event, subject to the following under this subsection (ii). Notwithstanding any provisions to the contrary in this Award Agreement or any other agreement (whether entered into before, on or after the Date of Grant), if any Deferred Payments become payable upon a separation from service within the meaning of Section 409A, other than due to Participant’s death, and if (x) Participant is a “specified employee” within the meaning of Section 409A at the time of such separation from service and (y) the payment of such Deferred Payments will result in the imposition of additional tax under Section 409A if paid to Participant within the six (6) month period following the separation from service, then the payment of such Deferred Payments will not be made until the date six (6) months and one (1) day following the date of Participant’s separation from service, unless Participant dies following such separation, in which case, the Deferred Payments will be paid to Participant’s estate as soon as practicable following Participant’s death. To the extent that Participant is not a “specified employee” but Participant’s separation from service occurs at a time during the year whereby the deadline date for any separation agreement and release of claims (or similar agreement or release) to become effective and irrevocable will occur in the year immediately following the year in which the separation from service occurs, then any Deferred Payments that otherwise would be payable prior to such deadline date will be paid without applying the delay set forth in the immediately preceding sentence, but will be paid in the year immediately following the year in which the separation from service occurs. Subject to compliance with the applicable requirements under Section 409A, the Administrator in its sole discretion will be permitted to make any accelerated payment of Deferred Payments pursuant to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3(j)(4).</w:t>
      </w:r>
    </w:p>
    <w:p>
      <w:pPr>
        <w:spacing w:after="0" w:line="167" w:lineRule="exact"/>
        <w:rPr>
          <w:sz w:val="20"/>
          <w:szCs w:val="20"/>
          <w:color w:val="auto"/>
        </w:rPr>
      </w:pPr>
    </w:p>
    <w:p>
      <w:pPr>
        <w:ind w:right="80" w:firstLine="2251"/>
        <w:spacing w:after="0" w:line="216" w:lineRule="exact"/>
        <w:tabs>
          <w:tab w:leader="none" w:pos="2689"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this Award Agreement that it and all payments and benefits to U.S. taxpayers hereunder be exempt from, or comply with, the requirements of Section 409A so that none of the PSUs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U.S.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2(b)(2). To the extent necessary to comply with Section 409A, references to termination of Participant’s status as an employee, termination of employment, or similar phrases will be references to Participant’s “separation from service” within the meaning of Section 409A. In no event will the Company, any Service Recipient (as defined below) or any Parent, Subsidiary, or Affiliate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96" w:lineRule="exact"/>
        <w:rPr>
          <w:rFonts w:ascii="Times New Roman" w:cs="Times New Roman" w:eastAsia="Times New Roman" w:hAnsi="Times New Roman"/>
          <w:sz w:val="18"/>
          <w:szCs w:val="18"/>
          <w:color w:val="auto"/>
        </w:rPr>
      </w:pPr>
    </w:p>
    <w:p>
      <w:pPr>
        <w:ind w:right="20" w:firstLine="648"/>
        <w:spacing w:after="0" w:line="277" w:lineRule="auto"/>
        <w:tabs>
          <w:tab w:leader="none" w:pos="95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With respect to this Award, until the Shares are issued (as evidenced by the appropriate entry on the books of the Company or a duly authorized transfer agent of the Company), no right to receive dividends or any other rights as a stockholder will exist with respect to the Shares subject to this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this Award.</w:t>
      </w:r>
    </w:p>
    <w:p>
      <w:pPr>
        <w:spacing w:after="0" w:line="166" w:lineRule="exact"/>
        <w:rPr>
          <w:rFonts w:ascii="Times New Roman" w:cs="Times New Roman" w:eastAsia="Times New Roman" w:hAnsi="Times New Roman"/>
          <w:sz w:val="17"/>
          <w:szCs w:val="17"/>
          <w:color w:val="auto"/>
        </w:rPr>
      </w:pPr>
    </w:p>
    <w:p>
      <w:pPr>
        <w:ind w:right="300" w:firstLine="648"/>
        <w:spacing w:after="0" w:line="285" w:lineRule="auto"/>
        <w:tabs>
          <w:tab w:leader="none" w:pos="95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Leaves of Absence/Transfer Between Locations. Unless the Administrator provides otherwise or as otherwise required by Applicable Laws, vesting of the Award will be suspended during any unpaid leave of absence. Participant will not cease to be an Employee in the case of (a) any leave of absence approved by the Company or (b) transfers between locations of, or between, the Company or any Subsidiary, Parent or Affiliate of the Company.</w:t>
      </w:r>
    </w:p>
    <w:p>
      <w:pPr>
        <w:spacing w:after="0" w:line="158" w:lineRule="exact"/>
        <w:rPr>
          <w:rFonts w:ascii="Times New Roman" w:cs="Times New Roman" w:eastAsia="Times New Roman" w:hAnsi="Times New Roman"/>
          <w:sz w:val="17"/>
          <w:szCs w:val="17"/>
          <w:color w:val="auto"/>
        </w:rPr>
      </w:pPr>
    </w:p>
    <w:p>
      <w:pPr>
        <w:jc w:val="both"/>
        <w:ind w:right="120" w:firstLine="648"/>
        <w:spacing w:after="0" w:line="277" w:lineRule="auto"/>
        <w:tabs>
          <w:tab w:leader="none" w:pos="95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Forfeiture Upon Termination of Status as a Service Provider. Unless specifically provided otherwise in this Award Agreement or other written agreement authorized by the Administrator between Participant and the Company or any of its Subsidiaries or Parents, as applicable, governing the terms of this Award, if Participant ceases to be a Service Provider for any reason, the then-unvested PSUs awarded by this Award Agreement will thereupon be forfeited at no cost to the Company upon the date of such cessation and Participant will have no further rights to such PSUs or the Shares thereunder.</w:t>
      </w:r>
    </w:p>
    <w:p>
      <w:pPr>
        <w:spacing w:after="0" w:line="166" w:lineRule="exact"/>
        <w:rPr>
          <w:rFonts w:ascii="Times New Roman" w:cs="Times New Roman" w:eastAsia="Times New Roman" w:hAnsi="Times New Roman"/>
          <w:sz w:val="17"/>
          <w:szCs w:val="17"/>
          <w:color w:val="auto"/>
        </w:rPr>
      </w:pPr>
    </w:p>
    <w:p>
      <w:pPr>
        <w:ind w:right="180" w:firstLine="648"/>
        <w:spacing w:after="0" w:line="257" w:lineRule="auto"/>
        <w:tabs>
          <w:tab w:leader="none" w:pos="104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of Participant.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such transferee’s status as transferee, and (b) evidence satisfactory to the Company to establish the validity of the transfer and compliance with any laws or regulations pertaining to said transfer.</w:t>
      </w:r>
    </w:p>
    <w:p>
      <w:pPr>
        <w:spacing w:after="0" w:line="182"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Obligations.</w:t>
      </w:r>
    </w:p>
    <w:p>
      <w:pPr>
        <w:spacing w:after="0" w:line="220" w:lineRule="exact"/>
        <w:rPr>
          <w:rFonts w:ascii="Times New Roman" w:cs="Times New Roman" w:eastAsia="Times New Roman" w:hAnsi="Times New Roman"/>
          <w:sz w:val="18"/>
          <w:szCs w:val="18"/>
          <w:color w:val="auto"/>
        </w:rPr>
      </w:pPr>
    </w:p>
    <w:p>
      <w:pPr>
        <w:ind w:right="20" w:firstLine="1289"/>
        <w:spacing w:after="0" w:line="251" w:lineRule="auto"/>
        <w:tabs>
          <w:tab w:leader="none" w:pos="165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Requirements. Prior to the delivery of any Shares or cash pursuant to the Award or such earlier time as any tax withholdings are due, the Company (or any of its Parents, Subsidiaries or other affiliates employing or retaining the services of Participant, as applicable) will have the power and the right to deduct or withhold, or require Participant to remit to the Company (or any of its Parents, Subsidiaries, or other affiliates, as applicable) or a relevant tax authority, an amount sufficient to satisfy U.S. federal, state, local, non-U.S. and other taxes (including Participant’s FICA or other social insurance contribution obligation) required to be withheld or paid with respect to the Award. The amount of the withholding obligation will be deemed to include any amount that the Administrator agrees may be withheld at the time the election is made, not to exceed the amount determined by using the maximum U.S. federal, state or local rates applicable to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86" w:lineRule="exact"/>
        <w:rPr>
          <w:rFonts w:ascii="Times New Roman" w:cs="Times New Roman" w:eastAsia="Times New Roman" w:hAnsi="Times New Roman"/>
          <w:sz w:val="18"/>
          <w:szCs w:val="18"/>
          <w:color w:val="auto"/>
        </w:rPr>
      </w:pPr>
    </w:p>
    <w:p>
      <w:pPr>
        <w:ind w:firstLine="1289"/>
        <w:spacing w:after="0" w:line="249" w:lineRule="auto"/>
        <w:tabs>
          <w:tab w:leader="none" w:pos="166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Responsibility for Taxes. Participant acknowledges that, regardless of any action taken by the Company or, if different, Participant’s employer or any Parent, Subsidiary, or Affiliate of the Company to which Participant is providing services (together, the “Service Recipient(s)”), the ultimate liability for any tax and social insurance liability obligations and requirements in connection with the PSUs, including, without limitation, (i) all federal, national, state, non-U.S. and local taxes (including Participant’s U.S. Federal Insurance Contributions Act (FICA) obligations and social liability insurance obligations) that are required to be withheld by any Service Recipient or other payment of tax-related items related to Participant’s participation in this Award Agreement and legally applicable to Participant, (ii) Participant’s and, to the extent required by any Service Recipient, the Service Recipient’s fringe benefit tax liability, if any, associated with the grant, vesting, or settlement of the PSUs or sale of Shares, and (iii) any other Service Recipient taxes the responsibility for which Participant has, or has agreed to bear, with respect to the PSUs (or the vesting or settlement thereof or issuance of Shares thereunder) (collectively, the “</w:t>
      </w:r>
      <w:r>
        <w:rPr>
          <w:rFonts w:ascii="Times New Roman" w:cs="Times New Roman" w:eastAsia="Times New Roman" w:hAnsi="Times New Roman"/>
          <w:sz w:val="18"/>
          <w:szCs w:val="18"/>
          <w:b w:val="1"/>
          <w:bCs w:val="1"/>
          <w:color w:val="auto"/>
        </w:rPr>
        <w:t>Tax Obligations</w:t>
      </w:r>
      <w:r>
        <w:rPr>
          <w:rFonts w:ascii="Times New Roman" w:cs="Times New Roman" w:eastAsia="Times New Roman" w:hAnsi="Times New Roman"/>
          <w:sz w:val="18"/>
          <w:szCs w:val="18"/>
          <w:color w:val="auto"/>
        </w:rPr>
        <w:t>”), are and remain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PSUs, including, but not limited to, the grant, vesting or settlement of the PSUs, the subsequent sale of Shares acquired pursuant to such settlement and the receipt of any dividends, dividend equivalents, or other distributions, or (B) makes any commitment to and is under any obligation to structure the terms of the grant or any aspect of the PSUs to reduce or eliminate Participant’s liability for Tax Obligations or achieve any particular tax result. Further, if Participant is subject to Tax Obligations in more than one jurisdiction, Participant acknowledges that the applicable Service Recipient(s) (or former Service Recipient(s), as applicable) may be required to withhold or account for Withholding Obligations (as defined below)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-6402070</wp:posOffset>
            </wp:positionV>
            <wp:extent cx="5778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577850" cy="8255"/>
                    </a:xfrm>
                    <a:prstGeom prst="rect">
                      <a:avLst/>
                    </a:prstGeom>
                    <a:noFill/>
                  </pic:spPr>
                </pic:pic>
              </a:graphicData>
            </a:graphic>
          </wp:anchor>
        </w:drawing>
        <w:drawing>
          <wp:anchor simplePos="0" relativeHeight="251657728" behindDoc="1" locked="0" layoutInCell="0" allowOverlap="1">
            <wp:simplePos x="0" y="0"/>
            <wp:positionH relativeFrom="column">
              <wp:posOffset>495935</wp:posOffset>
            </wp:positionH>
            <wp:positionV relativeFrom="paragraph">
              <wp:posOffset>-5723890</wp:posOffset>
            </wp:positionV>
            <wp:extent cx="22815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2281555" cy="8255"/>
                    </a:xfrm>
                    <a:prstGeom prst="rect">
                      <a:avLst/>
                    </a:prstGeom>
                    <a:noFill/>
                  </pic:spPr>
                </pic:pic>
              </a:graphicData>
            </a:graphic>
          </wp:anchor>
        </w:drawing>
        <w:drawing>
          <wp:anchor simplePos="0" relativeHeight="251657728" behindDoc="1" locked="0" layoutInCell="0" allowOverlap="1">
            <wp:simplePos x="0" y="0"/>
            <wp:positionH relativeFrom="column">
              <wp:posOffset>495935</wp:posOffset>
            </wp:positionH>
            <wp:positionV relativeFrom="paragraph">
              <wp:posOffset>-5180965</wp:posOffset>
            </wp:positionV>
            <wp:extent cx="28365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283654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-4502150</wp:posOffset>
            </wp:positionV>
            <wp:extent cx="10236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102362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-3823335</wp:posOffset>
            </wp:positionV>
            <wp:extent cx="8343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83439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-3552190</wp:posOffset>
            </wp:positionV>
            <wp:extent cx="13341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1334135"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-2059305</wp:posOffset>
            </wp:positionV>
            <wp:extent cx="12166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46" w:name="page47"/>
    <w:bookmarkEnd w:id="46"/>
    <w:p>
      <w:pPr>
        <w:ind w:left="-648" w:firstLine="1289"/>
        <w:spacing w:after="0" w:line="248" w:lineRule="auto"/>
        <w:tabs>
          <w:tab w:leader="none" w:pos="100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Withholding. Pursuant to such procedures as the Administrator may specify from time to time, the applicable Service Recipient(s) (or former Service Recipient(s)) will withhold the amount required to be withheld for the payment of Tax Obligations (the “</w:t>
      </w:r>
      <w:r>
        <w:rPr>
          <w:rFonts w:ascii="Times New Roman" w:cs="Times New Roman" w:eastAsia="Times New Roman" w:hAnsi="Times New Roman"/>
          <w:sz w:val="18"/>
          <w:szCs w:val="18"/>
          <w:b w:val="1"/>
          <w:bCs w:val="1"/>
          <w:color w:val="auto"/>
        </w:rPr>
        <w:t>Withholding Obligations</w:t>
      </w:r>
      <w:r>
        <w:rPr>
          <w:rFonts w:ascii="Times New Roman" w:cs="Times New Roman" w:eastAsia="Times New Roman" w:hAnsi="Times New Roman"/>
          <w:sz w:val="18"/>
          <w:szCs w:val="18"/>
          <w:color w:val="auto"/>
        </w:rPr>
        <w:t>”) which, to the extent permitted under this Award Agreement, may, in the discretion of the Administrator, be in excess of the minimum statutory required amount to be withheld, upon each date with respect to which the Administrator determines Withholding Obligations are due, including but not limited to, at grant, vesting, settlement or any other date with respect to which Withholding Obligations arise. The Administrator, in its sole discretion and pursuant to such procedures as it may specify from time to time, may permit or require Participant to satisfy such Withholding Obligations, in whole or in part (without limitation), if permissible by Applicable Laws, by one or a combination of the following: (i) paying cash, (ii) having the Company withhold otherwise deliverable Shares having a fair market value equal to the minimum amount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18"/>
          <w:szCs w:val="18"/>
          <w:b w:val="1"/>
          <w:bCs w:val="1"/>
          <w:color w:val="auto"/>
        </w:rPr>
        <w:t>Net Share Withholding</w:t>
      </w:r>
      <w:r>
        <w:rPr>
          <w:rFonts w:ascii="Times New Roman" w:cs="Times New Roman" w:eastAsia="Times New Roman" w:hAnsi="Times New Roman"/>
          <w:sz w:val="18"/>
          <w:szCs w:val="18"/>
          <w:color w:val="auto"/>
        </w:rPr>
        <w:t>”), (iii) withholding the amount of such Withholding Obligations from Participant’s wages or other cash compensation paid to Participant by the applicable Service Recipient(s) (or former Service Recipient(s)), (iv) delivering to the Company Shares that Participant owns and that already have vested with a fair market value equal to the Withholding Obligations (or such greater amount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necessary to meet the withholding requirement for such Withholding Obligations (or such greater amount as Participant may elect or the Company may require, if permitted by the Administrator and if such greater amount would not result in adverse financial accounting consequences) (“</w:t>
      </w:r>
      <w:r>
        <w:rPr>
          <w:rFonts w:ascii="Times New Roman" w:cs="Times New Roman" w:eastAsia="Times New Roman" w:hAnsi="Times New Roman"/>
          <w:sz w:val="18"/>
          <w:szCs w:val="18"/>
          <w:b w:val="1"/>
          <w:bCs w:val="1"/>
          <w:color w:val="auto"/>
        </w:rPr>
        <w:t>Sell to Cover</w:t>
      </w:r>
      <w:r>
        <w:rPr>
          <w:rFonts w:ascii="Times New Roman" w:cs="Times New Roman" w:eastAsia="Times New Roman" w:hAnsi="Times New Roman"/>
          <w:sz w:val="18"/>
          <w:szCs w:val="18"/>
          <w:color w:val="auto"/>
        </w:rPr>
        <w:t xml:space="preserve">”), or (vi) such other means as the Administrator deems appropriate. If the Withholding Obligations are satisfied by withholding in Shares, for tax purposes, Participant is deemed to have been issued the full number of Shares subject to the vested PSUs,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 Until and unless determined otherwise by the Administrator, Sell to Cover will be the method by which such Withholding Obligations are satisfied. </w:t>
      </w:r>
      <w:r>
        <w:rPr>
          <w:rFonts w:ascii="Times New Roman" w:cs="Times New Roman" w:eastAsia="Times New Roman" w:hAnsi="Times New Roman"/>
          <w:sz w:val="18"/>
          <w:szCs w:val="18"/>
          <w:b w:val="1"/>
          <w:bCs w:val="1"/>
          <w:color w:val="auto"/>
        </w:rPr>
        <w:t>For purposes of clarity and without limitation,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accepting this Award, Participant expressly consents to such Sell to Cover as the method by which Withholding Obligations are satisfied and agrees and acknowledges that Participant may not satisfy them by any means other than such Sell to Cover, unless required to do so by the Administrator or pursuant to the Administrator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express consent.</w:t>
      </w:r>
    </w:p>
    <w:p>
      <w:pPr>
        <w:spacing w:after="0" w:line="209" w:lineRule="exact"/>
        <w:rPr>
          <w:rFonts w:ascii="Times New Roman" w:cs="Times New Roman" w:eastAsia="Times New Roman" w:hAnsi="Times New Roman"/>
          <w:sz w:val="18"/>
          <w:szCs w:val="18"/>
          <w:color w:val="auto"/>
        </w:rPr>
      </w:pPr>
    </w:p>
    <w:p>
      <w:pPr>
        <w:ind w:left="-648" w:right="140" w:firstLine="1289"/>
        <w:spacing w:after="0" w:line="255" w:lineRule="auto"/>
        <w:tabs>
          <w:tab w:leader="none" w:pos="101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Participant has reviewed with Participant’s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82" w:lineRule="exact"/>
        <w:rPr>
          <w:rFonts w:ascii="Times New Roman" w:cs="Times New Roman" w:eastAsia="Times New Roman" w:hAnsi="Times New Roman"/>
          <w:sz w:val="18"/>
          <w:szCs w:val="18"/>
          <w:color w:val="auto"/>
        </w:rPr>
      </w:pPr>
    </w:p>
    <w:p>
      <w:pPr>
        <w:ind w:left="-648" w:right="20" w:firstLine="1289"/>
        <w:spacing w:after="0" w:line="252" w:lineRule="auto"/>
        <w:tabs>
          <w:tab w:leader="none" w:pos="101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Obligation to Deliver Shares. For clarification purposes, in no event will the Company 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PSUs otherwise are scheduled to vest pursuant to Sections 5 or 6 or Participant’s Withholding Obligations otherwise become due, Participant permanently will forfeit such PSUs to which Participant’s Withholding Obligation relates and any right to receive Shares thereunder and such PSUs will be returned to the Company at no cost to the Company. Participant acknowledges and agrees that the Company may permanently refuse to issue or deliver the Shares if such Withholding Obligations are not delivered at the time they are due.</w:t>
      </w:r>
    </w:p>
    <w:p>
      <w:pPr>
        <w:spacing w:after="0" w:line="188" w:lineRule="exact"/>
        <w:rPr>
          <w:rFonts w:ascii="Times New Roman" w:cs="Times New Roman" w:eastAsia="Times New Roman" w:hAnsi="Times New Roman"/>
          <w:sz w:val="18"/>
          <w:szCs w:val="18"/>
          <w:color w:val="auto"/>
        </w:rPr>
      </w:pPr>
    </w:p>
    <w:p>
      <w:pPr>
        <w:ind w:left="-648" w:firstLine="648"/>
        <w:spacing w:after="0" w:line="250" w:lineRule="auto"/>
        <w:tabs>
          <w:tab w:leader="none" w:pos="39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Events. Notwithstanding any provisions to the contrary under this Award Agreement, the Award will be subject to reduction, cancellation, forfeiture, recoupment, reimbursement or reacquisition upon the occurrence of certain specified events, in addition to any otherwise applicable vesting or performance conditions of the Award. Such events may include, without limitation, termination of Participant’s status as an employee or other service provider for cause or any specified action or inaction by Participant, whether before or after such termination of employment or other service, that would constitute cause for termination of Participant’s status as an employee or other service provider. The Award will be subject to reduction, cancellation, forfeiture, recoupment, reimbursement or reacquisition under any Company clawback policy that may be in effect at grant and any other clawback policy that the Company is required to adopt to comply with Applicable Laws, including without limitation pursuant to the listing standards of any national securities exchange or association on which the Company’s securities are listed or otherwise required by the Dodd-Frank Wall Street Reform and Consumer Protection Act (collectively,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The Administrator may require Participant to forfeit, return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12 specifically is mentioned and waived in a document, no recovery of compensation under a Clawback Policy or otherwise will constitute an event that triggers or contributes to any right of a Participant to resign for “good reason” or “constructive termination” (or similar term) under any agreement with the Company or any Subsidiary, Parent or Affiliate of the Company.</w:t>
      </w:r>
    </w:p>
    <w:p>
      <w:pPr>
        <w:spacing w:after="0" w:line="187" w:lineRule="exact"/>
        <w:rPr>
          <w:rFonts w:ascii="Times New Roman" w:cs="Times New Roman" w:eastAsia="Times New Roman" w:hAnsi="Times New Roman"/>
          <w:sz w:val="18"/>
          <w:szCs w:val="18"/>
          <w:color w:val="auto"/>
        </w:rPr>
      </w:pPr>
    </w:p>
    <w:p>
      <w:pPr>
        <w:ind w:left="-648" w:right="60" w:firstLine="648"/>
        <w:spacing w:after="0" w:line="255" w:lineRule="auto"/>
        <w:tabs>
          <w:tab w:leader="none" w:pos="39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as Stockholder.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2" w:lineRule="exact"/>
        <w:rPr>
          <w:rFonts w:ascii="Times New Roman" w:cs="Times New Roman" w:eastAsia="Times New Roman" w:hAnsi="Times New Roman"/>
          <w:sz w:val="18"/>
          <w:szCs w:val="18"/>
          <w:color w:val="auto"/>
        </w:rPr>
      </w:pPr>
    </w:p>
    <w:p>
      <w:pPr>
        <w:ind w:left="-648" w:right="20" w:firstLine="648"/>
        <w:spacing w:after="0" w:line="251" w:lineRule="auto"/>
        <w:tabs>
          <w:tab w:leader="none" w:pos="39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Guarantee of Continued Service. PARTICIPANT ACKNOWLEDGES AND AGREES THAT THE VESTING OF THE PERFORMANCE UNITS PURSUANT TO THE VESTING SCHEDULE HEREOF IS EARNED ONLY BY CONTINUING AS A SERVICE PROVIDER, WHICH UNLESS PROVIDED OTHERWISE UNDER APPLICABLE LAWS IS AT THE WILL OF THE APPLICABLE SERVICE RECIPIENT AND NOT THROUGH THE ACT OF BEING HIRED, BEING GRANTED THIS PERFORMANCE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-10209530</wp:posOffset>
            </wp:positionV>
            <wp:extent cx="8743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-6002020</wp:posOffset>
            </wp:positionV>
            <wp:extent cx="9537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953770"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-5187950</wp:posOffset>
            </wp:positionV>
            <wp:extent cx="19589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195897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-4102100</wp:posOffset>
            </wp:positionV>
            <wp:extent cx="9010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90106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-2066290</wp:posOffset>
            </wp:positionV>
            <wp:extent cx="11055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-1252220</wp:posOffset>
            </wp:positionV>
            <wp:extent cx="17329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ectPr>
          <w:pgSz w:w="11900" w:h="16838" w:orient="portrait"/>
          <w:cols w:equalWidth="0" w:num="1">
            <w:col w:w="10592"/>
          </w:cols>
          <w:pgMar w:left="968" w:top="121" w:right="339" w:bottom="0" w:gutter="0" w:footer="0" w:header="0"/>
        </w:sectPr>
      </w:pPr>
    </w:p>
    <w:bookmarkStart w:id="47" w:name="page48"/>
    <w:bookmarkEnd w:id="47"/>
    <w:p>
      <w:pPr>
        <w:ind w:left="1040" w:hanging="392"/>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Dissolution or Liquidation; Merger or Change in Control.</w:t>
      </w:r>
    </w:p>
    <w:p>
      <w:pPr>
        <w:spacing w:after="0" w:line="220" w:lineRule="exact"/>
        <w:rPr>
          <w:rFonts w:ascii="Times New Roman" w:cs="Times New Roman" w:eastAsia="Times New Roman" w:hAnsi="Times New Roman"/>
          <w:sz w:val="18"/>
          <w:szCs w:val="18"/>
          <w:color w:val="auto"/>
        </w:rPr>
      </w:pPr>
    </w:p>
    <w:p>
      <w:pPr>
        <w:ind w:right="100" w:firstLine="1289"/>
        <w:spacing w:after="0" w:line="252" w:lineRule="auto"/>
        <w:tabs>
          <w:tab w:leader="none" w:pos="16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Award Agreement, will adjust the number and class of shares of stock covered by the Award. Notwithstanding the foregoing, the Company will have no obligation to effect any adjustment in a manner that may require the issuance of fractional Shares, and any fractional Shares resulting from any adjustment may be disregarded or provided for in any manner determined by the Administrator, in its sole discretion, subject to any Applicable Laws.</w:t>
      </w:r>
    </w:p>
    <w:p>
      <w:pPr>
        <w:spacing w:after="0" w:line="184" w:lineRule="exact"/>
        <w:rPr>
          <w:rFonts w:ascii="Times New Roman" w:cs="Times New Roman" w:eastAsia="Times New Roman" w:hAnsi="Times New Roman"/>
          <w:sz w:val="18"/>
          <w:szCs w:val="18"/>
          <w:color w:val="auto"/>
        </w:rPr>
      </w:pPr>
    </w:p>
    <w:p>
      <w:pPr>
        <w:ind w:right="40" w:firstLine="1289"/>
        <w:spacing w:after="0" w:line="262" w:lineRule="auto"/>
        <w:tabs>
          <w:tab w:leader="none" w:pos="166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or Liquidation. In the event of the proposed dissolution or liquidation of the Company, the Administrator will notify Participant as soon as practicable prior to the effective date of such proposed transaction. Unless provided otherwise by the Administrator, to the extent it has not been previously settled, the Award will terminate immediately prior to the consummation of such proposed action.</w:t>
      </w:r>
    </w:p>
    <w:p>
      <w:pPr>
        <w:spacing w:after="0" w:line="177" w:lineRule="exact"/>
        <w:rPr>
          <w:rFonts w:ascii="Times New Roman" w:cs="Times New Roman" w:eastAsia="Times New Roman" w:hAnsi="Times New Roman"/>
          <w:sz w:val="18"/>
          <w:szCs w:val="18"/>
          <w:color w:val="auto"/>
        </w:rPr>
      </w:pPr>
    </w:p>
    <w:p>
      <w:pPr>
        <w:ind w:firstLine="1289"/>
        <w:spacing w:after="0" w:line="250" w:lineRule="auto"/>
        <w:tabs>
          <w:tab w:leader="none" w:pos="165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or Change in Control. In the event of a merger of the Company with or into another corporation or other entity or a Change in Control, the Award will be treated as the Administrator determines (subject to the provisions of the following paragraph) without Participant’s consent, which may include, without limitation, that the Award will be: (i) assumed, or a substantially equivalent award(s) will be substituted, by the acquiring or succeeding entity (or an affiliate thereof) with appropriate adjustments as to the number and kind of shares; (ii) continued by the Company, subject to any adjustment pursuant to Section 15(a); (iii) upon written notice to Participant, terminate upon or immediately prior to the consummation of such merger or Change in Control; (iv) vest and become payable in whole or in part prior to or upon consummation of such merger or Change in Control, and, to the extent the Administrator determines, terminate upon or immediately prior to the effectiveness of such merger or Change in Control; (v) (A) terminated in exchange for an amount of cash and/or property, if any, equal to the amount that would have been attained upon the realization of Participant’s rights under this Award Agreement as of the date of the occurrence of the transaction (and, for purposes of clarity, if as of the date of the occurrence of the transaction the Administrator determines in good faith that no amount would have been attained upon the realization of Participant’s rights, then the Award will be terminated by the Company without payment), or (B) replaced with other rights or property selected by the Administrator in its sole discretion; or (vi) treated in any combination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-3556000</wp:posOffset>
            </wp:positionV>
            <wp:extent cx="33140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331406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-3284855</wp:posOffset>
            </wp:positionV>
            <wp:extent cx="678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678180"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-2063115</wp:posOffset>
            </wp:positionV>
            <wp:extent cx="13125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131254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-1520190</wp:posOffset>
            </wp:positionV>
            <wp:extent cx="142938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1429385" cy="8255"/>
                    </a:xfrm>
                    <a:prstGeom prst="rect">
                      <a:avLst/>
                    </a:prstGeom>
                    <a:noFill/>
                  </pic:spPr>
                </pic:pic>
              </a:graphicData>
            </a:graphic>
          </wp:anchor>
        </w:drawing>
      </w:r>
    </w:p>
    <w:p>
      <w:pPr>
        <w:spacing w:after="0" w:line="171"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In the event that the successor (or an affiliate thereof) does not assume the Award (or portion thereof) pursuant to the preceding clause (i) and as described below, or substitute for the Award (or portion thereof) pursuant to the preceding clause (i), and the Company does not continue the Award (or portion thereof) as described above, all restrictions on the PSUs under the Award (or portion thereof) not so assumed, substituted for, or continued will lapse, all performance goals or other vesting criteria will be deemed achieved at one hundred percent (100%) of target levels, and all other terms and conditions will be deemed met, in each case, unless specifically provided otherwise under this Award Agreement or other written agreement authorized by the Administrator between Participant and the Company or any of its Subsidiaries, Parents or Affiliates, as applicable.</w:t>
      </w:r>
    </w:p>
    <w:p>
      <w:pPr>
        <w:spacing w:after="0" w:line="187" w:lineRule="exact"/>
        <w:rPr>
          <w:sz w:val="20"/>
          <w:szCs w:val="20"/>
          <w:color w:val="auto"/>
        </w:rPr>
      </w:pPr>
    </w:p>
    <w:p>
      <w:pPr>
        <w:jc w:val="both"/>
        <w:ind w:firstLine="1282"/>
        <w:spacing w:after="0" w:line="252" w:lineRule="auto"/>
        <w:rPr>
          <w:sz w:val="20"/>
          <w:szCs w:val="20"/>
          <w:color w:val="auto"/>
        </w:rPr>
      </w:pPr>
      <w:r>
        <w:rPr>
          <w:rFonts w:ascii="Times New Roman" w:cs="Times New Roman" w:eastAsia="Times New Roman" w:hAnsi="Times New Roman"/>
          <w:sz w:val="18"/>
          <w:szCs w:val="18"/>
          <w:color w:val="auto"/>
        </w:rPr>
        <w:t>For the purposes of this Section 15(c), the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or its Parent, the Administrator may, with the consent of the successor, provide for the consideration to be received upon the payout of each PSU subject to the Award to be solely common stock of the successor or its Parent equal in fair market value to the per share consideration received by holders of Common Stock in the merger or Change in Control.</w:t>
      </w:r>
    </w:p>
    <w:p>
      <w:pPr>
        <w:spacing w:after="0" w:line="185" w:lineRule="exact"/>
        <w:rPr>
          <w:sz w:val="20"/>
          <w:szCs w:val="20"/>
          <w:color w:val="auto"/>
        </w:rPr>
      </w:pPr>
    </w:p>
    <w:p>
      <w:pPr>
        <w:jc w:val="both"/>
        <w:ind w:firstLine="1282"/>
        <w:spacing w:after="0" w:line="255" w:lineRule="auto"/>
        <w:rPr>
          <w:sz w:val="20"/>
          <w:szCs w:val="20"/>
          <w:color w:val="auto"/>
        </w:rPr>
      </w:pPr>
      <w:r>
        <w:rPr>
          <w:rFonts w:ascii="Times New Roman" w:cs="Times New Roman" w:eastAsia="Times New Roman" w:hAnsi="Times New Roman"/>
          <w:sz w:val="18"/>
          <w:szCs w:val="18"/>
          <w:color w:val="auto"/>
        </w:rPr>
        <w:t>Notwithstanding anything in this Section 15(c) to the contrary, and unless otherwise provided under this Award Agreement or other written agreement authorized by the Administrator between Participant and the Company and any of its Subsidiaries, Parents or Affiliates, as applicable, the Award will not be considered assumed if the Company or its successor modifies any of the Award’s performance goals without Participant’s consent; provided, however, that a modification to such performance goals only to reflect the successor’s post-merger or post-Change in Control corporate structure will not be deemed to invalidate an otherwise valid assumption of the Award.</w:t>
      </w:r>
    </w:p>
    <w:p>
      <w:pPr>
        <w:spacing w:after="0" w:line="183"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Notwithstanding anything in this Section 15(c) to the contrary, and unless otherwise provided in this Award Agreement or other written agreement authorized by the Administrator between Participant and the Company or any of its Subsidiaries, Parents or Affiliates, as applicable, if a payment under this Award Agreement is subject to Section 409A and if the change in control definition contained in this Award Agreement (or other agreement related to the Award, as applicable) does not comply with the definition of “change in control” for purposes of a distribution under Section 409A, then any payment of an amount that otherwise would be accelerated under this Section will be delayed until the earliest time that such payment would be permissible under Section 409A without triggering any penalties thereunder.</w:t>
      </w:r>
    </w:p>
    <w:p>
      <w:pPr>
        <w:spacing w:after="0" w:line="187" w:lineRule="exact"/>
        <w:rPr>
          <w:sz w:val="20"/>
          <w:szCs w:val="20"/>
          <w:color w:val="auto"/>
        </w:rPr>
      </w:pPr>
    </w:p>
    <w:p>
      <w:pPr>
        <w:ind w:right="120" w:firstLine="648"/>
        <w:spacing w:after="0" w:line="255" w:lineRule="auto"/>
        <w:tabs>
          <w:tab w:leader="none" w:pos="104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is Not Transferable. Except to the limited extent provided in Section 10,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2"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Grant. In accepting this Award of PSUs, Participant acknowledges, understands and agrees that:</w:t>
      </w:r>
    </w:p>
    <w:p>
      <w:pPr>
        <w:spacing w:after="0" w:line="220" w:lineRule="exact"/>
        <w:rPr>
          <w:rFonts w:ascii="Times New Roman" w:cs="Times New Roman" w:eastAsia="Times New Roman" w:hAnsi="Times New Roman"/>
          <w:sz w:val="18"/>
          <w:szCs w:val="18"/>
          <w:color w:val="auto"/>
        </w:rPr>
      </w:pPr>
    </w:p>
    <w:p>
      <w:pPr>
        <w:ind w:right="160" w:firstLine="1289"/>
        <w:spacing w:after="0" w:line="277" w:lineRule="auto"/>
        <w:tabs>
          <w:tab w:leader="none" w:pos="165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PSUs is voluntary and occasional and does not create any contractual or other right to receive future grants of PSUs, or benefits in lieu of PSUs, even if PSUs have been granted in the past;</w:t>
      </w:r>
    </w:p>
    <w:p>
      <w:pPr>
        <w:spacing w:after="0" w:line="163" w:lineRule="exact"/>
        <w:rPr>
          <w:rFonts w:ascii="Times New Roman" w:cs="Times New Roman" w:eastAsia="Times New Roman" w:hAnsi="Times New Roman"/>
          <w:sz w:val="18"/>
          <w:szCs w:val="18"/>
          <w:color w:val="auto"/>
        </w:rPr>
      </w:pPr>
    </w:p>
    <w:p>
      <w:pPr>
        <w:ind w:left="1680" w:hanging="391"/>
        <w:spacing w:after="0"/>
        <w:tabs>
          <w:tab w:leader="none" w:pos="16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PSUs or other grants, if any, will be at the sole discretion of the Administrator;</w:t>
      </w:r>
    </w:p>
    <w:p>
      <w:pPr>
        <w:spacing w:after="0" w:line="220" w:lineRule="exact"/>
        <w:rPr>
          <w:rFonts w:ascii="Times New Roman" w:cs="Times New Roman" w:eastAsia="Times New Roman" w:hAnsi="Times New Roman"/>
          <w:sz w:val="18"/>
          <w:szCs w:val="18"/>
          <w:color w:val="auto"/>
        </w:rPr>
      </w:pPr>
    </w:p>
    <w:p>
      <w:pPr>
        <w:ind w:left="1660" w:hanging="371"/>
        <w:spacing w:after="0"/>
        <w:tabs>
          <w:tab w:leader="none" w:pos="1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subject to the PSUs are not intended to replace any pension rights or compensation;</w:t>
      </w:r>
    </w:p>
    <w:p>
      <w:pPr>
        <w:spacing w:after="0" w:line="220" w:lineRule="exact"/>
        <w:rPr>
          <w:rFonts w:ascii="Times New Roman" w:cs="Times New Roman" w:eastAsia="Times New Roman" w:hAnsi="Times New Roman"/>
          <w:sz w:val="18"/>
          <w:szCs w:val="18"/>
          <w:color w:val="auto"/>
        </w:rPr>
      </w:pPr>
    </w:p>
    <w:p>
      <w:pPr>
        <w:ind w:right="80" w:firstLine="1289"/>
        <w:spacing w:after="0" w:line="262" w:lineRule="auto"/>
        <w:tabs>
          <w:tab w:leader="none" w:pos="166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subject to the PSUs,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77" w:lineRule="exact"/>
        <w:rPr>
          <w:rFonts w:ascii="Times New Roman" w:cs="Times New Roman" w:eastAsia="Times New Roman" w:hAnsi="Times New Roman"/>
          <w:sz w:val="18"/>
          <w:szCs w:val="18"/>
          <w:color w:val="auto"/>
        </w:rPr>
      </w:pPr>
    </w:p>
    <w:p>
      <w:pPr>
        <w:ind w:left="1660" w:hanging="371"/>
        <w:spacing w:after="0"/>
        <w:tabs>
          <w:tab w:leader="none" w:pos="1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PSUs is unknown, indeterminable, and cannot be predicted with 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-2587625</wp:posOffset>
            </wp:positionV>
            <wp:extent cx="12674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126746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-1772920</wp:posOffset>
            </wp:positionV>
            <wp:extent cx="8286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828675"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48" w:name="page49"/>
    <w:bookmarkEnd w:id="48"/>
    <w:p>
      <w:pPr>
        <w:ind w:left="-648" w:right="20" w:firstLine="1289"/>
        <w:spacing w:after="0" w:line="251" w:lineRule="auto"/>
        <w:tabs>
          <w:tab w:leader="none" w:pos="99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PSUs, Participant’s status as a Service Provider will be considered terminated as of the date Participant is no longer actively providing services to the Company or any Parent, Subsidiary, or Affiliate of the Company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PSUs,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PSUs (including whether Participant may still be considered to be providing services while on a leave of absence and consistent with local law); and</w:t>
      </w:r>
    </w:p>
    <w:p>
      <w:pPr>
        <w:spacing w:after="0" w:line="186" w:lineRule="exact"/>
        <w:rPr>
          <w:rFonts w:ascii="Times New Roman" w:cs="Times New Roman" w:eastAsia="Times New Roman" w:hAnsi="Times New Roman"/>
          <w:sz w:val="18"/>
          <w:szCs w:val="18"/>
          <w:color w:val="auto"/>
        </w:rPr>
      </w:pPr>
    </w:p>
    <w:p>
      <w:pPr>
        <w:ind w:left="-648" w:right="40" w:firstLine="1289"/>
        <w:spacing w:after="0" w:line="26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Administrator in its discretion, the PSUs and the benefits evidenced by this Award Agreement do not create any entitlement to have the PSUs or any such benefits transferred to, or assumed by, another company nor be exchanged, cashed out or substituted for, in connection with any corporate transaction affecting the Shares.</w:t>
      </w:r>
    </w:p>
    <w:p>
      <w:pPr>
        <w:spacing w:after="0" w:line="177" w:lineRule="exact"/>
        <w:rPr>
          <w:rFonts w:ascii="Times New Roman" w:cs="Times New Roman" w:eastAsia="Times New Roman" w:hAnsi="Times New Roman"/>
          <w:sz w:val="18"/>
          <w:szCs w:val="18"/>
          <w:color w:val="auto"/>
        </w:rPr>
      </w:pPr>
    </w:p>
    <w:p>
      <w:pPr>
        <w:ind w:left="-648" w:right="200" w:firstLine="648"/>
        <w:spacing w:after="0" w:line="257" w:lineRule="auto"/>
        <w:tabs>
          <w:tab w:leader="none" w:pos="3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Advice Regarding Grant. The Company is not providing any tax, legal or financial advice, nor is the Company making any recommendations regarding Participant’s participation in this Award Agreement, or Participant’s acquisition or sale of the Shares underlying the PSUs. Participant is hereby advised to consult with Participant’s own personal tax, legal and financial advisers regarding Participant’s participation in this Award Agreement before taking any action related to this Award Agreement.</w:t>
      </w:r>
    </w:p>
    <w:p>
      <w:pPr>
        <w:spacing w:after="0" w:line="182" w:lineRule="exact"/>
        <w:rPr>
          <w:rFonts w:ascii="Times New Roman" w:cs="Times New Roman" w:eastAsia="Times New Roman" w:hAnsi="Times New Roman"/>
          <w:sz w:val="18"/>
          <w:szCs w:val="18"/>
          <w:color w:val="auto"/>
        </w:rPr>
      </w:pPr>
    </w:p>
    <w:p>
      <w:pPr>
        <w:ind w:left="-648" w:right="220" w:firstLine="648"/>
        <w:spacing w:after="0" w:line="262" w:lineRule="auto"/>
        <w:tabs>
          <w:tab w:leader="none" w:pos="38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Any notice to be given to the Company under the terms of this Award Agreement will be addressed to the Company at Accuray Incorporated, Attention: Stock Administration, 1240 Deming Way, Madison, WI 53717, or at such other address as the Company may hereafter designate in writing.</w:t>
      </w:r>
    </w:p>
    <w:p>
      <w:pPr>
        <w:spacing w:after="0" w:line="177" w:lineRule="exact"/>
        <w:rPr>
          <w:rFonts w:ascii="Times New Roman" w:cs="Times New Roman" w:eastAsia="Times New Roman" w:hAnsi="Times New Roman"/>
          <w:sz w:val="18"/>
          <w:szCs w:val="18"/>
          <w:color w:val="auto"/>
        </w:rPr>
      </w:pPr>
    </w:p>
    <w:p>
      <w:pPr>
        <w:ind w:left="-648" w:right="40" w:firstLine="648"/>
        <w:spacing w:after="0" w:line="253" w:lineRule="auto"/>
        <w:tabs>
          <w:tab w:leader="none" w:pos="3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Restrictions/Market Abuse Laws. In addition to all other restrictions set forth in this Award Agreement, Participant is hereby notified that Participant may be subject to insider trading restrictions or market abuse laws, which may affect Participant’s ability to acquire or sell Shares or rights to Shares under this Award Agreement during such time as Participant is considered to have “inside information” regarding the Company (as defined by Applicable Laws). Any restrictions under these laws or regulations are separate from and in addition to any restrictions that may be imposed under any applicable Company insider trading policy. Participant acknowledges and agrees that it is Participant’s responsibility to comply with any applicable restrictions and Participant is advised to speak to Participant’s personal advisor on this matter.</w:t>
      </w:r>
    </w:p>
    <w:p>
      <w:pPr>
        <w:spacing w:after="0" w:line="186" w:lineRule="exact"/>
        <w:rPr>
          <w:rFonts w:ascii="Times New Roman" w:cs="Times New Roman" w:eastAsia="Times New Roman" w:hAnsi="Times New Roman"/>
          <w:sz w:val="18"/>
          <w:szCs w:val="18"/>
          <w:color w:val="auto"/>
        </w:rPr>
      </w:pPr>
    </w:p>
    <w:p>
      <w:pPr>
        <w:ind w:left="-648" w:right="120" w:firstLine="648"/>
        <w:spacing w:after="0" w:line="257" w:lineRule="auto"/>
        <w:tabs>
          <w:tab w:leader="none" w:pos="3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and Assigns.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182"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Upon Issuance of Shares.</w:t>
      </w:r>
    </w:p>
    <w:p>
      <w:pPr>
        <w:spacing w:after="0" w:line="220" w:lineRule="exact"/>
        <w:rPr>
          <w:rFonts w:ascii="Times New Roman" w:cs="Times New Roman" w:eastAsia="Times New Roman" w:hAnsi="Times New Roman"/>
          <w:sz w:val="18"/>
          <w:szCs w:val="18"/>
          <w:color w:val="auto"/>
        </w:rPr>
      </w:pPr>
    </w:p>
    <w:p>
      <w:pPr>
        <w:ind w:left="-648" w:right="100" w:firstLine="1289"/>
        <w:spacing w:after="0" w:line="262" w:lineRule="auto"/>
        <w:tabs>
          <w:tab w:leader="none" w:pos="101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Shares will not be issued pursuant to the Award, including without limitation upon vesting thereof, unless the issuance and delivery of such Shares and unless the vesting of the Award will comply with Applicable Laws. If required by the Administrator, issuance will be further subject to the approval of counsel for the Company with respect to such compliance.</w:t>
      </w:r>
    </w:p>
    <w:p>
      <w:pPr>
        <w:spacing w:after="0" w:line="177" w:lineRule="exact"/>
        <w:rPr>
          <w:rFonts w:ascii="Times New Roman" w:cs="Times New Roman" w:eastAsia="Times New Roman" w:hAnsi="Times New Roman"/>
          <w:sz w:val="18"/>
          <w:szCs w:val="18"/>
          <w:color w:val="auto"/>
        </w:rPr>
      </w:pPr>
    </w:p>
    <w:p>
      <w:pPr>
        <w:jc w:val="both"/>
        <w:ind w:left="-648" w:right="120" w:firstLine="1289"/>
        <w:spacing w:after="0" w:line="262" w:lineRule="auto"/>
        <w:tabs>
          <w:tab w:leader="none" w:pos="10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Representations. As a condition to the issuance and delivery of Shares pursuant to the Award, the Company may require the person to whom such Shares will be issued to represent and warrant at such time that the Shares are being acquired only for investment and without any present intention to sell or distribute such Shares if, in the opinion of counsel for the Company, such a representation is required.</w:t>
      </w:r>
    </w:p>
    <w:p>
      <w:pPr>
        <w:spacing w:after="0" w:line="177" w:lineRule="exact"/>
        <w:rPr>
          <w:rFonts w:ascii="Times New Roman" w:cs="Times New Roman" w:eastAsia="Times New Roman" w:hAnsi="Times New Roman"/>
          <w:sz w:val="18"/>
          <w:szCs w:val="18"/>
          <w:color w:val="auto"/>
        </w:rPr>
      </w:pPr>
    </w:p>
    <w:p>
      <w:pPr>
        <w:ind w:left="-648" w:right="20" w:firstLine="1289"/>
        <w:spacing w:after="0" w:line="250" w:lineRule="auto"/>
        <w:tabs>
          <w:tab w:leader="none" w:pos="10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Conditions to Issuance of Stock.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Participant’s estate) hereunder, such issuance will not occur unless and until such listing, registration, qualification, rule compliance, clearance, consent or approval will have been completed, effected or obtained free of any conditions not acceptable to the Company. If any such listing, registration, qualification, rule compliance, clearance, consent or approval has not been completed by the applicable Settlement Deadline Date (or, if later, the settlement date required under Section 6(c)(ii), as applicable) with respect to a PSU in a manner that would allow it to be settled by the applicable Settlement Deadline Date (or, if later, the settlement date required under Section 6(c)(ii), as applicable), such PSU shall be forfeited as of immediately following the Settlement Deadline Date (or, if later, the settlement date required under Section 6(c)(ii), as applicable). Subject to the terms of this Award Agreement,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PSUs as the Administrator may establish from time to time for reasons of administrative convenience.</w:t>
      </w:r>
    </w:p>
    <w:p>
      <w:pPr>
        <w:spacing w:after="0" w:line="189" w:lineRule="exact"/>
        <w:rPr>
          <w:rFonts w:ascii="Times New Roman" w:cs="Times New Roman" w:eastAsia="Times New Roman" w:hAnsi="Times New Roman"/>
          <w:sz w:val="18"/>
          <w:szCs w:val="18"/>
          <w:color w:val="auto"/>
        </w:rPr>
      </w:pPr>
    </w:p>
    <w:p>
      <w:pPr>
        <w:ind w:left="-648" w:firstLine="1289"/>
        <w:spacing w:after="0" w:line="271" w:lineRule="auto"/>
        <w:tabs>
          <w:tab w:leader="none" w:pos="102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Authority. If the Company determines it to be impossible or impractical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71" w:lineRule="exact"/>
        <w:rPr>
          <w:rFonts w:ascii="Times New Roman" w:cs="Times New Roman" w:eastAsia="Times New Roman" w:hAnsi="Times New Roman"/>
          <w:sz w:val="17"/>
          <w:szCs w:val="17"/>
          <w:color w:val="auto"/>
        </w:rPr>
      </w:pPr>
    </w:p>
    <w:p>
      <w:pPr>
        <w:ind w:left="-648" w:right="40" w:firstLine="648"/>
        <w:spacing w:after="0" w:line="252" w:lineRule="auto"/>
        <w:tabs>
          <w:tab w:leader="none" w:pos="3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 The Administrator will have the power to interpret this Award Agreement and to adopt such rules for the administration, interpretation and application of the Award Agreement as are consistent therewith and to interpret or revoke any such rules (including, but not limited to, the determination of whether or not any PSUs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this Award Agreement. Unless the context requires otherwise and subject to the foregoing interpretation rights and powers of the Administrator in this Section 23, the term “or” as used in this Award Agreement is not exclusive.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-7900670</wp:posOffset>
            </wp:positionV>
            <wp:extent cx="13906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139065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-7222490</wp:posOffset>
            </wp:positionV>
            <wp:extent cx="10109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101092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-6679565</wp:posOffset>
            </wp:positionV>
            <wp:extent cx="23253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232537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-5729605</wp:posOffset>
            </wp:positionV>
            <wp:extent cx="11868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118681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-5050790</wp:posOffset>
            </wp:positionV>
            <wp:extent cx="1786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1786890"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-4779645</wp:posOffset>
            </wp:positionV>
            <wp:extent cx="9448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944880" cy="8255"/>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-4236720</wp:posOffset>
            </wp:positionV>
            <wp:extent cx="13658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1365885"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-3693795</wp:posOffset>
            </wp:positionV>
            <wp:extent cx="20567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2056765" cy="8255"/>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-1793240</wp:posOffset>
            </wp:positionV>
            <wp:extent cx="14160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141605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-843280</wp:posOffset>
            </wp:positionV>
            <wp:extent cx="7283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ectPr>
          <w:pgSz w:w="11900" w:h="16838" w:orient="portrait"/>
          <w:cols w:equalWidth="0" w:num="1">
            <w:col w:w="10552"/>
          </w:cols>
          <w:pgMar w:left="968" w:top="335" w:right="379" w:bottom="97" w:gutter="0" w:footer="0" w:header="0"/>
        </w:sectPr>
      </w:pPr>
    </w:p>
    <w:bookmarkStart w:id="49" w:name="page50"/>
    <w:bookmarkEnd w:id="49"/>
    <w:p>
      <w:pPr>
        <w:ind w:right="20" w:firstLine="648"/>
        <w:spacing w:after="0" w:line="252" w:lineRule="auto"/>
        <w:tabs>
          <w:tab w:leader="none" w:pos="104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Delivery and Acceptance. The Company may, in its sole discretion, decide to deliver any documents related to the PSUs (including, without limitation, prospectuses required by the U.S. Securities and Exchange Commission) by electronic means (including, without limitation, all other documents that the Company is required to deliver to its security holders, such as annual reports and proxy statements). Participant hereby consents to receive such documents by electronic delivery and agrees to participate in this Award Agreement through any on-line or electronic system established and maintained by the Company or a third party designated by the Company. Participant agrees that the Company may deliver these documents by posting them on a web site maintained by the Company or by a third party under contract with the Company. If the Company posts these documents on a web site, it will notify Participant by electronic means.</w:t>
      </w:r>
    </w:p>
    <w:p>
      <w:pPr>
        <w:spacing w:after="0" w:line="188" w:lineRule="exact"/>
        <w:rPr>
          <w:rFonts w:ascii="Times New Roman" w:cs="Times New Roman" w:eastAsia="Times New Roman" w:hAnsi="Times New Roman"/>
          <w:sz w:val="18"/>
          <w:szCs w:val="18"/>
          <w:color w:val="auto"/>
        </w:rPr>
      </w:pPr>
    </w:p>
    <w:p>
      <w:pPr>
        <w:ind w:left="1040" w:hanging="392"/>
        <w:spacing w:after="0"/>
        <w:tabs>
          <w:tab w:leader="none" w:pos="10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Captions. Captions provided herein are for convenience only and are not to serve as a basis for interpretation or construction of this Award</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1" w:lineRule="exact"/>
        <w:rPr>
          <w:rFonts w:ascii="Times New Roman" w:cs="Times New Roman" w:eastAsia="Times New Roman" w:hAnsi="Times New Roman"/>
          <w:sz w:val="18"/>
          <w:szCs w:val="18"/>
          <w:color w:val="auto"/>
        </w:rPr>
      </w:pPr>
    </w:p>
    <w:p>
      <w:pPr>
        <w:ind w:firstLine="648"/>
        <w:spacing w:after="0" w:line="253" w:lineRule="auto"/>
        <w:tabs>
          <w:tab w:leader="none" w:pos="104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Addendum. Notwithstanding any provisions in this Award Agreement, the PSUs shall be subject to any global terms and conditions set forth in an appendix (if any) to this Award Agreement as well as any terms and conditions for any country whose laws are applicable to Participant and the PSUs (as determined by the Administrator in its sole discretion) (the “</w:t>
      </w:r>
      <w:r>
        <w:rPr>
          <w:rFonts w:ascii="Times New Roman" w:cs="Times New Roman" w:eastAsia="Times New Roman" w:hAnsi="Times New Roman"/>
          <w:sz w:val="18"/>
          <w:szCs w:val="18"/>
          <w:b w:val="1"/>
          <w:bCs w:val="1"/>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186" w:lineRule="exact"/>
        <w:rPr>
          <w:rFonts w:ascii="Times New Roman" w:cs="Times New Roman" w:eastAsia="Times New Roman" w:hAnsi="Times New Roman"/>
          <w:sz w:val="18"/>
          <w:szCs w:val="18"/>
          <w:color w:val="auto"/>
        </w:rPr>
      </w:pPr>
    </w:p>
    <w:p>
      <w:pPr>
        <w:ind w:right="40" w:firstLine="648"/>
        <w:spacing w:after="0" w:line="251" w:lineRule="auto"/>
        <w:tabs>
          <w:tab w:leader="none" w:pos="104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 Agreement; Modifications. This Award Agreement (including for clarity any exhibits, appendices, and addenda attached to the Notice of Grant) constitutes the entire agreement of the parties with respect to the subject matter hereof and supersede in their entirety all prior undertakings and agreements of the Company and Participant with respect to the subject matter hereof. Participant expressly warrants that Participant is not accepting this Award Agreement in reliance on any promises, representations, or inducements other than those contained herein. Modifications to this Award Agreement can be made only by approval of the Administrator memorialized in an express written instrument executed by a duly authorized signatory of the Company. Except as provided in this paragraph, no amendment to this Award Agreement may materially impair the rights of Participant unless mutually agreed between Participant and the Administrator, which agreement must be in writing signed by Participant and a duly authorized signatory of the Company. Notwithstanding anything to the contrary in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PSUs.</w:t>
      </w:r>
    </w:p>
    <w:p>
      <w:pPr>
        <w:spacing w:after="0" w:line="186" w:lineRule="exact"/>
        <w:rPr>
          <w:rFonts w:ascii="Times New Roman" w:cs="Times New Roman" w:eastAsia="Times New Roman" w:hAnsi="Times New Roman"/>
          <w:sz w:val="18"/>
          <w:szCs w:val="18"/>
          <w:color w:val="auto"/>
        </w:rPr>
      </w:pPr>
    </w:p>
    <w:p>
      <w:pPr>
        <w:ind w:right="80" w:firstLine="648"/>
        <w:spacing w:after="0" w:line="257" w:lineRule="auto"/>
        <w:tabs>
          <w:tab w:leader="none" w:pos="104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Waiver.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2" w:lineRule="exact"/>
        <w:rPr>
          <w:rFonts w:ascii="Times New Roman" w:cs="Times New Roman" w:eastAsia="Times New Roman" w:hAnsi="Times New Roman"/>
          <w:sz w:val="18"/>
          <w:szCs w:val="18"/>
          <w:color w:val="auto"/>
        </w:rPr>
      </w:pPr>
    </w:p>
    <w:p>
      <w:pPr>
        <w:ind w:right="620" w:firstLine="648"/>
        <w:spacing w:after="0" w:line="262" w:lineRule="auto"/>
        <w:tabs>
          <w:tab w:leader="none" w:pos="104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Severability. This Award Agreement and the PSUs are governed by, and construed in accordance with,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7" w:lineRule="exact"/>
        <w:rPr>
          <w:rFonts w:ascii="Times New Roman" w:cs="Times New Roman" w:eastAsia="Times New Roman" w:hAnsi="Times New Roman"/>
          <w:sz w:val="18"/>
          <w:szCs w:val="18"/>
          <w:color w:val="auto"/>
        </w:rPr>
      </w:pPr>
    </w:p>
    <w:p>
      <w:pPr>
        <w:ind w:right="280" w:firstLine="648"/>
        <w:spacing w:after="0" w:line="257" w:lineRule="auto"/>
        <w:tabs>
          <w:tab w:leader="none" w:pos="104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Terms. The terms, conditions, obligations, and requirements of this Award Agreement will apply as a condition of receiving and holding the Award without the need for any manual or other execution of this Award Agreement by Participant or the Company. Notwithstanding the foregoing, however, as a condition to holding the Award or the vesting or settlement of the Award, upon the Company’s request at any time, the Company may require Participant to manually or electronically sign this Award Agreement, if Participant has not already done so.</w:t>
      </w:r>
    </w:p>
    <w:p>
      <w:pPr>
        <w:spacing w:after="0" w:line="182"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236220</wp:posOffset>
            </wp:positionV>
            <wp:extent cx="713359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-5844540</wp:posOffset>
            </wp:positionV>
            <wp:extent cx="17481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174815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-4759325</wp:posOffset>
            </wp:positionV>
            <wp:extent cx="51498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51498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-4351655</wp:posOffset>
            </wp:positionV>
            <wp:extent cx="10140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101409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-3401695</wp:posOffset>
            </wp:positionV>
            <wp:extent cx="16135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161353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-1908810</wp:posOffset>
            </wp:positionV>
            <wp:extent cx="6032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60325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-1230630</wp:posOffset>
            </wp:positionV>
            <wp:extent cx="14319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143192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-687705</wp:posOffset>
            </wp:positionV>
            <wp:extent cx="7867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STAND-ALONE INDUCEMENT PERFORMANCE UNIT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VESTING CRITERIA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Award will vest in accordance with the following schedule:</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Compensation Committee certifies achievement of one or more of the Performance Goals (as defined below), then a number of PSUs subject to this Award Agreement will be eligible to vest as calculated below, and shall vest on the date on which the Compensation Committee certifies such achievement, subject to the Participant continuing to be a Service Provider through such date. The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is the period beginning on the Date of Grant and ending on the last day of the Company’s 2028 fiscal year (“</w:t>
      </w:r>
      <w:r>
        <w:rPr>
          <w:rFonts w:ascii="Times New Roman" w:cs="Times New Roman" w:eastAsia="Times New Roman" w:hAnsi="Times New Roman"/>
          <w:sz w:val="18"/>
          <w:szCs w:val="18"/>
          <w:b w:val="1"/>
          <w:bCs w:val="1"/>
          <w:color w:val="auto"/>
        </w:rPr>
        <w:t>Fiscal 28</w:t>
      </w:r>
      <w:r>
        <w:rPr>
          <w:rFonts w:ascii="Times New Roman" w:cs="Times New Roman" w:eastAsia="Times New Roman" w:hAnsi="Times New Roman"/>
          <w:sz w:val="18"/>
          <w:szCs w:val="18"/>
          <w:color w:val="auto"/>
        </w:rPr>
        <w:t>”). The Compensation Committee shall certify the achievement or non-achievement of the Performance Goals, including the level of achievement, within ninety (90) days following the last day of the Performance Period.</w:t>
      </w:r>
    </w:p>
    <w:p>
      <w:pPr>
        <w:spacing w:after="0" w:line="18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“Performance Goals” are the Company’s (i) product revenue for Fiscal 28, (ii) service revenue for Fiscal 28, (ii) adjusted EBITDA for Fiscal 28, and (iv) total global system install base as of the last day of Fiscal 28 meeting or exceeding the levels as set forth in the table below.</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set forth in the table below, each Performance Goal must meet its Threshold for PSUs subject to this Award Agreement to be eligible to vest for that particular Performance Goal, and incremental PSUs will be eligible to vest with respect to such Performance Goal when actual performance exceeds the Threshold. The number of PSUs eligible to vest with respect to each Performance Goal will be the product obtained by multiplying (i) the target number of PSUs subject to this Award, (ii) the Weight of such Performance Goal in the table below, and (iii) a percentage based on the level of achievement of such Performance Goal, which will be fifty percent (50%) if the Performance Goal is met at the Threshold and increase in a straight line to one hundred percent (100%) at the Target, and increase in another straight line from one hundred percent (100%) at the Target to one hundred fifty percent (150%) at the Maximum, rounding down to the nearest whole PSU.</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Performance Goal</w:t>
            </w: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6"/>
              </w:rPr>
              <w:t>Weight</w:t>
            </w:r>
          </w:p>
        </w:tc>
        <w:tc>
          <w:tcPr>
            <w:tcW w:w="1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Maximum</w:t>
            </w:r>
          </w:p>
        </w:tc>
      </w:tr>
      <w:tr>
        <w:trPr>
          <w:trHeight w:val="207"/>
        </w:trPr>
        <w:tc>
          <w:tcPr>
            <w:tcW w:w="28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Product Revenue</w:t>
            </w: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r>
      <w:tr>
        <w:trPr>
          <w:trHeight w:val="207"/>
        </w:trPr>
        <w:tc>
          <w:tcPr>
            <w:tcW w:w="28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Service Revenue</w:t>
            </w: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r>
      <w:tr>
        <w:trPr>
          <w:trHeight w:val="207"/>
        </w:trPr>
        <w:tc>
          <w:tcPr>
            <w:tcW w:w="28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Adjusted EBITDA Percentage</w:t>
            </w: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rPr>
              <w:t>30%</w:t>
            </w:r>
          </w:p>
        </w:tc>
        <w:tc>
          <w:tcPr>
            <w:tcW w:w="14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6"/>
              </w:rPr>
              <w:t>[***]%</w:t>
            </w:r>
          </w:p>
        </w:tc>
      </w:tr>
      <w:tr>
        <w:trPr>
          <w:trHeight w:val="207"/>
        </w:trPr>
        <w:tc>
          <w:tcPr>
            <w:tcW w:w="28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Total Global System Install Base</w:t>
            </w: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rPr>
              <w:t>20%</w:t>
            </w:r>
          </w:p>
        </w:tc>
        <w:tc>
          <w:tcPr>
            <w:tcW w:w="14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7"/>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6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rPr>
              <w:t>[***]</w:t>
            </w:r>
          </w:p>
        </w:tc>
      </w:tr>
      <w:tr>
        <w:trPr>
          <w:trHeight w:val="185"/>
        </w:trPr>
        <w:tc>
          <w:tcPr>
            <w:tcW w:w="2880" w:type="dxa"/>
            <w:vAlign w:val="bottom"/>
          </w:tcPr>
          <w:p>
            <w:pPr>
              <w:jc w:val="center"/>
              <w:ind w:right="51"/>
              <w:spacing w:after="0" w:line="185" w:lineRule="exact"/>
              <w:rPr>
                <w:sz w:val="20"/>
                <w:szCs w:val="20"/>
                <w:color w:val="auto"/>
              </w:rPr>
            </w:pPr>
            <w:r>
              <w:rPr>
                <w:rFonts w:ascii="Times New Roman" w:cs="Times New Roman" w:eastAsia="Times New Roman" w:hAnsi="Times New Roman"/>
                <w:sz w:val="18"/>
                <w:szCs w:val="18"/>
                <w:b w:val="1"/>
                <w:bCs w:val="1"/>
                <w:color w:val="auto"/>
                <w:w w:val="99"/>
              </w:rPr>
              <w:t>Percentage of PSUs Subject to each</w:t>
            </w:r>
          </w:p>
        </w:tc>
        <w:tc>
          <w:tcPr>
            <w:tcW w:w="1000" w:type="dxa"/>
            <w:vAlign w:val="bottom"/>
          </w:tcPr>
          <w:p>
            <w:pPr>
              <w:spacing w:after="0"/>
              <w:rPr>
                <w:sz w:val="16"/>
                <w:szCs w:val="16"/>
                <w:color w:val="auto"/>
              </w:rPr>
            </w:pPr>
          </w:p>
        </w:tc>
        <w:tc>
          <w:tcPr>
            <w:tcW w:w="1480" w:type="dxa"/>
            <w:vAlign w:val="bottom"/>
          </w:tcPr>
          <w:p>
            <w:pPr>
              <w:jc w:val="center"/>
              <w:ind w:right="31"/>
              <w:spacing w:after="0" w:line="185" w:lineRule="exact"/>
              <w:rPr>
                <w:sz w:val="20"/>
                <w:szCs w:val="20"/>
                <w:color w:val="auto"/>
              </w:rPr>
            </w:pPr>
            <w:r>
              <w:rPr>
                <w:rFonts w:ascii="Times New Roman" w:cs="Times New Roman" w:eastAsia="Times New Roman" w:hAnsi="Times New Roman"/>
                <w:sz w:val="18"/>
                <w:szCs w:val="18"/>
                <w:color w:val="auto"/>
                <w:w w:val="96"/>
              </w:rPr>
              <w:t>50%</w:t>
            </w:r>
          </w:p>
        </w:tc>
        <w:tc>
          <w:tcPr>
            <w:tcW w:w="142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tcPr>
          <w:p>
            <w:pPr>
              <w:jc w:val="center"/>
              <w:ind w:left="11"/>
              <w:spacing w:after="0" w:line="185" w:lineRule="exact"/>
              <w:rPr>
                <w:sz w:val="20"/>
                <w:szCs w:val="20"/>
                <w:color w:val="auto"/>
              </w:rPr>
            </w:pPr>
            <w:r>
              <w:rPr>
                <w:rFonts w:ascii="Times New Roman" w:cs="Times New Roman" w:eastAsia="Times New Roman" w:hAnsi="Times New Roman"/>
                <w:sz w:val="18"/>
                <w:szCs w:val="18"/>
                <w:color w:val="auto"/>
                <w:w w:val="95"/>
              </w:rPr>
              <w:t>150%</w:t>
            </w:r>
          </w:p>
        </w:tc>
      </w:tr>
      <w:tr>
        <w:trPr>
          <w:trHeight w:val="236"/>
        </w:trPr>
        <w:tc>
          <w:tcPr>
            <w:tcW w:w="28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Performance Goal Eligible to Vest</w:t>
            </w:r>
          </w:p>
        </w:tc>
        <w:tc>
          <w:tcPr>
            <w:tcW w:w="10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bl>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PSUs not eligible to vest following the Compensation Committee’s certification of achievement or non-achievement shall be returned to the Plan effective as of the date of the Compensation Committee’s certification. For purposes of determining whether the Performance Goals are achieved, (i) Product Revenue and Service Revenue will be calculated based on GAAP numbers and (ii) adjusted EBITDA percentage and total global system install base will be calculated by the Company in its reasonable discretion. Any products acquired (i.e., through the acquisition of another company) on or after the Grant Date are excluded from the calculation of Product Revenue, Service Revenue, and adjusted EBITDA percentage, unless expressly included by the Compensation Committee. Adjusted EBITDA percentage is calculated as adjusted EBITDA (measured consistent with such methodology the Company uses in determining adjusted EBITDA for disclosure in the Form 8-K announcing the Company’s financial results for the applicable fiscal year) divided by total net revenue expressed as a percentage.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this </w:t>
      </w:r>
      <w:r>
        <w:rPr>
          <w:rFonts w:ascii="Times New Roman" w:cs="Times New Roman" w:eastAsia="Times New Roman" w:hAnsi="Times New Roman"/>
          <w:sz w:val="17"/>
          <w:szCs w:val="17"/>
          <w:b w:val="1"/>
          <w:bCs w:val="1"/>
          <w:color w:val="auto"/>
        </w:rPr>
        <w:t>Exhibit B</w:t>
      </w:r>
      <w:r>
        <w:rPr>
          <w:rFonts w:ascii="Times New Roman" w:cs="Times New Roman" w:eastAsia="Times New Roman" w:hAnsi="Times New Roman"/>
          <w:sz w:val="17"/>
          <w:szCs w:val="17"/>
          <w:color w:val="auto"/>
        </w:rPr>
        <w:t>: (i) in the event of a Change in Control that is consummated prior to the end of the Performance Period, then, effective as of immediately prior to the consummation of such Change in Control, the target number of PSUs subject to this Award Agreement shall be converted into service-based Restricted Stock Units and will be scheduled to vest as to all of such PSUs on the last day of the Performance Period, subject to Participant’s continuing to be a Service Provider through such date, and for clarity for purposes of Section 15.3 of the Plan, such target number of PSUs will be treated as of the consummation of the Change of Control as an Award that is subject only to service-based vesting but not subject to performance-based vesting; and (ii) in the event of a Change in Control that is consummated after the Performance Period, the Compensation Committee’s certification of the achievement or non-achievement will be completed no later than immediately prior to the consummation of such Change in Control.</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clarity, if during the Performance Period, Participant incurs a termination pursuant to which Participant becomes entitled to the Enhanced Severance Benefits (as defined in the Employment Agreement) and such termination occurs within the three-month period prior to the Change in Control during the Change in Control Period, then vesting of the PSUs will be (x) at the target number of PSUs in the circumstance described in clause (i) of the immediately preceding paragraph, or otherwise, (y) in the circumstance described in clause (ii) of the immediately preceding paragraph, as to 100% of the PSUs that have been deemed by the Compensation Committee as having achieved the applicable performance.</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clarity, if Participant becomes entitled to the vesting provided in Section 5(c) of the Employment Agreement but not the Enhanced Severance Benefits (for clarity, such termination due to death or Incapacity occurs on or after January 1, 2028), and thereafter a Change in Control occurs during the Performance Period, then as of immediately prior to the Change in Control, the PSUs will vest as to the target number of PSUs and will be settled in the same calendar year as the calendar year in which the Performance Period ends.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Compensation Committee has full authority to determine whether or not (and the extent to which) the Performance Goals have been achieved, the number of PSUs under the Award (if any) that have become eligible for vesting, and the number of PSUs under this Award (if any) that will vest. The maximum number of Shares underlying the PSUs under this Award that may become eligible for vesting, and that may vest, is the Maximum Number of PSUs as set forth in the Notice of Grant.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Award Agreement and the PSUs under this Award are subject to any clawback policy, compensation recovery or similar policy that the Company may adopt from time to time in order to comply with Applicable Laws.</w:t>
      </w:r>
    </w:p>
    <w:p>
      <w:pPr>
        <w:spacing w:after="0" w:line="1" w:lineRule="exact"/>
        <w:rPr>
          <w:sz w:val="20"/>
          <w:szCs w:val="20"/>
          <w:color w:val="auto"/>
        </w:rPr>
      </w:pPr>
    </w:p>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1240"/>
          </w:cols>
          <w:pgMar w:left="320" w:top="785" w:right="339" w:bottom="217" w:gutter="0" w:footer="0" w:header="0"/>
        </w:sectPr>
      </w:pPr>
    </w:p>
    <w:bookmarkStart w:id="51" w:name="page52"/>
    <w:bookmarkEnd w:id="51"/>
    <w:p>
      <w:pPr>
        <w:ind w:left="2260"/>
        <w:spacing w:after="0"/>
        <w:rPr>
          <w:sz w:val="20"/>
          <w:szCs w:val="20"/>
          <w:color w:val="auto"/>
        </w:rPr>
      </w:pPr>
      <w:r>
        <w:rPr>
          <w:rFonts w:ascii="Arial" w:cs="Arial" w:eastAsia="Arial" w:hAnsi="Arial"/>
          <w:sz w:val="35"/>
          <w:szCs w:val="35"/>
          <w:b w:val="1"/>
          <w:bCs w:val="1"/>
          <w:color w:val="auto"/>
        </w:rPr>
        <w:t>Calculation of Filing Fee Tables</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180"/>
        <w:spacing w:after="0"/>
        <w:rPr>
          <w:sz w:val="20"/>
          <w:szCs w:val="20"/>
          <w:color w:val="auto"/>
        </w:rPr>
      </w:pPr>
      <w:r>
        <w:rPr>
          <w:rFonts w:ascii="Arial" w:cs="Arial" w:eastAsia="Arial" w:hAnsi="Arial"/>
          <w:sz w:val="36"/>
          <w:szCs w:val="36"/>
          <w:b w:val="1"/>
          <w:bCs w:val="1"/>
          <w:color w:val="auto"/>
        </w:rPr>
        <w:t>ACCURAY INC</w:t>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40640</wp:posOffset>
            </wp:positionV>
            <wp:extent cx="6416675" cy="92202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6416675" cy="9220200"/>
                    </a:xfrm>
                    <a:prstGeom prst="rect">
                      <a:avLst/>
                    </a:prstGeom>
                    <a:noFill/>
                  </pic:spPr>
                </pic:pic>
              </a:graphicData>
            </a:graphic>
          </wp:anchor>
        </w:drawing>
      </w:r>
    </w:p>
    <w:p>
      <w:pPr>
        <w:sectPr>
          <w:pgSz w:w="11900" w:h="16838" w:orient="portrait"/>
          <w:cols w:equalWidth="0" w:num="1">
            <w:col w:w="10000"/>
          </w:cols>
          <w:pgMar w:left="960" w:top="142" w:right="939" w:bottom="0" w:gutter="0" w:footer="0" w:header="0"/>
        </w:sectPr>
      </w:pPr>
    </w:p>
    <w:p>
      <w:pPr>
        <w:spacing w:after="0" w:line="108" w:lineRule="exact"/>
        <w:rPr>
          <w:sz w:val="20"/>
          <w:szCs w:val="20"/>
          <w:color w:val="auto"/>
        </w:rPr>
      </w:pPr>
    </w:p>
    <w:tbl>
      <w:tblPr>
        <w:tblLayout w:type="fixed"/>
        <w:tblInd w:w="160" w:type="dxa"/>
        <w:tblCellMar>
          <w:top w:w="0" w:type="dxa"/>
          <w:left w:w="0" w:type="dxa"/>
          <w:bottom w:w="0" w:type="dxa"/>
          <w:right w:w="0" w:type="dxa"/>
        </w:tblCellMar>
      </w:tblPr>
      <w:tr>
        <w:trPr>
          <w:trHeight w:val="466"/>
        </w:trPr>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2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0" w:type="dxa"/>
            <w:vAlign w:val="bottom"/>
          </w:tcPr>
          <w:p>
            <w:pPr>
              <w:spacing w:after="0"/>
              <w:rPr>
                <w:sz w:val="1"/>
                <w:szCs w:val="1"/>
                <w:color w:val="auto"/>
              </w:rPr>
            </w:pPr>
          </w:p>
        </w:tc>
      </w:tr>
      <w:tr>
        <w:trPr>
          <w:trHeight w:val="120"/>
        </w:trPr>
        <w:tc>
          <w:tcPr>
            <w:tcW w:w="94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0"/>
                <w:szCs w:val="10"/>
                <w:color w:val="auto"/>
              </w:rPr>
            </w:pPr>
          </w:p>
        </w:tc>
        <w:tc>
          <w:tcPr>
            <w:tcW w:w="1140" w:type="dxa"/>
            <w:vAlign w:val="bottom"/>
            <w:vMerge w:val="continue"/>
            <w:shd w:val="clear" w:color="auto" w:fill="9ADAF6"/>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9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18"/>
                <w:szCs w:val="18"/>
                <w:color w:val="auto"/>
              </w:rPr>
            </w:pPr>
          </w:p>
        </w:tc>
        <w:tc>
          <w:tcPr>
            <w:tcW w:w="12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Class Title</w:t>
            </w:r>
          </w:p>
        </w:tc>
        <w:tc>
          <w:tcPr>
            <w:tcW w:w="4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Registered</w:t>
            </w:r>
          </w:p>
        </w:tc>
        <w:tc>
          <w:tcPr>
            <w:tcW w:w="0" w:type="dxa"/>
            <w:vAlign w:val="bottom"/>
          </w:tcPr>
          <w:p>
            <w:pPr>
              <w:spacing w:after="0"/>
              <w:rPr>
                <w:sz w:val="1"/>
                <w:szCs w:val="1"/>
                <w:color w:val="auto"/>
              </w:rPr>
            </w:pPr>
          </w:p>
        </w:tc>
      </w:tr>
      <w:tr>
        <w:trPr>
          <w:trHeight w:val="295"/>
        </w:trPr>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shd w:val="clear" w:color="auto" w:fill="9ADAF6"/>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2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21"/>
                <w:szCs w:val="21"/>
                <w:color w:val="auto"/>
              </w:rPr>
            </w:pPr>
          </w:p>
        </w:tc>
        <w:tc>
          <w:tcPr>
            <w:tcW w:w="13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1260" w:type="dxa"/>
            <w:vAlign w:val="bottom"/>
            <w:vMerge w:val="restart"/>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10"/>
                <w:szCs w:val="10"/>
                <w:color w:val="auto"/>
              </w:rPr>
            </w:pPr>
          </w:p>
        </w:tc>
        <w:tc>
          <w:tcPr>
            <w:tcW w:w="13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vMerge w:val="restart"/>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0" w:type="dxa"/>
            <w:vAlign w:val="bottom"/>
          </w:tcPr>
          <w:p>
            <w:pPr>
              <w:spacing w:after="0"/>
              <w:rPr>
                <w:sz w:val="1"/>
                <w:szCs w:val="1"/>
                <w:color w:val="auto"/>
              </w:rPr>
            </w:pPr>
          </w:p>
        </w:tc>
      </w:tr>
      <w:tr>
        <w:trPr>
          <w:trHeight w:val="120"/>
        </w:trPr>
        <w:tc>
          <w:tcPr>
            <w:tcW w:w="12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vMerge w:val="restart"/>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0"/>
                <w:szCs w:val="10"/>
                <w:color w:val="auto"/>
              </w:rPr>
            </w:pPr>
          </w:p>
        </w:tc>
        <w:tc>
          <w:tcPr>
            <w:tcW w:w="10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vMerge w:val="continue"/>
            <w:shd w:val="clear" w:color="auto" w:fill="9ADAF6"/>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260" w:type="dxa"/>
            <w:vAlign w:val="bottom"/>
            <w:vMerge w:val="restart"/>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0"/>
                <w:szCs w:val="10"/>
                <w:color w:val="auto"/>
              </w:rPr>
            </w:pPr>
          </w:p>
        </w:tc>
        <w:tc>
          <w:tcPr>
            <w:tcW w:w="13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9ADAF6"/>
          </w:tcPr>
          <w:p>
            <w:pPr>
              <w:ind w:left="80"/>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0"/>
                <w:szCs w:val="10"/>
                <w:color w:val="auto"/>
              </w:rPr>
            </w:pPr>
          </w:p>
        </w:tc>
        <w:tc>
          <w:tcPr>
            <w:tcW w:w="1440" w:type="dxa"/>
            <w:vAlign w:val="bottom"/>
            <w:vMerge w:val="restart"/>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0" w:type="dxa"/>
            <w:vAlign w:val="bottom"/>
          </w:tcPr>
          <w:p>
            <w:pPr>
              <w:spacing w:after="0"/>
              <w:rPr>
                <w:sz w:val="1"/>
                <w:szCs w:val="1"/>
                <w:color w:val="auto"/>
              </w:rPr>
            </w:pPr>
          </w:p>
        </w:tc>
      </w:tr>
      <w:tr>
        <w:trPr>
          <w:trHeight w:val="120"/>
        </w:trPr>
        <w:tc>
          <w:tcPr>
            <w:tcW w:w="12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vMerge w:val="restart"/>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0"/>
                <w:szCs w:val="10"/>
                <w:color w:val="auto"/>
              </w:rPr>
            </w:pPr>
          </w:p>
        </w:tc>
        <w:tc>
          <w:tcPr>
            <w:tcW w:w="10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vMerge w:val="continue"/>
            <w:shd w:val="clear" w:color="auto" w:fill="9ADAF6"/>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260" w:type="dxa"/>
            <w:vAlign w:val="bottom"/>
            <w:vMerge w:val="restart"/>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10"/>
                <w:szCs w:val="10"/>
                <w:color w:val="auto"/>
              </w:rPr>
            </w:pPr>
          </w:p>
        </w:tc>
        <w:tc>
          <w:tcPr>
            <w:tcW w:w="13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vMerge w:val="restart"/>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0" w:type="dxa"/>
            <w:vAlign w:val="bottom"/>
          </w:tcPr>
          <w:p>
            <w:pPr>
              <w:spacing w:after="0"/>
              <w:rPr>
                <w:sz w:val="1"/>
                <w:szCs w:val="1"/>
                <w:color w:val="auto"/>
              </w:rPr>
            </w:pPr>
          </w:p>
        </w:tc>
      </w:tr>
      <w:tr>
        <w:trPr>
          <w:trHeight w:val="120"/>
        </w:trPr>
        <w:tc>
          <w:tcPr>
            <w:tcW w:w="12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Price</w:t>
            </w:r>
          </w:p>
        </w:tc>
        <w:tc>
          <w:tcPr>
            <w:tcW w:w="20" w:type="dxa"/>
            <w:vAlign w:val="bottom"/>
          </w:tcPr>
          <w:p>
            <w:pPr>
              <w:spacing w:after="0"/>
              <w:rPr>
                <w:sz w:val="10"/>
                <w:szCs w:val="10"/>
                <w:color w:val="auto"/>
              </w:rPr>
            </w:pPr>
          </w:p>
        </w:tc>
        <w:tc>
          <w:tcPr>
            <w:tcW w:w="10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vMerge w:val="continue"/>
            <w:shd w:val="clear" w:color="auto" w:fill="9ADAF6"/>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15"/>
                <w:szCs w:val="15"/>
                <w:color w:val="auto"/>
              </w:rPr>
            </w:pPr>
          </w:p>
        </w:tc>
        <w:tc>
          <w:tcPr>
            <w:tcW w:w="138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shd w:val="clear" w:color="auto" w:fill="9ADAF6"/>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2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shd w:val="clear" w:color="auto" w:fill="9ADAF6"/>
          </w:tcPr>
          <w:p>
            <w:pPr>
              <w:spacing w:after="0"/>
              <w:rPr>
                <w:sz w:val="9"/>
                <w:szCs w:val="9"/>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38" w:orient="portrait"/>
          <w:cols w:equalWidth="0" w:num="2">
            <w:col w:w="4760" w:space="40"/>
            <w:col w:w="5200"/>
          </w:cols>
          <w:pgMar w:left="960" w:top="142" w:right="9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1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2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3 Equity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Common</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Stock</w:t>
      </w:r>
    </w:p>
    <w:p>
      <w:pPr>
        <w:spacing w:after="0" w:line="238" w:lineRule="auto"/>
        <w:rPr>
          <w:sz w:val="20"/>
          <w:szCs w:val="20"/>
          <w:color w:val="auto"/>
        </w:rPr>
      </w:pPr>
      <w:r>
        <w:rPr>
          <w:rFonts w:ascii="Arial" w:cs="Arial" w:eastAsia="Arial" w:hAnsi="Arial"/>
          <w:sz w:val="21"/>
          <w:szCs w:val="21"/>
          <w:color w:val="auto"/>
        </w:rPr>
        <w:t>reserved for</w:t>
      </w:r>
    </w:p>
    <w:p>
      <w:pPr>
        <w:spacing w:after="0"/>
        <w:rPr>
          <w:sz w:val="20"/>
          <w:szCs w:val="20"/>
          <w:color w:val="auto"/>
        </w:rPr>
      </w:pPr>
      <w:r>
        <w:rPr>
          <w:rFonts w:ascii="Arial" w:cs="Arial" w:eastAsia="Arial" w:hAnsi="Arial"/>
          <w:sz w:val="21"/>
          <w:szCs w:val="21"/>
          <w:color w:val="auto"/>
        </w:rPr>
        <w:t>issuance</w:t>
      </w:r>
    </w:p>
    <w:p>
      <w:pPr>
        <w:spacing w:after="0" w:line="238" w:lineRule="auto"/>
        <w:rPr>
          <w:sz w:val="20"/>
          <w:szCs w:val="20"/>
          <w:color w:val="auto"/>
        </w:rPr>
      </w:pPr>
      <w:r>
        <w:rPr>
          <w:rFonts w:ascii="Arial" w:cs="Arial" w:eastAsia="Arial" w:hAnsi="Arial"/>
          <w:sz w:val="21"/>
          <w:szCs w:val="21"/>
          <w:color w:val="auto"/>
        </w:rPr>
        <w:t>pursuant to</w:t>
      </w:r>
    </w:p>
    <w:p>
      <w:pPr>
        <w:spacing w:after="0"/>
        <w:rPr>
          <w:sz w:val="20"/>
          <w:szCs w:val="20"/>
          <w:color w:val="auto"/>
        </w:rPr>
      </w:pPr>
      <w:r>
        <w:rPr>
          <w:rFonts w:ascii="Arial" w:cs="Arial" w:eastAsia="Arial" w:hAnsi="Arial"/>
          <w:sz w:val="21"/>
          <w:szCs w:val="21"/>
          <w:color w:val="auto"/>
        </w:rPr>
        <w:t>the Accuray</w:t>
      </w:r>
    </w:p>
    <w:p>
      <w:pPr>
        <w:spacing w:after="0" w:line="238" w:lineRule="auto"/>
        <w:rPr>
          <w:sz w:val="20"/>
          <w:szCs w:val="20"/>
          <w:color w:val="auto"/>
        </w:rPr>
      </w:pPr>
      <w:r>
        <w:rPr>
          <w:rFonts w:ascii="Arial" w:cs="Arial" w:eastAsia="Arial" w:hAnsi="Arial"/>
          <w:sz w:val="21"/>
          <w:szCs w:val="21"/>
          <w:color w:val="auto"/>
        </w:rPr>
        <w:t>Incorporated</w:t>
      </w:r>
    </w:p>
    <w:p>
      <w:pPr>
        <w:spacing w:after="0"/>
        <w:rPr>
          <w:sz w:val="20"/>
          <w:szCs w:val="20"/>
          <w:color w:val="auto"/>
        </w:rPr>
      </w:pPr>
      <w:r>
        <w:rPr>
          <w:rFonts w:ascii="Arial" w:cs="Arial" w:eastAsia="Arial" w:hAnsi="Arial"/>
          <w:sz w:val="21"/>
          <w:szCs w:val="21"/>
          <w:color w:val="auto"/>
        </w:rPr>
        <w:t>Stand-Alone</w:t>
      </w:r>
    </w:p>
    <w:p>
      <w:pPr>
        <w:spacing w:after="0" w:line="238" w:lineRule="auto"/>
        <w:rPr>
          <w:sz w:val="20"/>
          <w:szCs w:val="20"/>
          <w:color w:val="auto"/>
        </w:rPr>
      </w:pPr>
      <w:r>
        <w:rPr>
          <w:rFonts w:ascii="Arial" w:cs="Arial" w:eastAsia="Arial" w:hAnsi="Arial"/>
          <w:sz w:val="21"/>
          <w:szCs w:val="21"/>
          <w:color w:val="auto"/>
        </w:rPr>
        <w:t>Inducement</w:t>
      </w:r>
    </w:p>
    <w:p>
      <w:pPr>
        <w:spacing w:after="0"/>
        <w:rPr>
          <w:sz w:val="20"/>
          <w:szCs w:val="20"/>
          <w:color w:val="auto"/>
        </w:rPr>
      </w:pPr>
      <w:r>
        <w:rPr>
          <w:rFonts w:ascii="Arial" w:cs="Arial" w:eastAsia="Arial" w:hAnsi="Arial"/>
          <w:sz w:val="21"/>
          <w:szCs w:val="21"/>
          <w:color w:val="auto"/>
        </w:rPr>
        <w:t>Performance</w:t>
      </w:r>
    </w:p>
    <w:p>
      <w:pPr>
        <w:spacing w:after="0" w:line="238" w:lineRule="auto"/>
        <w:rPr>
          <w:sz w:val="20"/>
          <w:szCs w:val="20"/>
          <w:color w:val="auto"/>
        </w:rPr>
      </w:pPr>
      <w:r>
        <w:rPr>
          <w:rFonts w:ascii="Arial" w:cs="Arial" w:eastAsia="Arial" w:hAnsi="Arial"/>
          <w:sz w:val="21"/>
          <w:szCs w:val="21"/>
          <w:color w:val="auto"/>
        </w:rPr>
        <w:t>Unit</w:t>
      </w:r>
    </w:p>
    <w:p>
      <w:pPr>
        <w:spacing w:after="0"/>
        <w:rPr>
          <w:sz w:val="20"/>
          <w:szCs w:val="20"/>
          <w:color w:val="auto"/>
        </w:rPr>
      </w:pPr>
      <w:r>
        <w:rPr>
          <w:rFonts w:ascii="Arial" w:cs="Arial" w:eastAsia="Arial" w:hAnsi="Arial"/>
          <w:sz w:val="21"/>
          <w:szCs w:val="21"/>
          <w:color w:val="auto"/>
        </w:rPr>
        <w:t>Agreement</w:t>
      </w:r>
    </w:p>
    <w:p>
      <w:pPr>
        <w:spacing w:after="0" w:line="238" w:lineRule="auto"/>
        <w:rPr>
          <w:sz w:val="20"/>
          <w:szCs w:val="20"/>
          <w:color w:val="auto"/>
        </w:rPr>
      </w:pPr>
      <w:r>
        <w:rPr>
          <w:rFonts w:ascii="Arial" w:cs="Arial" w:eastAsia="Arial" w:hAnsi="Arial"/>
          <w:sz w:val="21"/>
          <w:szCs w:val="21"/>
          <w:color w:val="auto"/>
        </w:rPr>
        <w:t>for David</w:t>
      </w:r>
    </w:p>
    <w:p>
      <w:pPr>
        <w:spacing w:after="0"/>
        <w:rPr>
          <w:sz w:val="20"/>
          <w:szCs w:val="20"/>
          <w:color w:val="auto"/>
        </w:rPr>
      </w:pPr>
      <w:r>
        <w:rPr>
          <w:rFonts w:ascii="Arial" w:cs="Arial" w:eastAsia="Arial" w:hAnsi="Arial"/>
          <w:sz w:val="21"/>
          <w:szCs w:val="21"/>
          <w:color w:val="auto"/>
        </w:rPr>
        <w:t>Shin ("Shin</w:t>
      </w:r>
    </w:p>
    <w:p>
      <w:pPr>
        <w:spacing w:after="0" w:line="238" w:lineRule="auto"/>
        <w:rPr>
          <w:sz w:val="20"/>
          <w:szCs w:val="20"/>
          <w:color w:val="auto"/>
        </w:rPr>
      </w:pPr>
      <w:r>
        <w:rPr>
          <w:rFonts w:ascii="Arial" w:cs="Arial" w:eastAsia="Arial" w:hAnsi="Arial"/>
          <w:sz w:val="21"/>
          <w:szCs w:val="21"/>
          <w:color w:val="auto"/>
        </w:rPr>
        <w:t>PSU</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Award")</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Common</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Stock</w:t>
      </w:r>
    </w:p>
    <w:p>
      <w:pPr>
        <w:spacing w:after="0" w:line="238" w:lineRule="auto"/>
        <w:rPr>
          <w:sz w:val="20"/>
          <w:szCs w:val="20"/>
          <w:color w:val="auto"/>
        </w:rPr>
      </w:pPr>
      <w:r>
        <w:rPr>
          <w:rFonts w:ascii="Arial" w:cs="Arial" w:eastAsia="Arial" w:hAnsi="Arial"/>
          <w:sz w:val="21"/>
          <w:szCs w:val="21"/>
          <w:color w:val="auto"/>
        </w:rPr>
        <w:t>reserved for</w:t>
      </w:r>
    </w:p>
    <w:p>
      <w:pPr>
        <w:spacing w:after="0"/>
        <w:rPr>
          <w:sz w:val="20"/>
          <w:szCs w:val="20"/>
          <w:color w:val="auto"/>
        </w:rPr>
      </w:pPr>
      <w:r>
        <w:rPr>
          <w:rFonts w:ascii="Arial" w:cs="Arial" w:eastAsia="Arial" w:hAnsi="Arial"/>
          <w:sz w:val="21"/>
          <w:szCs w:val="21"/>
          <w:color w:val="auto"/>
        </w:rPr>
        <w:t>issuance</w:t>
      </w:r>
    </w:p>
    <w:p>
      <w:pPr>
        <w:spacing w:after="0" w:line="238" w:lineRule="auto"/>
        <w:rPr>
          <w:sz w:val="20"/>
          <w:szCs w:val="20"/>
          <w:color w:val="auto"/>
        </w:rPr>
      </w:pPr>
      <w:r>
        <w:rPr>
          <w:rFonts w:ascii="Arial" w:cs="Arial" w:eastAsia="Arial" w:hAnsi="Arial"/>
          <w:sz w:val="21"/>
          <w:szCs w:val="21"/>
          <w:color w:val="auto"/>
        </w:rPr>
        <w:t>pursuant to</w:t>
      </w:r>
    </w:p>
    <w:p>
      <w:pPr>
        <w:spacing w:after="0"/>
        <w:rPr>
          <w:sz w:val="20"/>
          <w:szCs w:val="20"/>
          <w:color w:val="auto"/>
        </w:rPr>
      </w:pPr>
      <w:r>
        <w:rPr>
          <w:rFonts w:ascii="Arial" w:cs="Arial" w:eastAsia="Arial" w:hAnsi="Arial"/>
          <w:sz w:val="21"/>
          <w:szCs w:val="21"/>
          <w:color w:val="auto"/>
        </w:rPr>
        <w:t>the Accuray</w:t>
      </w:r>
    </w:p>
    <w:p>
      <w:pPr>
        <w:spacing w:after="0" w:line="238" w:lineRule="auto"/>
        <w:rPr>
          <w:sz w:val="20"/>
          <w:szCs w:val="20"/>
          <w:color w:val="auto"/>
        </w:rPr>
      </w:pPr>
      <w:r>
        <w:rPr>
          <w:rFonts w:ascii="Arial" w:cs="Arial" w:eastAsia="Arial" w:hAnsi="Arial"/>
          <w:sz w:val="21"/>
          <w:szCs w:val="21"/>
          <w:color w:val="auto"/>
        </w:rPr>
        <w:t>Incorporated</w:t>
      </w:r>
    </w:p>
    <w:p>
      <w:pPr>
        <w:spacing w:after="0"/>
        <w:rPr>
          <w:sz w:val="20"/>
          <w:szCs w:val="20"/>
          <w:color w:val="auto"/>
        </w:rPr>
      </w:pPr>
      <w:r>
        <w:rPr>
          <w:rFonts w:ascii="Arial" w:cs="Arial" w:eastAsia="Arial" w:hAnsi="Arial"/>
          <w:sz w:val="21"/>
          <w:szCs w:val="21"/>
          <w:color w:val="auto"/>
        </w:rPr>
        <w:t>Stand-Alone</w:t>
      </w:r>
    </w:p>
    <w:p>
      <w:pPr>
        <w:spacing w:after="0" w:line="238" w:lineRule="auto"/>
        <w:rPr>
          <w:sz w:val="20"/>
          <w:szCs w:val="20"/>
          <w:color w:val="auto"/>
        </w:rPr>
      </w:pPr>
      <w:r>
        <w:rPr>
          <w:rFonts w:ascii="Arial" w:cs="Arial" w:eastAsia="Arial" w:hAnsi="Arial"/>
          <w:sz w:val="21"/>
          <w:szCs w:val="21"/>
          <w:color w:val="auto"/>
        </w:rPr>
        <w:t>Inducement</w:t>
      </w:r>
    </w:p>
    <w:p>
      <w:pPr>
        <w:spacing w:after="0"/>
        <w:rPr>
          <w:sz w:val="20"/>
          <w:szCs w:val="20"/>
          <w:color w:val="auto"/>
        </w:rPr>
      </w:pPr>
      <w:r>
        <w:rPr>
          <w:rFonts w:ascii="Arial" w:cs="Arial" w:eastAsia="Arial" w:hAnsi="Arial"/>
          <w:sz w:val="21"/>
          <w:szCs w:val="21"/>
          <w:color w:val="auto"/>
        </w:rPr>
        <w:t>Restricted</w:t>
      </w:r>
    </w:p>
    <w:p>
      <w:pPr>
        <w:spacing w:after="0" w:line="238" w:lineRule="auto"/>
        <w:rPr>
          <w:sz w:val="20"/>
          <w:szCs w:val="20"/>
          <w:color w:val="auto"/>
        </w:rPr>
      </w:pPr>
      <w:r>
        <w:rPr>
          <w:rFonts w:ascii="Arial" w:cs="Arial" w:eastAsia="Arial" w:hAnsi="Arial"/>
          <w:sz w:val="21"/>
          <w:szCs w:val="21"/>
          <w:color w:val="auto"/>
        </w:rPr>
        <w:t>Stock Unit</w:t>
      </w:r>
    </w:p>
    <w:p>
      <w:pPr>
        <w:spacing w:after="0"/>
        <w:rPr>
          <w:sz w:val="20"/>
          <w:szCs w:val="20"/>
          <w:color w:val="auto"/>
        </w:rPr>
      </w:pPr>
      <w:r>
        <w:rPr>
          <w:rFonts w:ascii="Arial" w:cs="Arial" w:eastAsia="Arial" w:hAnsi="Arial"/>
          <w:sz w:val="21"/>
          <w:szCs w:val="21"/>
          <w:color w:val="auto"/>
        </w:rPr>
        <w:t>Agreement</w:t>
      </w:r>
    </w:p>
    <w:p>
      <w:pPr>
        <w:spacing w:after="0" w:line="238" w:lineRule="auto"/>
        <w:rPr>
          <w:sz w:val="20"/>
          <w:szCs w:val="20"/>
          <w:color w:val="auto"/>
        </w:rPr>
      </w:pPr>
      <w:r>
        <w:rPr>
          <w:rFonts w:ascii="Arial" w:cs="Arial" w:eastAsia="Arial" w:hAnsi="Arial"/>
          <w:sz w:val="21"/>
          <w:szCs w:val="21"/>
          <w:color w:val="auto"/>
        </w:rPr>
        <w:t>for David</w:t>
      </w:r>
    </w:p>
    <w:p>
      <w:pPr>
        <w:spacing w:after="0"/>
        <w:rPr>
          <w:sz w:val="20"/>
          <w:szCs w:val="20"/>
          <w:color w:val="auto"/>
        </w:rPr>
      </w:pPr>
      <w:r>
        <w:rPr>
          <w:rFonts w:ascii="Arial" w:cs="Arial" w:eastAsia="Arial" w:hAnsi="Arial"/>
          <w:sz w:val="21"/>
          <w:szCs w:val="21"/>
          <w:color w:val="auto"/>
        </w:rPr>
        <w:t>Shin ("Shin</w:t>
      </w:r>
    </w:p>
    <w:p>
      <w:pPr>
        <w:spacing w:after="0" w:line="238" w:lineRule="auto"/>
        <w:rPr>
          <w:sz w:val="20"/>
          <w:szCs w:val="20"/>
          <w:color w:val="auto"/>
        </w:rPr>
      </w:pPr>
      <w:r>
        <w:rPr>
          <w:rFonts w:ascii="Arial" w:cs="Arial" w:eastAsia="Arial" w:hAnsi="Arial"/>
          <w:sz w:val="21"/>
          <w:szCs w:val="21"/>
          <w:color w:val="auto"/>
        </w:rPr>
        <w:t>RSU</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Award")</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Common</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Stock</w:t>
      </w:r>
    </w:p>
    <w:p>
      <w:pPr>
        <w:spacing w:after="0" w:line="238" w:lineRule="auto"/>
        <w:rPr>
          <w:sz w:val="20"/>
          <w:szCs w:val="20"/>
          <w:color w:val="auto"/>
        </w:rPr>
      </w:pPr>
      <w:r>
        <w:rPr>
          <w:rFonts w:ascii="Arial" w:cs="Arial" w:eastAsia="Arial" w:hAnsi="Arial"/>
          <w:sz w:val="21"/>
          <w:szCs w:val="21"/>
          <w:color w:val="auto"/>
        </w:rPr>
        <w:t>reserved for</w:t>
      </w:r>
    </w:p>
    <w:p>
      <w:pPr>
        <w:spacing w:after="0"/>
        <w:rPr>
          <w:sz w:val="20"/>
          <w:szCs w:val="20"/>
          <w:color w:val="auto"/>
        </w:rPr>
      </w:pPr>
      <w:r>
        <w:rPr>
          <w:rFonts w:ascii="Arial" w:cs="Arial" w:eastAsia="Arial" w:hAnsi="Arial"/>
          <w:sz w:val="21"/>
          <w:szCs w:val="21"/>
          <w:color w:val="auto"/>
        </w:rPr>
        <w:t>issuance</w:t>
      </w:r>
    </w:p>
    <w:p>
      <w:pPr>
        <w:spacing w:after="0" w:line="238" w:lineRule="auto"/>
        <w:rPr>
          <w:sz w:val="20"/>
          <w:szCs w:val="20"/>
          <w:color w:val="auto"/>
        </w:rPr>
      </w:pPr>
      <w:r>
        <w:rPr>
          <w:rFonts w:ascii="Arial" w:cs="Arial" w:eastAsia="Arial" w:hAnsi="Arial"/>
          <w:sz w:val="21"/>
          <w:szCs w:val="21"/>
          <w:color w:val="auto"/>
        </w:rPr>
        <w:t>pursuant to</w:t>
      </w:r>
    </w:p>
    <w:p>
      <w:pPr>
        <w:spacing w:after="0"/>
        <w:rPr>
          <w:sz w:val="20"/>
          <w:szCs w:val="20"/>
          <w:color w:val="auto"/>
        </w:rPr>
      </w:pPr>
      <w:r>
        <w:rPr>
          <w:rFonts w:ascii="Arial" w:cs="Arial" w:eastAsia="Arial" w:hAnsi="Arial"/>
          <w:sz w:val="21"/>
          <w:szCs w:val="21"/>
          <w:color w:val="auto"/>
        </w:rPr>
        <w:t>the Accuray</w:t>
      </w:r>
    </w:p>
    <w:p>
      <w:pPr>
        <w:spacing w:after="0" w:line="238" w:lineRule="auto"/>
        <w:rPr>
          <w:sz w:val="20"/>
          <w:szCs w:val="20"/>
          <w:color w:val="auto"/>
        </w:rPr>
      </w:pPr>
      <w:r>
        <w:rPr>
          <w:rFonts w:ascii="Arial" w:cs="Arial" w:eastAsia="Arial" w:hAnsi="Arial"/>
          <w:sz w:val="21"/>
          <w:szCs w:val="21"/>
          <w:color w:val="auto"/>
        </w:rPr>
        <w:t>Incorporated</w:t>
      </w:r>
    </w:p>
    <w:p>
      <w:pPr>
        <w:spacing w:after="0"/>
        <w:rPr>
          <w:sz w:val="20"/>
          <w:szCs w:val="20"/>
          <w:color w:val="auto"/>
        </w:rPr>
      </w:pPr>
      <w:r>
        <w:rPr>
          <w:rFonts w:ascii="Arial" w:cs="Arial" w:eastAsia="Arial" w:hAnsi="Arial"/>
          <w:sz w:val="21"/>
          <w:szCs w:val="21"/>
          <w:color w:val="auto"/>
        </w:rPr>
        <w:t>Stand-Alone</w:t>
      </w:r>
    </w:p>
    <w:p>
      <w:pPr>
        <w:spacing w:after="0" w:line="238" w:lineRule="auto"/>
        <w:rPr>
          <w:sz w:val="20"/>
          <w:szCs w:val="20"/>
          <w:color w:val="auto"/>
        </w:rPr>
      </w:pPr>
      <w:r>
        <w:rPr>
          <w:rFonts w:ascii="Arial" w:cs="Arial" w:eastAsia="Arial" w:hAnsi="Arial"/>
          <w:sz w:val="21"/>
          <w:szCs w:val="21"/>
          <w:color w:val="auto"/>
        </w:rPr>
        <w:t>Inducement</w:t>
      </w:r>
    </w:p>
    <w:p>
      <w:pPr>
        <w:spacing w:after="0"/>
        <w:rPr>
          <w:sz w:val="20"/>
          <w:szCs w:val="20"/>
          <w:color w:val="auto"/>
        </w:rPr>
      </w:pPr>
      <w:r>
        <w:rPr>
          <w:rFonts w:ascii="Arial" w:cs="Arial" w:eastAsia="Arial" w:hAnsi="Arial"/>
          <w:sz w:val="21"/>
          <w:szCs w:val="21"/>
          <w:color w:val="auto"/>
        </w:rPr>
        <w:t>Performance</w:t>
      </w:r>
    </w:p>
    <w:p>
      <w:pPr>
        <w:spacing w:after="0" w:line="238" w:lineRule="auto"/>
        <w:rPr>
          <w:sz w:val="20"/>
          <w:szCs w:val="20"/>
          <w:color w:val="auto"/>
        </w:rPr>
      </w:pPr>
      <w:r>
        <w:rPr>
          <w:rFonts w:ascii="Arial" w:cs="Arial" w:eastAsia="Arial" w:hAnsi="Arial"/>
          <w:sz w:val="21"/>
          <w:szCs w:val="21"/>
          <w:color w:val="auto"/>
        </w:rPr>
        <w:t>Unit</w:t>
      </w:r>
    </w:p>
    <w:p>
      <w:pPr>
        <w:spacing w:after="0"/>
        <w:rPr>
          <w:sz w:val="20"/>
          <w:szCs w:val="20"/>
          <w:color w:val="auto"/>
        </w:rPr>
      </w:pPr>
      <w:r>
        <w:rPr>
          <w:rFonts w:ascii="Arial" w:cs="Arial" w:eastAsia="Arial" w:hAnsi="Arial"/>
          <w:sz w:val="21"/>
          <w:szCs w:val="21"/>
          <w:color w:val="auto"/>
        </w:rPr>
        <w:t>Agreement</w:t>
      </w:r>
    </w:p>
    <w:p>
      <w:pPr>
        <w:spacing w:after="0" w:line="238" w:lineRule="auto"/>
        <w:rPr>
          <w:sz w:val="20"/>
          <w:szCs w:val="20"/>
          <w:color w:val="auto"/>
        </w:rPr>
      </w:pPr>
      <w:r>
        <w:rPr>
          <w:rFonts w:ascii="Arial" w:cs="Arial" w:eastAsia="Arial" w:hAnsi="Arial"/>
          <w:sz w:val="21"/>
          <w:szCs w:val="21"/>
          <w:color w:val="auto"/>
        </w:rPr>
        <w:t>for Paul</w:t>
      </w:r>
    </w:p>
    <w:p>
      <w:pPr>
        <w:spacing w:after="0"/>
        <w:rPr>
          <w:sz w:val="20"/>
          <w:szCs w:val="20"/>
          <w:color w:val="auto"/>
        </w:rPr>
      </w:pPr>
      <w:r>
        <w:rPr>
          <w:rFonts w:ascii="Arial" w:cs="Arial" w:eastAsia="Arial" w:hAnsi="Arial"/>
          <w:sz w:val="21"/>
          <w:szCs w:val="21"/>
          <w:color w:val="auto"/>
        </w:rPr>
        <w:t>Miele ("Miele</w:t>
      </w:r>
    </w:p>
    <w:p>
      <w:pPr>
        <w:spacing w:after="0" w:line="238" w:lineRule="auto"/>
        <w:rPr>
          <w:sz w:val="20"/>
          <w:szCs w:val="20"/>
          <w:color w:val="auto"/>
        </w:rPr>
      </w:pPr>
      <w:r>
        <w:rPr>
          <w:rFonts w:ascii="Arial" w:cs="Arial" w:eastAsia="Arial" w:hAnsi="Arial"/>
          <w:sz w:val="21"/>
          <w:szCs w:val="21"/>
          <w:color w:val="auto"/>
        </w:rPr>
        <w:t>PSU</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color w:val="auto"/>
        </w:rPr>
        <w:t>Other</w:t>
      </w:r>
      <w:r>
        <w:rPr>
          <w:sz w:val="20"/>
          <w:szCs w:val="20"/>
          <w:color w:val="auto"/>
        </w:rPr>
        <w:tab/>
      </w:r>
      <w:r>
        <w:rPr>
          <w:rFonts w:ascii="Arial" w:cs="Arial" w:eastAsia="Arial" w:hAnsi="Arial"/>
          <w:sz w:val="21"/>
          <w:szCs w:val="21"/>
          <w:color w:val="auto"/>
        </w:rPr>
        <w:t>375,000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color w:val="auto"/>
        </w:rPr>
        <w:t>Other</w:t>
      </w:r>
      <w:r>
        <w:rPr>
          <w:sz w:val="20"/>
          <w:szCs w:val="20"/>
          <w:color w:val="auto"/>
        </w:rPr>
        <w:tab/>
      </w:r>
      <w:r>
        <w:rPr>
          <w:rFonts w:ascii="Arial" w:cs="Arial" w:eastAsia="Arial" w:hAnsi="Arial"/>
          <w:sz w:val="21"/>
          <w:szCs w:val="21"/>
          <w:color w:val="auto"/>
        </w:rPr>
        <w:t>375,000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color w:val="auto"/>
        </w:rPr>
        <w:t>Other</w:t>
      </w:r>
      <w:r>
        <w:rPr>
          <w:sz w:val="20"/>
          <w:szCs w:val="20"/>
          <w:color w:val="auto"/>
        </w:rPr>
        <w:tab/>
      </w:r>
      <w:r>
        <w:rPr>
          <w:rFonts w:ascii="Arial" w:cs="Arial" w:eastAsia="Arial" w:hAnsi="Arial"/>
          <w:sz w:val="21"/>
          <w:szCs w:val="21"/>
          <w:color w:val="auto"/>
        </w:rPr>
        <w:t>650,000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3800" w:val="left"/>
        </w:tabs>
        <w:rPr>
          <w:sz w:val="20"/>
          <w:szCs w:val="20"/>
          <w:color w:val="auto"/>
        </w:rPr>
      </w:pPr>
      <w:r>
        <w:rPr>
          <w:rFonts w:ascii="Arial" w:cs="Arial" w:eastAsia="Arial" w:hAnsi="Arial"/>
          <w:sz w:val="21"/>
          <w:szCs w:val="21"/>
          <w:color w:val="auto"/>
        </w:rPr>
        <w:t>$ 0.32  $ 120,000.00 0.0001381</w:t>
      </w:r>
      <w:r>
        <w:rPr>
          <w:sz w:val="20"/>
          <w:szCs w:val="20"/>
          <w:color w:val="auto"/>
        </w:rPr>
        <w:tab/>
      </w:r>
      <w:r>
        <w:rPr>
          <w:rFonts w:ascii="Arial" w:cs="Arial" w:eastAsia="Arial" w:hAnsi="Arial"/>
          <w:sz w:val="21"/>
          <w:szCs w:val="21"/>
          <w:color w:val="auto"/>
        </w:rPr>
        <w:t>$ 16.57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3800" w:val="left"/>
        </w:tabs>
        <w:rPr>
          <w:sz w:val="20"/>
          <w:szCs w:val="20"/>
          <w:color w:val="auto"/>
        </w:rPr>
      </w:pPr>
      <w:r>
        <w:rPr>
          <w:rFonts w:ascii="Arial" w:cs="Arial" w:eastAsia="Arial" w:hAnsi="Arial"/>
          <w:sz w:val="21"/>
          <w:szCs w:val="21"/>
          <w:color w:val="auto"/>
        </w:rPr>
        <w:t>$ 0.32  $ 120,000.00 0.0001381</w:t>
      </w:r>
      <w:r>
        <w:rPr>
          <w:sz w:val="20"/>
          <w:szCs w:val="20"/>
          <w:color w:val="auto"/>
        </w:rPr>
        <w:tab/>
      </w:r>
      <w:r>
        <w:rPr>
          <w:rFonts w:ascii="Arial" w:cs="Arial" w:eastAsia="Arial" w:hAnsi="Arial"/>
          <w:sz w:val="21"/>
          <w:szCs w:val="21"/>
          <w:color w:val="auto"/>
        </w:rPr>
        <w:t>$ 16.57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3800" w:val="left"/>
        </w:tabs>
        <w:rPr>
          <w:sz w:val="20"/>
          <w:szCs w:val="20"/>
          <w:color w:val="auto"/>
        </w:rPr>
      </w:pPr>
      <w:r>
        <w:rPr>
          <w:rFonts w:ascii="Arial" w:cs="Arial" w:eastAsia="Arial" w:hAnsi="Arial"/>
          <w:sz w:val="21"/>
          <w:szCs w:val="21"/>
          <w:color w:val="auto"/>
        </w:rPr>
        <w:t>$ 0.32  $ 208,000.00 0.0001381</w:t>
      </w:r>
      <w:r>
        <w:rPr>
          <w:sz w:val="20"/>
          <w:szCs w:val="20"/>
          <w:color w:val="auto"/>
        </w:rPr>
        <w:tab/>
      </w:r>
      <w:r>
        <w:rPr>
          <w:rFonts w:ascii="Arial" w:cs="Arial" w:eastAsia="Arial" w:hAnsi="Arial"/>
          <w:sz w:val="21"/>
          <w:szCs w:val="21"/>
          <w:color w:val="auto"/>
        </w:rPr>
        <w:t>$ 28.72</w:t>
      </w:r>
    </w:p>
    <w:p>
      <w:pPr>
        <w:spacing w:after="0" w:line="1855" w:lineRule="exact"/>
        <w:rPr>
          <w:sz w:val="20"/>
          <w:szCs w:val="20"/>
          <w:color w:val="auto"/>
        </w:rPr>
      </w:pPr>
    </w:p>
    <w:p>
      <w:pPr>
        <w:sectPr>
          <w:pgSz w:w="11900" w:h="16838" w:orient="portrait"/>
          <w:cols w:equalWidth="0" w:num="4">
            <w:col w:w="760" w:space="380"/>
            <w:col w:w="1220" w:space="380"/>
            <w:col w:w="2000" w:space="700"/>
            <w:col w:w="4560"/>
          </w:cols>
          <w:pgMar w:left="960" w:top="142" w:right="939" w:bottom="0" w:gutter="0" w:footer="0" w:header="0"/>
          <w:type w:val="continuous"/>
        </w:sectPr>
      </w:pPr>
    </w:p>
    <w:p>
      <w:pPr>
        <w:ind w:left="1140" w:right="20" w:hanging="1140"/>
        <w:spacing w:after="0" w:line="248" w:lineRule="auto"/>
        <w:tabs>
          <w:tab w:leader="none" w:pos="1120" w:val="left"/>
        </w:tabs>
        <w:rPr>
          <w:sz w:val="20"/>
          <w:szCs w:val="20"/>
          <w:color w:val="auto"/>
        </w:rPr>
      </w:pPr>
      <w:r>
        <w:rPr>
          <w:rFonts w:ascii="Arial" w:cs="Arial" w:eastAsia="Arial" w:hAnsi="Arial"/>
          <w:sz w:val="21"/>
          <w:szCs w:val="21"/>
          <w:color w:val="auto"/>
        </w:rPr>
        <w:t>4 Equity</w:t>
      </w:r>
      <w:r>
        <w:rPr>
          <w:sz w:val="20"/>
          <w:szCs w:val="20"/>
          <w:color w:val="auto"/>
        </w:rPr>
        <w:tab/>
      </w:r>
      <w:r>
        <w:rPr>
          <w:rFonts w:ascii="Arial" w:cs="Arial" w:eastAsia="Arial" w:hAnsi="Arial"/>
          <w:sz w:val="21"/>
          <w:szCs w:val="21"/>
          <w:color w:val="auto"/>
        </w:rPr>
        <w:t>Common Other 650,000 $ 0.32 $ 208,000.00 0.0001381 $ 28.72 Stock</w:t>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reserved for</w:t>
      </w:r>
    </w:p>
    <w:p>
      <w:pPr>
        <w:ind w:left="1140"/>
        <w:spacing w:after="0" w:line="238" w:lineRule="auto"/>
        <w:rPr>
          <w:sz w:val="20"/>
          <w:szCs w:val="20"/>
          <w:color w:val="auto"/>
        </w:rPr>
      </w:pPr>
      <w:r>
        <w:rPr>
          <w:rFonts w:ascii="Arial" w:cs="Arial" w:eastAsia="Arial" w:hAnsi="Arial"/>
          <w:sz w:val="21"/>
          <w:szCs w:val="21"/>
          <w:color w:val="auto"/>
        </w:rPr>
        <w:t>issuance</w:t>
      </w:r>
    </w:p>
    <w:p>
      <w:pPr>
        <w:ind w:left="1140"/>
        <w:spacing w:after="0"/>
        <w:rPr>
          <w:sz w:val="20"/>
          <w:szCs w:val="20"/>
          <w:color w:val="auto"/>
        </w:rPr>
      </w:pPr>
      <w:r>
        <w:rPr>
          <w:rFonts w:ascii="Arial" w:cs="Arial" w:eastAsia="Arial" w:hAnsi="Arial"/>
          <w:sz w:val="21"/>
          <w:szCs w:val="21"/>
          <w:color w:val="auto"/>
        </w:rPr>
        <w:t>pursuant to</w:t>
      </w:r>
    </w:p>
    <w:p>
      <w:pPr>
        <w:ind w:left="1140"/>
        <w:spacing w:after="0"/>
        <w:rPr>
          <w:sz w:val="20"/>
          <w:szCs w:val="20"/>
          <w:color w:val="auto"/>
        </w:rPr>
      </w:pPr>
      <w:r>
        <w:rPr>
          <w:rFonts w:ascii="Arial" w:cs="Arial" w:eastAsia="Arial" w:hAnsi="Arial"/>
          <w:sz w:val="21"/>
          <w:szCs w:val="21"/>
          <w:color w:val="auto"/>
        </w:rPr>
        <w:t>the Accuray</w:t>
      </w:r>
    </w:p>
    <w:p>
      <w:pPr>
        <w:sectPr>
          <w:pgSz w:w="11900" w:h="16838" w:orient="portrait"/>
          <w:cols w:equalWidth="0" w:num="1">
            <w:col w:w="10000"/>
          </w:cols>
          <w:pgMar w:left="960" w:top="142" w:right="939" w:bottom="0" w:gutter="0" w:footer="0" w:header="0"/>
          <w:type w:val="continuous"/>
        </w:sectPr>
      </w:pPr>
    </w:p>
    <w:bookmarkStart w:id="52" w:name="page53"/>
    <w:bookmarkEnd w:id="52"/>
    <w:p>
      <w:pPr>
        <w:ind w:left="1160"/>
        <w:spacing w:after="0"/>
        <w:rPr>
          <w:sz w:val="20"/>
          <w:szCs w:val="20"/>
          <w:color w:val="auto"/>
        </w:rPr>
      </w:pPr>
      <w:r>
        <w:rPr>
          <w:rFonts w:ascii="Arial" w:cs="Arial" w:eastAsia="Arial" w:hAnsi="Arial"/>
          <w:sz w:val="21"/>
          <w:szCs w:val="21"/>
          <w:color w:val="auto"/>
        </w:rPr>
        <w:t>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-134620</wp:posOffset>
            </wp:positionV>
            <wp:extent cx="6416675" cy="21228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6416675" cy="212280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21"/>
          <w:szCs w:val="21"/>
          <w:color w:val="auto"/>
        </w:rPr>
        <w:t>Stand-Alone</w:t>
      </w:r>
    </w:p>
    <w:p>
      <w:pPr>
        <w:ind w:left="1160"/>
        <w:spacing w:after="0" w:line="238" w:lineRule="auto"/>
        <w:rPr>
          <w:sz w:val="20"/>
          <w:szCs w:val="20"/>
          <w:color w:val="auto"/>
        </w:rPr>
      </w:pPr>
      <w:r>
        <w:rPr>
          <w:rFonts w:ascii="Arial" w:cs="Arial" w:eastAsia="Arial" w:hAnsi="Arial"/>
          <w:sz w:val="21"/>
          <w:szCs w:val="21"/>
          <w:color w:val="auto"/>
        </w:rPr>
        <w:t>Inducement</w:t>
      </w:r>
    </w:p>
    <w:p>
      <w:pPr>
        <w:ind w:left="1160"/>
        <w:spacing w:after="0"/>
        <w:rPr>
          <w:sz w:val="20"/>
          <w:szCs w:val="20"/>
          <w:color w:val="auto"/>
        </w:rPr>
      </w:pPr>
      <w:r>
        <w:rPr>
          <w:rFonts w:ascii="Arial" w:cs="Arial" w:eastAsia="Arial" w:hAnsi="Arial"/>
          <w:sz w:val="21"/>
          <w:szCs w:val="21"/>
          <w:color w:val="auto"/>
        </w:rPr>
        <w:t>Restricted</w:t>
      </w:r>
    </w:p>
    <w:p>
      <w:pPr>
        <w:ind w:left="1160"/>
        <w:spacing w:after="0" w:line="238" w:lineRule="auto"/>
        <w:rPr>
          <w:sz w:val="20"/>
          <w:szCs w:val="20"/>
          <w:color w:val="auto"/>
        </w:rPr>
      </w:pPr>
      <w:r>
        <w:rPr>
          <w:rFonts w:ascii="Arial" w:cs="Arial" w:eastAsia="Arial" w:hAnsi="Arial"/>
          <w:sz w:val="21"/>
          <w:szCs w:val="21"/>
          <w:color w:val="auto"/>
        </w:rPr>
        <w:t>Stock Unit</w:t>
      </w:r>
    </w:p>
    <w:p>
      <w:pPr>
        <w:ind w:left="1160"/>
        <w:spacing w:after="0"/>
        <w:rPr>
          <w:sz w:val="20"/>
          <w:szCs w:val="20"/>
          <w:color w:val="auto"/>
        </w:rPr>
      </w:pPr>
      <w:r>
        <w:rPr>
          <w:rFonts w:ascii="Arial" w:cs="Arial" w:eastAsia="Arial" w:hAnsi="Arial"/>
          <w:sz w:val="21"/>
          <w:szCs w:val="21"/>
          <w:color w:val="auto"/>
        </w:rPr>
        <w:t>Agreement</w:t>
      </w:r>
    </w:p>
    <w:p>
      <w:pPr>
        <w:ind w:left="1160"/>
        <w:spacing w:after="0" w:line="238" w:lineRule="auto"/>
        <w:rPr>
          <w:sz w:val="20"/>
          <w:szCs w:val="20"/>
          <w:color w:val="auto"/>
        </w:rPr>
      </w:pPr>
      <w:r>
        <w:rPr>
          <w:rFonts w:ascii="Arial" w:cs="Arial" w:eastAsia="Arial" w:hAnsi="Arial"/>
          <w:sz w:val="21"/>
          <w:szCs w:val="21"/>
          <w:color w:val="auto"/>
        </w:rPr>
        <w:t>for Paul</w:t>
      </w:r>
    </w:p>
    <w:p>
      <w:pPr>
        <w:ind w:left="1160"/>
        <w:spacing w:after="0"/>
        <w:rPr>
          <w:sz w:val="20"/>
          <w:szCs w:val="20"/>
          <w:color w:val="auto"/>
        </w:rPr>
      </w:pPr>
      <w:r>
        <w:rPr>
          <w:rFonts w:ascii="Arial" w:cs="Arial" w:eastAsia="Arial" w:hAnsi="Arial"/>
          <w:sz w:val="21"/>
          <w:szCs w:val="21"/>
          <w:color w:val="auto"/>
        </w:rPr>
        <w:t>Miele ("Miele</w:t>
      </w:r>
    </w:p>
    <w:p>
      <w:pPr>
        <w:ind w:left="1160"/>
        <w:spacing w:after="0" w:line="238" w:lineRule="auto"/>
        <w:rPr>
          <w:sz w:val="20"/>
          <w:szCs w:val="20"/>
          <w:color w:val="auto"/>
        </w:rPr>
      </w:pPr>
      <w:r>
        <w:rPr>
          <w:rFonts w:ascii="Arial" w:cs="Arial" w:eastAsia="Arial" w:hAnsi="Arial"/>
          <w:sz w:val="21"/>
          <w:szCs w:val="21"/>
          <w:color w:val="auto"/>
        </w:rPr>
        <w:t>RSU</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21"/>
          <w:szCs w:val="21"/>
          <w:color w:val="auto"/>
        </w:rPr>
        <w:t>Award")</w:t>
      </w:r>
    </w:p>
    <w:p>
      <w:pPr>
        <w:spacing w:after="0" w:line="32" w:lineRule="exact"/>
        <w:rPr>
          <w:sz w:val="20"/>
          <w:szCs w:val="20"/>
          <w:color w:val="auto"/>
        </w:rPr>
      </w:pPr>
    </w:p>
    <w:tbl>
      <w:tblPr>
        <w:tblLayout w:type="fixed"/>
        <w:tblInd w:w="2540" w:type="dxa"/>
        <w:tblCellMar>
          <w:top w:w="0" w:type="dxa"/>
          <w:left w:w="0" w:type="dxa"/>
          <w:bottom w:w="0" w:type="dxa"/>
          <w:right w:w="0" w:type="dxa"/>
        </w:tblCellMar>
      </w:tblPr>
      <w:tr>
        <w:trPr>
          <w:trHeight w:val="281"/>
        </w:trPr>
        <w:tc>
          <w:tcPr>
            <w:tcW w:w="2940" w:type="dxa"/>
            <w:vAlign w:val="bottom"/>
          </w:tcPr>
          <w:p>
            <w:pPr>
              <w:jc w:val="right"/>
              <w:ind w:right="613"/>
              <w:spacing w:after="0"/>
              <w:rPr>
                <w:sz w:val="20"/>
                <w:szCs w:val="20"/>
                <w:color w:val="auto"/>
              </w:rPr>
            </w:pPr>
            <w:r>
              <w:rPr>
                <w:rFonts w:ascii="Arial" w:cs="Arial" w:eastAsia="Arial" w:hAnsi="Arial"/>
                <w:sz w:val="21"/>
                <w:szCs w:val="21"/>
                <w:color w:val="auto"/>
                <w:w w:val="99"/>
              </w:rPr>
              <w:t>Total Offering Amounts:</w:t>
            </w:r>
          </w:p>
        </w:tc>
        <w:tc>
          <w:tcPr>
            <w:tcW w:w="2900" w:type="dxa"/>
            <w:vAlign w:val="bottom"/>
          </w:tcPr>
          <w:p>
            <w:pPr>
              <w:jc w:val="right"/>
              <w:ind w:right="813"/>
              <w:spacing w:after="0"/>
              <w:rPr>
                <w:sz w:val="20"/>
                <w:szCs w:val="20"/>
                <w:color w:val="auto"/>
              </w:rPr>
            </w:pPr>
            <w:r>
              <w:rPr>
                <w:rFonts w:ascii="Arial" w:cs="Arial" w:eastAsia="Arial" w:hAnsi="Arial"/>
                <w:sz w:val="21"/>
                <w:szCs w:val="21"/>
                <w:color w:val="auto"/>
              </w:rPr>
              <w:t>$ 656,000.00</w:t>
            </w:r>
          </w:p>
        </w:tc>
        <w:tc>
          <w:tcPr>
            <w:tcW w:w="1620" w:type="dxa"/>
            <w:vAlign w:val="bottom"/>
          </w:tcPr>
          <w:p>
            <w:pPr>
              <w:jc w:val="right"/>
              <w:spacing w:after="0"/>
              <w:rPr>
                <w:sz w:val="20"/>
                <w:szCs w:val="20"/>
                <w:color w:val="auto"/>
              </w:rPr>
            </w:pPr>
            <w:r>
              <w:rPr>
                <w:rFonts w:ascii="Arial" w:cs="Arial" w:eastAsia="Arial" w:hAnsi="Arial"/>
                <w:sz w:val="21"/>
                <w:szCs w:val="21"/>
                <w:color w:val="auto"/>
              </w:rPr>
              <w:t>$ 90.58</w:t>
            </w:r>
          </w:p>
        </w:tc>
      </w:tr>
      <w:tr>
        <w:trPr>
          <w:trHeight w:val="294"/>
        </w:trPr>
        <w:tc>
          <w:tcPr>
            <w:tcW w:w="2940" w:type="dxa"/>
            <w:vAlign w:val="bottom"/>
          </w:tcPr>
          <w:p>
            <w:pPr>
              <w:jc w:val="right"/>
              <w:ind w:right="613"/>
              <w:spacing w:after="0"/>
              <w:rPr>
                <w:sz w:val="20"/>
                <w:szCs w:val="20"/>
                <w:color w:val="auto"/>
              </w:rPr>
            </w:pPr>
            <w:r>
              <w:rPr>
                <w:rFonts w:ascii="Arial" w:cs="Arial" w:eastAsia="Arial" w:hAnsi="Arial"/>
                <w:sz w:val="21"/>
                <w:szCs w:val="21"/>
                <w:color w:val="auto"/>
              </w:rPr>
              <w:t>Total Fee Offsets:</w:t>
            </w:r>
          </w:p>
        </w:tc>
        <w:tc>
          <w:tcPr>
            <w:tcW w:w="29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1"/>
                <w:szCs w:val="21"/>
                <w:color w:val="auto"/>
              </w:rPr>
              <w:t>$ 0.00</w:t>
            </w:r>
          </w:p>
        </w:tc>
      </w:tr>
      <w:tr>
        <w:trPr>
          <w:trHeight w:val="294"/>
        </w:trPr>
        <w:tc>
          <w:tcPr>
            <w:tcW w:w="2940" w:type="dxa"/>
            <w:vAlign w:val="bottom"/>
          </w:tcPr>
          <w:p>
            <w:pPr>
              <w:jc w:val="right"/>
              <w:ind w:right="613"/>
              <w:spacing w:after="0"/>
              <w:rPr>
                <w:sz w:val="20"/>
                <w:szCs w:val="20"/>
                <w:color w:val="auto"/>
              </w:rPr>
            </w:pPr>
            <w:r>
              <w:rPr>
                <w:rFonts w:ascii="Arial" w:cs="Arial" w:eastAsia="Arial" w:hAnsi="Arial"/>
                <w:sz w:val="21"/>
                <w:szCs w:val="21"/>
                <w:color w:val="auto"/>
              </w:rPr>
              <w:t>Net Fee Due:</w:t>
            </w:r>
          </w:p>
        </w:tc>
        <w:tc>
          <w:tcPr>
            <w:tcW w:w="29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1"/>
                <w:szCs w:val="21"/>
                <w:color w:val="auto"/>
              </w:rPr>
              <w:t>$ 90.58</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220" w:right="20"/>
        <w:spacing w:after="0" w:line="242" w:lineRule="auto"/>
        <w:rPr>
          <w:sz w:val="20"/>
          <w:szCs w:val="20"/>
          <w:color w:val="auto"/>
        </w:rPr>
      </w:pPr>
      <w:r>
        <w:rPr>
          <w:rFonts w:ascii="Arial" w:cs="Arial" w:eastAsia="Arial" w:hAnsi="Arial"/>
          <w:sz w:val="21"/>
          <w:szCs w:val="21"/>
          <w:color w:val="auto"/>
        </w:rPr>
        <w:t>Consists of shares of the Registrant's Common Stock underlying the Shin PSU Award, which were granted to the Registrant's Senior Vice President and Chief Legal Officer, as an inducement material to his acceptance of employment with the Registrant. Pursuant to Rule 416(a) of the Securities Act of 1933, as amended (the "Securities Act"), this Registration Statement shall also cover any additional shares of Common Stock which become issuable under the Shin PSU Award that are being registered pursuant to this Registration Statement by reason of any stock dividend, stock split, recapitalization or any other similar transaction effected without the receipt of consideration which results in an increase in the number of the Registrant's outstanding shares of Common Stock. The proposed maximum offering price per share of Common Stock is estimated solely for the purpose of calculating the registration fee pursuant to Rule 457(c) and (h) under the Securities Act, based on the average of the high and low prices of the Registrant's Common Stock as reported on the Nasdaq Global Select Market on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82550</wp:posOffset>
            </wp:positionV>
            <wp:extent cx="63874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77" w:lineRule="exact"/>
        <w:rPr>
          <w:sz w:val="20"/>
          <w:szCs w:val="20"/>
          <w:color w:val="auto"/>
        </w:rPr>
      </w:pPr>
    </w:p>
    <w:p>
      <w:pPr>
        <w:ind w:left="220" w:right="100"/>
        <w:spacing w:after="0" w:line="241" w:lineRule="auto"/>
        <w:rPr>
          <w:sz w:val="20"/>
          <w:szCs w:val="20"/>
          <w:color w:val="auto"/>
        </w:rPr>
      </w:pPr>
      <w:r>
        <w:rPr>
          <w:rFonts w:ascii="Arial" w:cs="Arial" w:eastAsia="Arial" w:hAnsi="Arial"/>
          <w:sz w:val="21"/>
          <w:szCs w:val="21"/>
          <w:color w:val="auto"/>
        </w:rPr>
        <w:t>Consists of shares of the Registrant's Common Stock underlying the Shin RSU Award, which were granted to the Registrant's Senior President and Chief Legal Officer, as an inducement material to his acceptance of employment with the Registrant. Pursuant to Rule 416(a) of the Securities Act, this Registration Statement shall also cover any additional shares of Common Stock which become issuable under the Shin RSU Award that are being registered pursuant to this Registration Statement by reason of any stock dividend, stock split, recapitalization or any other similar transaction effected without the receipt of consideration which results in an increase in the number of the Registrant's outstanding shares of Common Stock. The proposed maximum offering price per share of Common Stock is estimated solely for the purpose of calculating the registration fee pursuant to Rule 457(c) and</w:t>
      </w:r>
    </w:p>
    <w:p>
      <w:pPr>
        <w:spacing w:after="0" w:line="2" w:lineRule="exact"/>
        <w:rPr>
          <w:sz w:val="20"/>
          <w:szCs w:val="20"/>
          <w:color w:val="auto"/>
        </w:rPr>
      </w:pPr>
    </w:p>
    <w:p>
      <w:pPr>
        <w:ind w:left="220" w:right="740" w:firstLine="2"/>
        <w:spacing w:after="0" w:line="258" w:lineRule="auto"/>
        <w:tabs>
          <w:tab w:leader="none" w:pos="541" w:val="left"/>
        </w:tabs>
        <w:numPr>
          <w:ilvl w:val="0"/>
          <w:numId w:val="84"/>
        </w:numPr>
        <w:rPr>
          <w:rFonts w:ascii="Arial" w:cs="Arial" w:eastAsia="Arial" w:hAnsi="Arial"/>
          <w:sz w:val="21"/>
          <w:szCs w:val="21"/>
          <w:color w:val="auto"/>
        </w:rPr>
      </w:pPr>
      <w:r>
        <w:rPr>
          <w:rFonts w:ascii="Arial" w:cs="Arial" w:eastAsia="Arial" w:hAnsi="Arial"/>
          <w:sz w:val="21"/>
          <w:szCs w:val="21"/>
          <w:color w:val="auto"/>
        </w:rPr>
        <w:t>under the Securities Act, based on the average of the high and low prices of the Registrant's Common Stock as reported on the Nasdaq Global Select Market on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68580</wp:posOffset>
            </wp:positionV>
            <wp:extent cx="63874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77" w:lineRule="exact"/>
        <w:rPr>
          <w:sz w:val="20"/>
          <w:szCs w:val="20"/>
          <w:color w:val="auto"/>
        </w:rPr>
      </w:pPr>
    </w:p>
    <w:p>
      <w:pPr>
        <w:ind w:left="220"/>
        <w:spacing w:after="0" w:line="241" w:lineRule="auto"/>
        <w:rPr>
          <w:sz w:val="20"/>
          <w:szCs w:val="20"/>
          <w:color w:val="auto"/>
        </w:rPr>
      </w:pPr>
      <w:r>
        <w:rPr>
          <w:rFonts w:ascii="Arial" w:cs="Arial" w:eastAsia="Arial" w:hAnsi="Arial"/>
          <w:sz w:val="21"/>
          <w:szCs w:val="21"/>
          <w:color w:val="auto"/>
        </w:rPr>
        <w:t>Consists of shares of the Registrant's Common Stock underlying the Miele PSU Award, which were granted to the Registrant's Senior Vice President and Chief Commercial Officer, as an inducement material to his acceptance of employment with the Registrant. Pursuant to Rule 416(a) of the Securities Act, this Registration Statement shall also cover any additional shares of Common Stock which become issuable under the Miele PSU Award that are being registered pursuant to this Registration Statement by reason of any stock dividend, stock split, recapitalization or any other similar transaction effected without the receipt of consideration which results in an increase in the number of the Registrant's outstanding shares of Common Stock. The proposed maximum offering price per share of Common Stock is estimated solely for the purpose of calculating the registration fee pursuant to Rule 457(c) and</w:t>
      </w:r>
    </w:p>
    <w:p>
      <w:pPr>
        <w:spacing w:after="0" w:line="2" w:lineRule="exact"/>
        <w:rPr>
          <w:sz w:val="20"/>
          <w:szCs w:val="20"/>
          <w:color w:val="auto"/>
        </w:rPr>
      </w:pPr>
    </w:p>
    <w:p>
      <w:pPr>
        <w:ind w:left="220" w:right="740" w:firstLine="2"/>
        <w:spacing w:after="0" w:line="258" w:lineRule="auto"/>
        <w:tabs>
          <w:tab w:leader="none" w:pos="541" w:val="left"/>
        </w:tabs>
        <w:numPr>
          <w:ilvl w:val="0"/>
          <w:numId w:val="85"/>
        </w:numPr>
        <w:rPr>
          <w:rFonts w:ascii="Arial" w:cs="Arial" w:eastAsia="Arial" w:hAnsi="Arial"/>
          <w:sz w:val="21"/>
          <w:szCs w:val="21"/>
          <w:color w:val="auto"/>
        </w:rPr>
      </w:pPr>
      <w:r>
        <w:rPr>
          <w:rFonts w:ascii="Arial" w:cs="Arial" w:eastAsia="Arial" w:hAnsi="Arial"/>
          <w:sz w:val="21"/>
          <w:szCs w:val="21"/>
          <w:color w:val="auto"/>
        </w:rPr>
        <w:t>under the Securities Act, based on the average of the high and low prices of the Registrant's Common Stock as reported on the Nasdaq Global Select Market on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68580</wp:posOffset>
            </wp:positionV>
            <wp:extent cx="63874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77" w:lineRule="exact"/>
        <w:rPr>
          <w:sz w:val="20"/>
          <w:szCs w:val="20"/>
          <w:color w:val="auto"/>
        </w:rPr>
      </w:pPr>
    </w:p>
    <w:p>
      <w:pPr>
        <w:ind w:left="220" w:right="20"/>
        <w:spacing w:after="0" w:line="243" w:lineRule="auto"/>
        <w:rPr>
          <w:sz w:val="20"/>
          <w:szCs w:val="20"/>
          <w:color w:val="auto"/>
        </w:rPr>
      </w:pPr>
      <w:r>
        <w:rPr>
          <w:rFonts w:ascii="Arial" w:cs="Arial" w:eastAsia="Arial" w:hAnsi="Arial"/>
          <w:sz w:val="21"/>
          <w:szCs w:val="21"/>
          <w:color w:val="auto"/>
        </w:rPr>
        <w:t>Consists of shares of the Registrant's Common Stock underlying the Miele RSU Award, which were granted to the Registrant's Senior President and Chief Commercial Officer, as an inducement material to his acceptance of employment with the Registrant. Pursuant to Rule 416(a) of the Securities Act, this Registration Statement shall also cover any additional shares of Common Stock which become issuable under the Miele RSU Award that are being registered pursuant to this Registration Statement by reason of any stock dividend, stock split, recapitalization or any other similar transaction effected without the receipt of consideration which results in an increase in the number of the Registrant's outstanding shares of Common Stock. The proposed maximum offering price per share of Common Stock is estimated solely for the purpose of calculating the registration fee pursuant to Rule 457(c) and</w:t>
      </w:r>
    </w:p>
    <w:p>
      <w:pPr>
        <w:sectPr>
          <w:pgSz w:w="11900" w:h="16838" w:orient="portrait"/>
          <w:cols w:equalWidth="0" w:num="1">
            <w:col w:w="10000"/>
          </w:cols>
          <w:pgMar w:left="940" w:top="112" w:right="959" w:bottom="0" w:gutter="0" w:footer="0" w:header="0"/>
        </w:sectPr>
      </w:pPr>
    </w:p>
    <w:bookmarkStart w:id="53" w:name="page54"/>
    <w:bookmarkEnd w:id="53"/>
    <w:p>
      <w:pPr>
        <w:ind w:left="800" w:right="1400" w:firstLine="2"/>
        <w:spacing w:after="0" w:line="280" w:lineRule="auto"/>
        <w:tabs>
          <w:tab w:leader="none" w:pos="1121" w:val="left"/>
        </w:tabs>
        <w:numPr>
          <w:ilvl w:val="0"/>
          <w:numId w:val="86"/>
        </w:numPr>
        <w:rPr>
          <w:rFonts w:ascii="Arial" w:cs="Arial" w:eastAsia="Arial" w:hAnsi="Arial"/>
          <w:sz w:val="21"/>
          <w:szCs w:val="21"/>
          <w:color w:val="auto"/>
        </w:rPr>
      </w:pPr>
      <w:r>
        <w:rPr>
          <w:rFonts w:ascii="Arial" w:cs="Arial" w:eastAsia="Arial" w:hAnsi="Arial"/>
          <w:sz w:val="21"/>
          <w:szCs w:val="21"/>
          <w:color w:val="auto"/>
        </w:rPr>
        <w:t>under the Securities Act, based on the average of the high and low prices of the Registrant's Common Stock as reported on the Nasdaq Global Select Market on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54610</wp:posOffset>
            </wp:positionV>
            <wp:extent cx="63874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1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215"/>
        </w:trPr>
        <w:tc>
          <w:tcPr>
            <w:tcW w:w="8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1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lowerLetter"/>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1)"/>
      <w:numFmt w:val="decimal"/>
      <w:start w:val="1"/>
    </w:lvl>
  </w:abstractNum>
  <w:abstractNum w:abstractNumId="3">
    <w:nsid w:val="57E4CCA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7A6D8D3C"/>
    <w:multiLevelType w:val="hybridMultilevel"/>
    <w:lvl w:ilvl="0">
      <w:lvlJc w:val="left"/>
      <w:lvlText w:val="(%1)"/>
      <w:numFmt w:val="decimal"/>
      <w:start w:val="2"/>
    </w:lvl>
  </w:abstractNum>
  <w:abstractNum w:abstractNumId="5">
    <w:nsid w:val="4B588F54"/>
    <w:multiLevelType w:val="hybridMultilevel"/>
    <w:lvl w:ilvl="0">
      <w:lvlJc w:val="left"/>
      <w:lvlText w:val="(%1)"/>
      <w:numFmt w:val="lowerLetter"/>
      <w:start w:val="2"/>
    </w:lvl>
  </w:abstractNum>
  <w:abstractNum w:abstractNumId="6">
    <w:nsid w:val="542289EC"/>
    <w:multiLevelType w:val="hybridMultilevel"/>
    <w:lvl w:ilvl="0">
      <w:lvlJc w:val="left"/>
      <w:lvlText w:val="(%1)"/>
      <w:numFmt w:val="lowerRoman"/>
      <w:start w:val="2"/>
    </w:lvl>
  </w:abstractNum>
  <w:abstractNum w:abstractNumId="7">
    <w:nsid w:val="6DE91B18"/>
    <w:multiLevelType w:val="hybridMultilevel"/>
    <w:lvl w:ilvl="0">
      <w:lvlJc w:val="left"/>
      <w:lvlText w:val="(%1)"/>
      <w:numFmt w:val="lowerRoman"/>
      <w:start w:val="1"/>
    </w:lvl>
  </w:abstractNum>
  <w:abstractNum w:abstractNumId="8">
    <w:nsid w:val="38437FDB"/>
    <w:multiLevelType w:val="hybridMultilevel"/>
    <w:lvl w:ilvl="0">
      <w:lvlJc w:val="left"/>
      <w:lvlText w:val="(%1)"/>
      <w:numFmt w:val="lowerLetter"/>
      <w:start w:val="8"/>
    </w:lvl>
  </w:abstractNum>
  <w:abstractNum w:abstractNumId="9">
    <w:nsid w:val="7644A45C"/>
    <w:multiLevelType w:val="hybridMultilevel"/>
    <w:lvl w:ilvl="0">
      <w:lvlJc w:val="left"/>
      <w:lvlText w:val="(%1)"/>
      <w:numFmt w:val="lowerRoman"/>
      <w:start w:val="1"/>
    </w:lvl>
  </w:abstractNum>
  <w:abstractNum w:abstractNumId="10">
    <w:nsid w:val="32FFF90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1">
    <w:nsid w:val="684A481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2">
    <w:nsid w:val="579478FE"/>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61"/>
    </w:lvl>
  </w:abstractNum>
  <w:abstractNum w:abstractNumId="13">
    <w:nsid w:val="749ABB4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4">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5">
    <w:nsid w:val="1BA026F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
    <w:nsid w:val="79A1DEA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8">
    <w:nsid w:val="12E685F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9">
    <w:nsid w:val="70C6A529"/>
    <w:multiLevelType w:val="hybridMultilevel"/>
    <w:lvl w:ilvl="0">
      <w:lvlJc w:val="left"/>
      <w:lvlText w:val="%1"/>
      <w:numFmt w:val="decimal"/>
      <w:start w:val="1"/>
    </w:lvl>
    <w:lvl w:ilvl="1">
      <w:lvlJc w:val="left"/>
      <w:lvlText w:val="(%2)"/>
      <w:numFmt w:val="lowerLetter"/>
      <w:start w:val="3"/>
    </w:lvl>
  </w:abstractNum>
  <w:abstractNum w:abstractNumId="20">
    <w:nsid w:val="520EEDD1"/>
    <w:multiLevelType w:val="hybridMultilevel"/>
    <w:lvl w:ilvl="0">
      <w:lvlJc w:val="left"/>
      <w:lvlText w:val="%1."/>
      <w:numFmt w:val="decimal"/>
      <w:start w:val="12"/>
    </w:lvl>
    <w:lvl w:ilvl="1">
      <w:lvlJc w:val="left"/>
      <w:lvlText w:val="%2"/>
      <w:numFmt w:val="lowerLetter"/>
      <w:start w:val="1"/>
    </w:lvl>
  </w:abstractNum>
  <w:abstractNum w:abstractNumId="21">
    <w:nsid w:val="374A3FE6"/>
    <w:multiLevelType w:val="hybridMultilevel"/>
    <w:lvl w:ilvl="0">
      <w:lvlJc w:val="left"/>
      <w:lvlText w:val="%1."/>
      <w:numFmt w:val="decimal"/>
      <w:start w:val="15"/>
    </w:lvl>
    <w:lvl w:ilvl="1">
      <w:lvlJc w:val="left"/>
      <w:lvlText w:val="(%2)"/>
      <w:numFmt w:val="lowerLetter"/>
      <w:start w:val="1"/>
    </w:lvl>
  </w:abstractNum>
  <w:abstractNum w:abstractNumId="22">
    <w:nsid w:val="4F4EF005"/>
    <w:multiLevelType w:val="hybridMultilevel"/>
    <w:lvl w:ilvl="0">
      <w:lvlJc w:val="left"/>
      <w:lvlText w:val="%1."/>
      <w:numFmt w:val="decimal"/>
      <w:start w:val="16"/>
    </w:lvl>
    <w:lvl w:ilvl="1">
      <w:lvlJc w:val="left"/>
      <w:lvlText w:val="(%2)"/>
      <w:numFmt w:val="lowerLetter"/>
      <w:start w:val="1"/>
    </w:lvl>
  </w:abstractNum>
  <w:abstractNum w:abstractNumId="23">
    <w:nsid w:val="23F9C13C"/>
    <w:multiLevelType w:val="hybridMultilevel"/>
    <w:lvl w:ilvl="0">
      <w:lvlJc w:val="left"/>
      <w:lvlText w:val="%1"/>
      <w:numFmt w:val="decimal"/>
      <w:start w:val="1"/>
    </w:lvl>
    <w:lvl w:ilvl="1">
      <w:lvlJc w:val="left"/>
      <w:lvlText w:val="(%2)"/>
      <w:numFmt w:val="lowerLetter"/>
      <w:start w:val="7"/>
    </w:lvl>
  </w:abstractNum>
  <w:abstractNum w:abstractNumId="24">
    <w:nsid w:val="649BB77C"/>
    <w:multiLevelType w:val="hybridMultilevel"/>
    <w:lvl w:ilvl="0">
      <w:lvlJc w:val="left"/>
      <w:lvlText w:val="%1."/>
      <w:numFmt w:val="decimal"/>
      <w:start w:val="18"/>
    </w:lvl>
    <w:lvl w:ilvl="1">
      <w:lvlJc w:val="left"/>
      <w:lvlText w:val="(%2)"/>
      <w:numFmt w:val="lowerLetter"/>
      <w:start w:val="1"/>
    </w:lvl>
  </w:abstractNum>
  <w:abstractNum w:abstractNumId="25">
    <w:nsid w:val="275AC794"/>
    <w:multiLevelType w:val="hybridMultilevel"/>
    <w:lvl w:ilvl="0">
      <w:lvlJc w:val="left"/>
      <w:lvlText w:val="%1."/>
      <w:numFmt w:val="decimal"/>
      <w:start w:val="25"/>
    </w:lvl>
    <w:lvl w:ilvl="1">
      <w:lvlJc w:val="left"/>
      <w:lvlText w:val="*"/>
      <w:numFmt w:val="bullet"/>
      <w:start w:val="1"/>
    </w:lvl>
  </w:abstractNum>
  <w:abstractNum w:abstractNumId="26">
    <w:nsid w:val="39386575"/>
    <w:multiLevelType w:val="hybridMultilevel"/>
    <w:lvl w:ilvl="0">
      <w:lvlJc w:val="left"/>
      <w:lvlText w:val="(%1)"/>
      <w:numFmt w:val="lowerRoman"/>
      <w:start w:val="1"/>
    </w:lvl>
  </w:abstractNum>
  <w:abstractNum w:abstractNumId="27">
    <w:nsid w:val="1CF10FD8"/>
    <w:multiLevelType w:val="hybridMultilevel"/>
    <w:lvl w:ilvl="0">
      <w:lvlJc w:val="left"/>
      <w:lvlText w:val="(%1)"/>
      <w:numFmt w:val="lowerLetter"/>
      <w:start w:val="8"/>
    </w:lvl>
  </w:abstractNum>
  <w:abstractNum w:abstractNumId="28">
    <w:nsid w:val="180115BE"/>
    <w:multiLevelType w:val="hybridMultilevel"/>
    <w:lvl w:ilvl="0">
      <w:lvlJc w:val="left"/>
      <w:lvlText w:val="(%1)"/>
      <w:numFmt w:val="lowerRoman"/>
      <w:start w:val="1"/>
    </w:lvl>
  </w:abstractNum>
  <w:abstractNum w:abstractNumId="29">
    <w:nsid w:val="235BA86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0">
    <w:nsid w:val="47398C8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1">
    <w:nsid w:val="354FE9F9"/>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61"/>
    </w:lvl>
  </w:abstractNum>
  <w:abstractNum w:abstractNumId="32">
    <w:nsid w:val="15B5AF5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33">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4">
    <w:nsid w:val="D34B6A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5">
    <w:nsid w:val="10233C9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6">
    <w:nsid w:val="3F6AB60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7">
    <w:nsid w:val="6157409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38">
    <w:nsid w:val="7E0C57B1"/>
    <w:multiLevelType w:val="hybridMultilevel"/>
    <w:lvl w:ilvl="0">
      <w:lvlJc w:val="left"/>
      <w:lvlText w:val="%1"/>
      <w:numFmt w:val="decimal"/>
      <w:start w:val="1"/>
    </w:lvl>
    <w:lvl w:ilvl="1">
      <w:lvlJc w:val="left"/>
      <w:lvlText w:val="(%2)"/>
      <w:numFmt w:val="lowerLetter"/>
      <w:start w:val="3"/>
    </w:lvl>
  </w:abstractNum>
  <w:abstractNum w:abstractNumId="39">
    <w:nsid w:val="77AE35EB"/>
    <w:multiLevelType w:val="hybridMultilevel"/>
    <w:lvl w:ilvl="0">
      <w:lvlJc w:val="left"/>
      <w:lvlText w:val="%1."/>
      <w:numFmt w:val="decimal"/>
      <w:start w:val="12"/>
    </w:lvl>
    <w:lvl w:ilvl="1">
      <w:lvlJc w:val="left"/>
      <w:lvlText w:val="%2"/>
      <w:numFmt w:val="lowerLetter"/>
      <w:start w:val="1"/>
    </w:lvl>
  </w:abstractNum>
  <w:abstractNum w:abstractNumId="40">
    <w:nsid w:val="579BE4F1"/>
    <w:multiLevelType w:val="hybridMultilevel"/>
    <w:lvl w:ilvl="0">
      <w:lvlJc w:val="left"/>
      <w:lvlText w:val="%1."/>
      <w:numFmt w:val="decimal"/>
      <w:start w:val="15"/>
    </w:lvl>
    <w:lvl w:ilvl="1">
      <w:lvlJc w:val="left"/>
      <w:lvlText w:val="(%2)"/>
      <w:numFmt w:val="lowerLetter"/>
      <w:start w:val="1"/>
    </w:lvl>
  </w:abstractNum>
  <w:abstractNum w:abstractNumId="41">
    <w:nsid w:val="310C50B3"/>
    <w:multiLevelType w:val="hybridMultilevel"/>
    <w:lvl w:ilvl="0">
      <w:lvlJc w:val="left"/>
      <w:lvlText w:val="%1."/>
      <w:numFmt w:val="decimal"/>
      <w:start w:val="16"/>
    </w:lvl>
    <w:lvl w:ilvl="1">
      <w:lvlJc w:val="left"/>
      <w:lvlText w:val="(%2)"/>
      <w:numFmt w:val="lowerLetter"/>
      <w:start w:val="1"/>
    </w:lvl>
  </w:abstractNum>
  <w:abstractNum w:abstractNumId="42">
    <w:nsid w:val="5FF87E05"/>
    <w:multiLevelType w:val="hybridMultilevel"/>
    <w:lvl w:ilvl="0">
      <w:lvlJc w:val="left"/>
      <w:lvlText w:val="%1"/>
      <w:numFmt w:val="decimal"/>
      <w:start w:val="1"/>
    </w:lvl>
    <w:lvl w:ilvl="1">
      <w:lvlJc w:val="left"/>
      <w:lvlText w:val="(%2)"/>
      <w:numFmt w:val="lowerLetter"/>
      <w:start w:val="7"/>
    </w:lvl>
  </w:abstractNum>
  <w:abstractNum w:abstractNumId="43">
    <w:nsid w:val="2F305DEF"/>
    <w:multiLevelType w:val="hybridMultilevel"/>
    <w:lvl w:ilvl="0">
      <w:lvlJc w:val="left"/>
      <w:lvlText w:val="%1."/>
      <w:numFmt w:val="decimal"/>
      <w:start w:val="18"/>
    </w:lvl>
    <w:lvl w:ilvl="1">
      <w:lvlJc w:val="left"/>
      <w:lvlText w:val="(%2)"/>
      <w:numFmt w:val="lowerLetter"/>
      <w:start w:val="1"/>
    </w:lvl>
  </w:abstractNum>
  <w:abstractNum w:abstractNumId="44">
    <w:nsid w:val="25A70BF7"/>
    <w:multiLevelType w:val="hybridMultilevel"/>
    <w:lvl w:ilvl="0">
      <w:lvlJc w:val="left"/>
      <w:lvlText w:val="%1."/>
      <w:numFmt w:val="decimal"/>
      <w:start w:val="25"/>
    </w:lvl>
    <w:lvl w:ilvl="1">
      <w:lvlJc w:val="left"/>
      <w:lvlText w:val="*"/>
      <w:numFmt w:val="bullet"/>
      <w:start w:val="1"/>
    </w:lvl>
  </w:abstractNum>
  <w:abstractNum w:abstractNumId="45">
    <w:nsid w:val="1DBABF00"/>
    <w:multiLevelType w:val="hybridMultilevel"/>
    <w:lvl w:ilvl="0">
      <w:lvlJc w:val="left"/>
      <w:lvlText w:val="(%1)"/>
      <w:numFmt w:val="lowerRoman"/>
      <w:start w:val="1"/>
    </w:lvl>
  </w:abstractNum>
  <w:abstractNum w:abstractNumId="46">
    <w:nsid w:val="4AD084E9"/>
    <w:multiLevelType w:val="hybridMultilevel"/>
    <w:lvl w:ilvl="0">
      <w:lvlJc w:val="left"/>
      <w:lvlText w:val="(%1)"/>
      <w:numFmt w:val="lowerLetter"/>
      <w:start w:val="8"/>
    </w:lvl>
  </w:abstractNum>
  <w:abstractNum w:abstractNumId="47">
    <w:nsid w:val="1F48EAA1"/>
    <w:multiLevelType w:val="hybridMultilevel"/>
    <w:lvl w:ilvl="0">
      <w:lvlJc w:val="left"/>
      <w:lvlText w:val="(%1)"/>
      <w:numFmt w:val="lowerRoman"/>
      <w:start w:val="1"/>
    </w:lvl>
  </w:abstractNum>
  <w:abstractNum w:abstractNumId="48">
    <w:nsid w:val="1381823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49">
    <w:nsid w:val="5DB70AE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50">
    <w:nsid w:val="100F8FCA"/>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61"/>
    </w:lvl>
  </w:abstractNum>
  <w:abstractNum w:abstractNumId="51">
    <w:nsid w:val="6590700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52">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3">
    <w:nsid w:val="5F5E7FD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4">
    <w:nsid w:val="98A314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5">
    <w:nsid w:val="799D02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6">
    <w:nsid w:val="6B9476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57">
    <w:nsid w:val="42C296BD"/>
    <w:multiLevelType w:val="hybridMultilevel"/>
    <w:lvl w:ilvl="0">
      <w:lvlJc w:val="left"/>
      <w:lvlText w:val="%1"/>
      <w:numFmt w:val="decimal"/>
      <w:start w:val="1"/>
    </w:lvl>
    <w:lvl w:ilvl="1">
      <w:lvlJc w:val="left"/>
      <w:lvlText w:val="(%2)"/>
      <w:numFmt w:val="lowerLetter"/>
      <w:start w:val="3"/>
    </w:lvl>
  </w:abstractNum>
  <w:abstractNum w:abstractNumId="58">
    <w:nsid w:val="168E121F"/>
    <w:multiLevelType w:val="hybridMultilevel"/>
    <w:lvl w:ilvl="0">
      <w:lvlJc w:val="left"/>
      <w:lvlText w:val="%1."/>
      <w:numFmt w:val="decimal"/>
      <w:start w:val="12"/>
    </w:lvl>
    <w:lvl w:ilvl="1">
      <w:lvlJc w:val="left"/>
      <w:lvlText w:val="%2"/>
      <w:numFmt w:val="lowerLetter"/>
      <w:start w:val="1"/>
    </w:lvl>
  </w:abstractNum>
  <w:abstractNum w:abstractNumId="59">
    <w:nsid w:val="1EBA5D23"/>
    <w:multiLevelType w:val="hybridMultilevel"/>
    <w:lvl w:ilvl="0">
      <w:lvlJc w:val="left"/>
      <w:lvlText w:val="%1."/>
      <w:numFmt w:val="decimal"/>
      <w:start w:val="15"/>
    </w:lvl>
    <w:lvl w:ilvl="1">
      <w:lvlJc w:val="left"/>
      <w:lvlText w:val="(%2)"/>
      <w:numFmt w:val="lowerLetter"/>
      <w:start w:val="1"/>
    </w:lvl>
  </w:abstractNum>
  <w:abstractNum w:abstractNumId="60">
    <w:nsid w:val="661E3F1E"/>
    <w:multiLevelType w:val="hybridMultilevel"/>
    <w:lvl w:ilvl="0">
      <w:lvlJc w:val="left"/>
      <w:lvlText w:val="%1."/>
      <w:numFmt w:val="decimal"/>
      <w:start w:val="16"/>
    </w:lvl>
    <w:lvl w:ilvl="1">
      <w:lvlJc w:val="left"/>
      <w:lvlText w:val="(%2)"/>
      <w:numFmt w:val="lowerLetter"/>
      <w:start w:val="1"/>
    </w:lvl>
  </w:abstractNum>
  <w:abstractNum w:abstractNumId="61">
    <w:nsid w:val="5DC79EA8"/>
    <w:multiLevelType w:val="hybridMultilevel"/>
    <w:lvl w:ilvl="0">
      <w:lvlJc w:val="left"/>
      <w:lvlText w:val="%1"/>
      <w:numFmt w:val="decimal"/>
      <w:start w:val="1"/>
    </w:lvl>
    <w:lvl w:ilvl="1">
      <w:lvlJc w:val="left"/>
      <w:lvlText w:val="(%2)"/>
      <w:numFmt w:val="lowerLetter"/>
      <w:start w:val="6"/>
    </w:lvl>
  </w:abstractNum>
  <w:abstractNum w:abstractNumId="62">
    <w:nsid w:val="540A471C"/>
    <w:multiLevelType w:val="hybridMultilevel"/>
    <w:lvl w:ilvl="0">
      <w:lvlJc w:val="left"/>
      <w:lvlText w:val="%1."/>
      <w:numFmt w:val="decimal"/>
      <w:start w:val="18"/>
    </w:lvl>
    <w:lvl w:ilvl="1">
      <w:lvlJc w:val="left"/>
      <w:lvlText w:val="(%2)"/>
      <w:numFmt w:val="lowerLetter"/>
      <w:start w:val="1"/>
    </w:lvl>
  </w:abstractNum>
  <w:abstractNum w:abstractNumId="63">
    <w:nsid w:val="7BD3EE7B"/>
    <w:multiLevelType w:val="hybridMultilevel"/>
    <w:lvl w:ilvl="0">
      <w:lvlJc w:val="left"/>
      <w:lvlText w:val="%1."/>
      <w:numFmt w:val="decimal"/>
      <w:start w:val="24"/>
    </w:lvl>
    <w:lvl w:ilvl="1">
      <w:lvlJc w:val="left"/>
      <w:lvlText w:val="*"/>
      <w:numFmt w:val="bullet"/>
      <w:start w:val="1"/>
    </w:lvl>
  </w:abstractNum>
  <w:abstractNum w:abstractNumId="64">
    <w:nsid w:val="51D9C564"/>
    <w:multiLevelType w:val="hybridMultilevel"/>
    <w:lvl w:ilvl="0">
      <w:lvlJc w:val="left"/>
      <w:lvlText w:val="(%1)"/>
      <w:numFmt w:val="lowerRoman"/>
      <w:start w:val="1"/>
    </w:lvl>
  </w:abstractNum>
  <w:abstractNum w:abstractNumId="65">
    <w:nsid w:val="613EFDC5"/>
    <w:multiLevelType w:val="hybridMultilevel"/>
    <w:lvl w:ilvl="0">
      <w:lvlJc w:val="left"/>
      <w:lvlText w:val="(%1)"/>
      <w:numFmt w:val="lowerLetter"/>
      <w:start w:val="8"/>
    </w:lvl>
  </w:abstractNum>
  <w:abstractNum w:abstractNumId="66">
    <w:nsid w:val="BF72B14"/>
    <w:multiLevelType w:val="hybridMultilevel"/>
    <w:lvl w:ilvl="0">
      <w:lvlJc w:val="left"/>
      <w:lvlText w:val="(%1)"/>
      <w:numFmt w:val="lowerRoman"/>
      <w:start w:val="1"/>
    </w:lvl>
  </w:abstractNum>
  <w:abstractNum w:abstractNumId="67">
    <w:nsid w:val="11447B7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68">
    <w:nsid w:val="42963E5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69">
    <w:nsid w:val="A0382C5"/>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61"/>
    </w:lvl>
  </w:abstractNum>
  <w:abstractNum w:abstractNumId="70">
    <w:nsid w:val="8F2B15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71">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2">
    <w:nsid w:val="3B0FD37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3">
    <w:nsid w:val="68EB2F6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4">
    <w:nsid w:val="496281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75">
    <w:nsid w:val="60B6DF7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76">
    <w:nsid w:val="6A5EE64"/>
    <w:multiLevelType w:val="hybridMultilevel"/>
    <w:lvl w:ilvl="0">
      <w:lvlJc w:val="left"/>
      <w:lvlText w:val="%1"/>
      <w:numFmt w:val="decimal"/>
      <w:start w:val="1"/>
    </w:lvl>
    <w:lvl w:ilvl="1">
      <w:lvlJc w:val="left"/>
      <w:lvlText w:val="(%2)"/>
      <w:numFmt w:val="lowerLetter"/>
      <w:start w:val="3"/>
    </w:lvl>
  </w:abstractNum>
  <w:abstractNum w:abstractNumId="77">
    <w:nsid w:val="14330624"/>
    <w:multiLevelType w:val="hybridMultilevel"/>
    <w:lvl w:ilvl="0">
      <w:lvlJc w:val="left"/>
      <w:lvlText w:val="%1."/>
      <w:numFmt w:val="decimal"/>
      <w:start w:val="12"/>
    </w:lvl>
    <w:lvl w:ilvl="1">
      <w:lvlJc w:val="left"/>
      <w:lvlText w:val="%2"/>
      <w:numFmt w:val="lowerLetter"/>
      <w:start w:val="1"/>
    </w:lvl>
  </w:abstractNum>
  <w:abstractNum w:abstractNumId="78">
    <w:nsid w:val="7FFFCA11"/>
    <w:multiLevelType w:val="hybridMultilevel"/>
    <w:lvl w:ilvl="0">
      <w:lvlJc w:val="left"/>
      <w:lvlText w:val="%1."/>
      <w:numFmt w:val="decimal"/>
      <w:start w:val="15"/>
    </w:lvl>
    <w:lvl w:ilvl="1">
      <w:lvlJc w:val="left"/>
      <w:lvlText w:val="(%2)"/>
      <w:numFmt w:val="lowerLetter"/>
      <w:start w:val="1"/>
    </w:lvl>
  </w:abstractNum>
  <w:abstractNum w:abstractNumId="79">
    <w:nsid w:val="1A27709E"/>
    <w:multiLevelType w:val="hybridMultilevel"/>
    <w:lvl w:ilvl="0">
      <w:lvlJc w:val="left"/>
      <w:lvlText w:val="%1."/>
      <w:numFmt w:val="decimal"/>
      <w:start w:val="16"/>
    </w:lvl>
    <w:lvl w:ilvl="1">
      <w:lvlJc w:val="left"/>
      <w:lvlText w:val="(%2)"/>
      <w:numFmt w:val="lowerLetter"/>
      <w:start w:val="1"/>
    </w:lvl>
  </w:abstractNum>
  <w:abstractNum w:abstractNumId="80">
    <w:nsid w:val="71EA1109"/>
    <w:multiLevelType w:val="hybridMultilevel"/>
    <w:lvl w:ilvl="0">
      <w:lvlJc w:val="left"/>
      <w:lvlText w:val="%1"/>
      <w:numFmt w:val="decimal"/>
      <w:start w:val="1"/>
    </w:lvl>
    <w:lvl w:ilvl="1">
      <w:lvlJc w:val="left"/>
      <w:lvlText w:val="(%2)"/>
      <w:numFmt w:val="lowerLetter"/>
      <w:start w:val="6"/>
    </w:lvl>
  </w:abstractNum>
  <w:abstractNum w:abstractNumId="81">
    <w:nsid w:val="100F59DC"/>
    <w:multiLevelType w:val="hybridMultilevel"/>
    <w:lvl w:ilvl="0">
      <w:lvlJc w:val="left"/>
      <w:lvlText w:val="%1."/>
      <w:numFmt w:val="decimal"/>
      <w:start w:val="18"/>
    </w:lvl>
    <w:lvl w:ilvl="1">
      <w:lvlJc w:val="left"/>
      <w:lvlText w:val="(%2)"/>
      <w:numFmt w:val="lowerLetter"/>
      <w:start w:val="1"/>
    </w:lvl>
  </w:abstractNum>
  <w:abstractNum w:abstractNumId="82">
    <w:nsid w:val="7FB7E0AA"/>
    <w:multiLevelType w:val="hybridMultilevel"/>
    <w:lvl w:ilvl="0">
      <w:lvlJc w:val="left"/>
      <w:lvlText w:val="%1."/>
      <w:numFmt w:val="decimal"/>
      <w:start w:val="24"/>
    </w:lvl>
    <w:lvl w:ilvl="1">
      <w:lvlJc w:val="left"/>
      <w:lvlText w:val="*"/>
      <w:numFmt w:val="bullet"/>
      <w:start w:val="1"/>
    </w:lvl>
  </w:abstractNum>
  <w:abstractNum w:abstractNumId="83">
    <w:nsid w:val="6EB5BD4"/>
    <w:multiLevelType w:val="hybridMultilevel"/>
    <w:lvl w:ilvl="0">
      <w:lvlJc w:val="left"/>
      <w:lvlText w:val="(%1)"/>
      <w:numFmt w:val="lowerLetter"/>
      <w:start w:val="8"/>
    </w:lvl>
  </w:abstractNum>
  <w:abstractNum w:abstractNumId="84">
    <w:nsid w:val="6F6DD9AC"/>
    <w:multiLevelType w:val="hybridMultilevel"/>
    <w:lvl w:ilvl="0">
      <w:lvlJc w:val="left"/>
      <w:lvlText w:val="(%1)"/>
      <w:numFmt w:val="lowerLetter"/>
      <w:start w:val="8"/>
    </w:lvl>
  </w:abstractNum>
  <w:abstractNum w:abstractNumId="85">
    <w:nsid w:val="94211F2"/>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14" Type="http://schemas.openxmlformats.org/officeDocument/2006/relationships/hyperlink" Target="http://www.sec.gov/ix?doc=/Archives/edgar/data/0001138723/000119312525191242/aray-20250630.htm" TargetMode="External"/><Relationship Id="rId15" Type="http://schemas.openxmlformats.org/officeDocument/2006/relationships/hyperlink" Target="http://www.sec.gov/ix?doc=/Archives/edgar/data/0001138723/000143774926004219/aray20260630_10ka.htm" TargetMode="External"/><Relationship Id="rId16" Type="http://schemas.openxmlformats.org/officeDocument/2006/relationships/hyperlink" Target="http://www.sec.gov/ix?doc=/Archives/edgar/data/1138723/000114036125036983/ny20050810x1_def14a.htm" TargetMode="External"/><Relationship Id="rId17" Type="http://schemas.openxmlformats.org/officeDocument/2006/relationships/hyperlink" Target="http://www.sec.gov/ix?doc=/Archives/edgar/data/0001138723/000119312525266985/aray-20250930.htm" TargetMode="External"/><Relationship Id="rId18" Type="http://schemas.openxmlformats.org/officeDocument/2006/relationships/hyperlink" Target="http://www.sec.gov/ix?doc=/Archives/edgar/data/0001138723/000143774926004220/aray20250930_10qa.htm" TargetMode="External"/><Relationship Id="rId19" Type="http://schemas.openxmlformats.org/officeDocument/2006/relationships/hyperlink" Target="http://www.sec.gov/ix?doc=/Archives/edgar/data/0001138723/000143774926015199/aray20260331_10q.htm" TargetMode="External"/><Relationship Id="rId20" Type="http://schemas.openxmlformats.org/officeDocument/2006/relationships/hyperlink" Target="http://www.sec.gov/ix?doc=/Archives/edgar/data/0001138723/000119312525186407/aray-20250819.htm" TargetMode="External"/><Relationship Id="rId21" Type="http://schemas.openxmlformats.org/officeDocument/2006/relationships/hyperlink" Target="http://www.sec.gov/ix?doc=/Archives/edgar/data/0001138723/000119312525209044/aray-20250919.htm" TargetMode="External"/><Relationship Id="rId22" Type="http://schemas.openxmlformats.org/officeDocument/2006/relationships/hyperlink" Target="http://www.sec.gov/ix?doc=/Archives/edgar/data/0001138723/000143774926009046/aray20260316_8k.htm" TargetMode="External"/><Relationship Id="rId23" Type="http://schemas.openxmlformats.org/officeDocument/2006/relationships/hyperlink" Target="http://www.sec.gov/ix?doc=/Archives/edgar/data/0001138723/000143774926011547/aray20260402c_8k.htm" TargetMode="External"/><Relationship Id="rId24" Type="http://schemas.openxmlformats.org/officeDocument/2006/relationships/hyperlink" Target="http://www.sec.gov/ix?doc=/Archives/edgar/data/0001138723/000143774926013543/aray20260427_8k.htm" TargetMode="External"/><Relationship Id="rId25" Type="http://schemas.openxmlformats.org/officeDocument/2006/relationships/hyperlink" Target="http://www.sec.gov/Archives/edgar/data/1138723/000110465907007766/a07-3619_18a12b.htm" TargetMode="External"/><Relationship Id="rId26" Type="http://schemas.openxmlformats.org/officeDocument/2006/relationships/hyperlink" Target="http://www.sec.gov/Archives/edgar/data/1138723/000104746907000633/a2175815z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2026-05-29T16:39:33Z</dcterms:created>
  <dcterms:modified xsi:type="dcterms:W3CDTF">2026-05-29T16:39:33Z</dcterms:modified>
</cp:coreProperties>
</file>