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38" w:orient="portrait"/>
          <w:cols w:equalWidth="0" w:num="1">
            <w:col w:w="10139"/>
          </w:cols>
          <w:pgMar w:left="320" w:top="416" w:right="1440" w:bottom="1440" w:gutter="0" w:footer="0" w:header="0"/>
        </w:sectPr>
      </w:pPr>
    </w:p>
    <w:p>
      <w:pPr>
        <w:spacing w:after="0" w:line="21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both"/>
        <w:spacing w:after="0" w:line="260"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10-K 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10-D </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60"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N-CEN </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both"/>
        <w:ind w:hanging="2"/>
        <w:spacing w:after="0" w:line="259" w:lineRule="exact"/>
        <w:rPr>
          <w:sz w:val="20"/>
          <w:szCs w:val="20"/>
          <w:color w:val="auto"/>
        </w:rPr>
      </w:pPr>
      <w:r>
        <w:rPr>
          <w:rFonts w:ascii="Times New Roman" w:cs="Times New Roman" w:eastAsia="Times New Roman" w:hAnsi="Times New Roman"/>
          <w:sz w:val="18"/>
          <w:szCs w:val="18"/>
          <w:color w:val="auto"/>
        </w:rPr>
        <w:t>Form 11-K </w:t>
      </w:r>
      <w:r>
        <w:rPr>
          <w:sz w:val="20"/>
          <w:szCs w:val="20"/>
          <w:color w:val="auto"/>
        </w:rPr>
        <w:t xml:space="preserve"> </w:t>
      </w:r>
      <w:r>
        <w:rPr>
          <w:rFonts w:ascii="MS PGothic" w:cs="MS PGothic" w:eastAsia="MS PGothic" w:hAnsi="MS PGothic"/>
          <w:sz w:val="18"/>
          <w:szCs w:val="18"/>
          <w:color w:val="auto"/>
        </w:rPr>
        <w:t>☒ ☐</w:t>
      </w:r>
      <w:r>
        <w:rPr>
          <w:rFonts w:ascii="Times New Roman" w:cs="Times New Roman" w:eastAsia="Times New Roman" w:hAnsi="Times New Roman"/>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441" w:lineRule="exact"/>
        <w:rPr>
          <w:sz w:val="24"/>
          <w:szCs w:val="24"/>
          <w:color w:val="auto"/>
        </w:rPr>
      </w:pPr>
    </w:p>
    <w:p>
      <w:pPr>
        <w:sectPr>
          <w:pgSz w:w="11900" w:h="16838" w:orient="portrait"/>
          <w:cols w:equalWidth="0" w:num="5">
            <w:col w:w="4060" w:space="100"/>
            <w:col w:w="1060" w:space="180"/>
            <w:col w:w="1380" w:space="40"/>
            <w:col w:w="1180" w:space="40"/>
            <w:col w:w="2099"/>
          </w:cols>
          <w:pgMar w:left="320" w:top="416" w:right="1440" w:bottom="1440" w:gutter="0" w:footer="0" w:header="0"/>
          <w:type w:val="continuous"/>
        </w:sectPr>
      </w:pPr>
    </w:p>
    <w:p>
      <w:pPr>
        <w:ind w:left="4160"/>
        <w:spacing w:after="0"/>
        <w:rPr>
          <w:sz w:val="20"/>
          <w:szCs w:val="20"/>
          <w:color w:val="auto"/>
        </w:rPr>
      </w:pPr>
      <w:r>
        <w:rPr>
          <w:rFonts w:ascii="Times New Roman" w:cs="Times New Roman" w:eastAsia="Times New Roman" w:hAnsi="Times New Roman"/>
          <w:sz w:val="18"/>
          <w:szCs w:val="18"/>
          <w:color w:val="auto"/>
        </w:rPr>
        <w:t>For Period Ended: December 31, 2025</w:t>
      </w:r>
    </w:p>
    <w:p>
      <w:pPr>
        <w:spacing w:after="0" w:line="225" w:lineRule="exact"/>
        <w:rPr>
          <w:sz w:val="24"/>
          <w:szCs w:val="24"/>
          <w:color w:val="auto"/>
        </w:rPr>
      </w:pPr>
    </w:p>
    <w:p>
      <w:pPr>
        <w:ind w:left="4360" w:hanging="194"/>
        <w:spacing w:after="0"/>
        <w:tabs>
          <w:tab w:leader="none" w:pos="4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4360" w:hanging="194"/>
        <w:spacing w:after="0"/>
        <w:tabs>
          <w:tab w:leader="none" w:pos="4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4360" w:hanging="194"/>
        <w:spacing w:after="0"/>
        <w:tabs>
          <w:tab w:leader="none" w:pos="4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4360" w:hanging="194"/>
        <w:spacing w:after="0"/>
        <w:tabs>
          <w:tab w:leader="none" w:pos="4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For the Transition Period Ended: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398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398780"/>
                    </a:xfrm>
                    <a:prstGeom prst="rect">
                      <a:avLst/>
                    </a:prstGeom>
                    <a:noFill/>
                  </pic:spPr>
                </pic:pic>
              </a:graphicData>
            </a:graphic>
          </wp:anchor>
        </w:drawing>
      </w:r>
    </w:p>
    <w:p>
      <w:pPr>
        <w:spacing w:after="0" w:line="2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 INFORMATION</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Accuray Incorporated</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0" w:lineRule="exact"/>
        <w:rPr>
          <w:sz w:val="24"/>
          <w:szCs w:val="24"/>
          <w:color w:val="auto"/>
        </w:rPr>
      </w:pPr>
    </w:p>
    <w:p>
      <w:pPr>
        <w:spacing w:after="0" w:line="22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12b-25(b) AND (c)</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00" w:hanging="322"/>
        <w:spacing w:after="0"/>
        <w:tabs>
          <w:tab w:leader="none" w:pos="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9" w:lineRule="exact"/>
        <w:rPr>
          <w:rFonts w:ascii="Times New Roman" w:cs="Times New Roman" w:eastAsia="Times New Roman" w:hAnsi="Times New Roman"/>
          <w:sz w:val="18"/>
          <w:szCs w:val="18"/>
          <w:color w:val="auto"/>
        </w:rPr>
      </w:pPr>
    </w:p>
    <w:p>
      <w:pPr>
        <w:jc w:val="both"/>
        <w:ind w:left="600" w:right="20" w:hanging="592"/>
        <w:spacing w:after="0" w:line="200" w:lineRule="auto"/>
        <w:tabs>
          <w:tab w:leader="none" w:pos="6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600" w:hanging="322"/>
        <w:spacing w:after="0"/>
        <w:tabs>
          <w:tab w:leader="none" w:pos="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-816610</wp:posOffset>
            </wp:positionV>
            <wp:extent cx="8255"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PART 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NARRATIVE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380" w:firstLine="126"/>
        <w:spacing w:after="0" w:line="282" w:lineRule="auto"/>
        <w:rPr>
          <w:sz w:val="20"/>
          <w:szCs w:val="20"/>
          <w:color w:val="auto"/>
        </w:rPr>
      </w:pPr>
      <w:r>
        <w:rPr>
          <w:rFonts w:ascii="Times New Roman" w:cs="Times New Roman" w:eastAsia="Times New Roman" w:hAnsi="Times New Roman"/>
          <w:sz w:val="18"/>
          <w:szCs w:val="18"/>
          <w:color w:val="auto"/>
        </w:rPr>
        <w:t>Accuray Incorporated (the “Company”) is unable to file its Quarterly Report on Form 10-Q for the quarter ended December 31, 2025 (the “Quarterly Report”) within the prescribed time period without unreasonable effort and expense for the reasons described below.</w:t>
      </w:r>
    </w:p>
    <w:p>
      <w:pPr>
        <w:spacing w:after="0" w:line="162" w:lineRule="exact"/>
        <w:rPr>
          <w:sz w:val="20"/>
          <w:szCs w:val="20"/>
          <w:color w:val="auto"/>
        </w:rPr>
      </w:pPr>
    </w:p>
    <w:p>
      <w:pPr>
        <w:ind w:firstLine="126"/>
        <w:spacing w:after="0" w:line="258" w:lineRule="auto"/>
        <w:rPr>
          <w:sz w:val="20"/>
          <w:szCs w:val="20"/>
          <w:color w:val="auto"/>
        </w:rPr>
      </w:pPr>
      <w:r>
        <w:rPr>
          <w:rFonts w:ascii="Times New Roman" w:cs="Times New Roman" w:eastAsia="Times New Roman" w:hAnsi="Times New Roman"/>
          <w:sz w:val="18"/>
          <w:szCs w:val="18"/>
          <w:color w:val="auto"/>
        </w:rPr>
        <w:t xml:space="preserve">As disclosed in the Company’s Form 8-K filed with the Securities and Exchange Commission on February 9, 2026, the Company recently discovered errors related to the disclosure of remaining performance obligations (“RPO”) included in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within previously filed Form 10-K for the fiscal year ended June 30, 2025, and Form 10-Q filed during the 2025 fiscal year and for the quarter ended September 30, 2025 (“Affected Financial Statements”). The errors are expected to have no impact on the Balance Sheets, Statements of Operations and Comprehensive Income (Loss), Statements of Cash Flows, nor any financial metric outside of Note 2.</w:t>
      </w:r>
    </w:p>
    <w:p>
      <w:pPr>
        <w:spacing w:after="0" w:line="143" w:lineRule="exact"/>
        <w:rPr>
          <w:sz w:val="20"/>
          <w:szCs w:val="20"/>
          <w:color w:val="auto"/>
        </w:rPr>
      </w:pPr>
    </w:p>
    <w:p>
      <w:pPr>
        <w:ind w:right="40" w:firstLine="126"/>
        <w:spacing w:after="0" w:line="231" w:lineRule="exact"/>
        <w:rPr>
          <w:sz w:val="20"/>
          <w:szCs w:val="20"/>
          <w:color w:val="auto"/>
        </w:rPr>
      </w:pPr>
      <w:r>
        <w:rPr>
          <w:rFonts w:ascii="Times New Roman" w:cs="Times New Roman" w:eastAsia="Times New Roman" w:hAnsi="Times New Roman"/>
          <w:sz w:val="18"/>
          <w:szCs w:val="18"/>
          <w:color w:val="auto"/>
        </w:rPr>
        <w:t>The additional time required to finalize the Forms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and 10-Q/A has delayed the Company’s ability to complete the Quarterly Report since it must reflect the revised financial information that will be included in the Form 10-K/A and 10-Q/A. The Company is working diligently to prepare the necessary information and is working with its auditors to complete the 10-K/A, the 10-Q/A, and the Quarterly Report and currently expects to file the Quarterly Report within the extension period of five calendar days permitted under Rule 12b-25 of the Securities Exchange Act of 1934, as amended.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filing, are forward-looking statements, including, but not limited to, statements about the anticipated timing of the filing of the Quarterly Report. All forward-looking statements are subject to significant risks, uncertainties and changes in circumstances that could cause actual results and outcomes to differ materially from the forward-looking statements. These forward-looking statements are not guarantees of future performance and involve risks, assumptions and uncertainties, including, without limitation,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inability to file the Quarterly Report within the prescribed time period; preparing and filing the amended reports to correct the identified errors may take longer than expected; the outcome of the completion of the preparation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statements; the impact of this filing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common stock, its relationships with employees, customers and suppliers; and those additional risks that are described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and in other documents that the Company files or furnishes with the Securities and Exchange Commission. Should one or more of these risks or uncertainties materialize, or should underlying assumptions prove incorrect, actual outcomes may vary materially from those indicated or anticipated by such forward-looking statements. Accordingly, you are cautioned not to place undue reliance on these forward-looking statements, which speak only as of the date they are made. Except to the extent required by applicable securities law, the Company does not undertake, and expressly disclaims, any duty or obligation to update publicly any forward-looking statement after the date of this announcement, whether as a result of new information, future events, changes in assumptions or otherwise.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9"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Ali Pervaiz</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608</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824-2800</w:t>
            </w:r>
          </w:p>
        </w:tc>
      </w:tr>
      <w:tr>
        <w:trPr>
          <w:trHeight w:val="228"/>
        </w:trPr>
        <w:tc>
          <w:tcPr>
            <w:tcW w:w="4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spacing w:after="0"/>
              <w:rPr>
                <w:sz w:val="19"/>
                <w:szCs w:val="19"/>
                <w:color w:val="auto"/>
              </w:rPr>
            </w:pPr>
          </w:p>
        </w:tc>
        <w:tc>
          <w:tcPr>
            <w:tcW w:w="1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(Area Code)</w:t>
            </w:r>
          </w:p>
        </w:tc>
        <w:tc>
          <w:tcPr>
            <w:tcW w:w="380" w:type="dxa"/>
            <w:vAlign w:val="bottom"/>
          </w:tcPr>
          <w:p>
            <w:pPr>
              <w:spacing w:after="0"/>
              <w:rPr>
                <w:sz w:val="19"/>
                <w:szCs w:val="19"/>
                <w:color w:val="auto"/>
              </w:rPr>
            </w:pPr>
          </w:p>
        </w:tc>
        <w:tc>
          <w:tcPr>
            <w:tcW w:w="4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420" w:right="140" w:hanging="412"/>
        <w:spacing w:after="0" w:line="255"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 w:lineRule="exact"/>
        <w:rPr>
          <w:sz w:val="20"/>
          <w:szCs w:val="20"/>
          <w:color w:val="auto"/>
        </w:rPr>
      </w:pPr>
    </w:p>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w:t>
      </w:r>
    </w:p>
    <w:p>
      <w:pPr>
        <w:spacing w:after="0" w:line="218" w:lineRule="exact"/>
        <w:rPr>
          <w:sz w:val="20"/>
          <w:szCs w:val="20"/>
          <w:color w:val="auto"/>
        </w:rPr>
      </w:pPr>
    </w:p>
    <w:p>
      <w:pPr>
        <w:ind w:left="420" w:right="500" w:hanging="412"/>
        <w:spacing w:after="0" w:line="261"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42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6" w:lineRule="exact"/>
        <w:rPr>
          <w:rFonts w:ascii="Times New Roman" w:cs="Times New Roman" w:eastAsia="Times New Roman" w:hAnsi="Times New Roman"/>
          <w:sz w:val="18"/>
          <w:szCs w:val="18"/>
          <w:color w:val="auto"/>
        </w:rPr>
      </w:pPr>
    </w:p>
    <w:p>
      <w:pPr>
        <w:ind w:left="42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-991235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19"/>
                <w:szCs w:val="19"/>
                <w:color w:val="auto"/>
              </w:rPr>
            </w:pPr>
          </w:p>
        </w:tc>
        <w:tc>
          <w:tcPr>
            <w:tcW w:w="840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r>
      <w:tr>
        <w:trPr>
          <w:trHeight w:val="234"/>
        </w:trPr>
        <w:tc>
          <w:tcPr>
            <w:tcW w:w="2840" w:type="dxa"/>
            <w:vAlign w:val="bottom"/>
          </w:tcPr>
          <w:p>
            <w:pPr>
              <w:spacing w:after="0"/>
              <w:rPr>
                <w:sz w:val="20"/>
                <w:szCs w:val="20"/>
                <w:color w:val="auto"/>
              </w:rPr>
            </w:pPr>
          </w:p>
        </w:tc>
        <w:tc>
          <w:tcPr>
            <w:tcW w:w="840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2026</w:t>
            </w:r>
          </w:p>
        </w:tc>
        <w:tc>
          <w:tcPr>
            <w:tcW w:w="840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Ali Pervaiz</w:t>
            </w:r>
          </w:p>
        </w:tc>
      </w:tr>
      <w:tr>
        <w:trPr>
          <w:trHeight w:val="191"/>
        </w:trPr>
        <w:tc>
          <w:tcPr>
            <w:tcW w:w="28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Ali Pervaiz</w:t>
            </w:r>
          </w:p>
        </w:tc>
      </w:tr>
      <w:tr>
        <w:trPr>
          <w:trHeight w:val="234"/>
        </w:trPr>
        <w:tc>
          <w:tcPr>
            <w:tcW w:w="28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486"/>
        </w:trPr>
        <w:tc>
          <w:tcPr>
            <w:tcW w:w="2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r>
        <w:trPr>
          <w:trHeight w:val="263"/>
        </w:trPr>
        <w:tc>
          <w:tcPr>
            <w:tcW w:w="2840" w:type="dxa"/>
            <w:vAlign w:val="bottom"/>
          </w:tcPr>
          <w:p>
            <w:pPr>
              <w:spacing w:after="0"/>
              <w:rPr>
                <w:sz w:val="22"/>
                <w:szCs w:val="22"/>
                <w:color w:val="auto"/>
              </w:rPr>
            </w:pPr>
          </w:p>
        </w:tc>
        <w:tc>
          <w:tcPr>
            <w:tcW w:w="318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4</w:t>
            </w:r>
          </w:p>
        </w:tc>
        <w:tc>
          <w:tcPr>
            <w:tcW w:w="5220" w:type="dxa"/>
            <w:vAlign w:val="bottom"/>
          </w:tcPr>
          <w:p>
            <w:pPr>
              <w:spacing w:after="0"/>
              <w:rPr>
                <w:sz w:val="22"/>
                <w:szCs w:val="22"/>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2026-02-09T15:17:07Z</dcterms:created>
  <dcterms:modified xsi:type="dcterms:W3CDTF">2026-02-09T15:17:07Z</dcterms:modified>
</cp:coreProperties>
</file>