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ay-20250331.htm"/>
      <w:bookmarkStart w:id="1" w:name="ksaray20250331"/>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001-33301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ACCURAY INCORPORATED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20-8370041</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1240 Deming Way</w:t>
      </w:r>
    </w:p>
    <w:p>
      <w:pPr>
        <w:pStyle w:val="TextBody"/>
        <w:bidi w:val="0"/>
        <w:jc w:val="center"/>
        <w:rPr>
          <w:rFonts w:ascii="Times New Roman" w:hAnsi="Times New Roman"/>
          <w:sz w:val="20"/>
        </w:rPr>
      </w:pPr>
      <w:r>
        <w:rPr>
          <w:rFonts w:ascii="Times New Roman" w:hAnsi="Times New Roman"/>
          <w:b/>
          <w:color w:val="000000"/>
          <w:sz w:val="20"/>
        </w:rPr>
        <w:t>Madison, Wisconsin</w:t>
      </w:r>
      <w:r>
        <w:rPr>
          <w:rFonts w:ascii="Times New Roman" w:hAnsi="Times New Roman"/>
          <w:color w:val="000000"/>
          <w:sz w:val="20"/>
        </w:rPr>
        <w:t xml:space="preserve"> </w:t>
      </w:r>
      <w:r>
        <w:rPr>
          <w:rFonts w:ascii="Times New Roman" w:hAnsi="Times New Roman"/>
          <w:b/>
          <w:color w:val="000000"/>
          <w:sz w:val="20"/>
        </w:rPr>
        <w:t>53717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(608) 824-2800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Common Stock, $0.001 par value per share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ARAY</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 Yes ☐ No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1921"/>
        <w:gridCol w:w="316"/>
        <w:gridCol w:w="146"/>
        <w:gridCol w:w="235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Emerging growth company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30, 2025, there were 103,013,384 shares of the Registrant’s Common Stock, par value $0.001 per share, outstanding.</w:t>
      </w:r>
    </w:p>
    <w:p>
      <w:pPr>
        <w:pStyle w:val="TextBody"/>
        <w:bidi w:val="0"/>
        <w:jc w:val="center"/>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1"/>
        <w:gridCol w:w="8484"/>
        <w:gridCol w:w="700"/>
      </w:tblGrid>
      <w:tr>
        <w:trPr/>
        <w:tc>
          <w:tcPr>
            <w:tcW w:w="1021" w:type="dxa"/>
            <w:tcBorders/>
            <w:vAlign w:val="center"/>
          </w:tcPr>
          <w:p>
            <w:pPr>
              <w:pStyle w:val="TableContents"/>
              <w:bidi w:val="0"/>
              <w:spacing w:before="0" w:after="283"/>
              <w:jc w:val="left"/>
              <w:rPr>
                <w:sz w:val="4"/>
                <w:szCs w:val="4"/>
              </w:rPr>
            </w:pPr>
            <w:r>
              <w:rPr>
                <w:sz w:val="4"/>
                <w:szCs w:val="4"/>
              </w:rPr>
            </w:r>
          </w:p>
        </w:tc>
        <w:tc>
          <w:tcPr>
            <w:tcW w:w="848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4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1_unaudited_condensed_consolidated_">
              <w:r>
                <w:rPr>
                  <w:rStyle w:val="InternetLink"/>
                  <w:rFonts w:ascii="Times New Roman" w:hAnsi="Times New Roman"/>
                  <w:color w:val="0000FF"/>
                  <w:sz w:val="20"/>
                  <w:u w:val="single"/>
                </w:rPr>
                <w:t>Unaudited Condensed Consolidated Financial Statements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Times New Roman" w:hAnsi="Times New Roman"/>
                  <w:color w:val="0000FF"/>
                  <w:sz w:val="20"/>
                  <w:u w:val="single"/>
                </w:rPr>
                <w:t>Unaudited Condensed Consolidated Balance Sheets as of March 31, 2025 and June 30, 2024</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densed_consolidated_stateme">
              <w:r>
                <w:rPr>
                  <w:rStyle w:val="InternetLink"/>
                  <w:rFonts w:ascii="Times New Roman" w:hAnsi="Times New Roman"/>
                  <w:color w:val="0000FF"/>
                  <w:sz w:val="20"/>
                  <w:u w:val="single"/>
                </w:rPr>
                <w:t>Unaudited Condensed Consolidated Statements of Operations and Comprehensive Loss for the three and nine months ended March 31, 2025 and 2024</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densed_consolidated_equity">
              <w:r>
                <w:rPr>
                  <w:rStyle w:val="InternetLink"/>
                  <w:rFonts w:ascii="Times New Roman" w:hAnsi="Times New Roman"/>
                  <w:color w:val="0000FF"/>
                  <w:sz w:val="20"/>
                  <w:u w:val="single"/>
                </w:rPr>
                <w:t>Unaudited Condensed Consolidated Statements of Stockholders’ Equity for the three and nine months ended March 31, 2025 and 2024</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densed_consolidated">
              <w:r>
                <w:rPr>
                  <w:rStyle w:val="InternetLink"/>
                  <w:rFonts w:ascii="Times New Roman" w:hAnsi="Times New Roman"/>
                  <w:color w:val="0000FF"/>
                  <w:sz w:val="20"/>
                  <w:u w:val="single"/>
                </w:rPr>
                <w:t>Unaudited Condensed Consolidated Statements of Cash Flows for the nine months ended March 31, 2025 and 2024</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4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48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484"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own or have rights to various trademarks and tradenames used in our business in the United States or other countries, including the following: Accuray</w:t>
      </w:r>
      <w:r>
        <w:rPr>
          <w:rFonts w:ascii="Times New Roman" w:hAnsi="Times New Roman"/>
          <w:color w:val="000000"/>
          <w:sz w:val="11"/>
        </w:rPr>
        <w:t>®</w:t>
      </w:r>
      <w:r>
        <w:rPr>
          <w:rFonts w:ascii="Times New Roman" w:hAnsi="Times New Roman"/>
          <w:color w:val="000000"/>
          <w:sz w:val="20"/>
        </w:rPr>
        <w:t>, Accuray Logo</w:t>
      </w:r>
      <w:r>
        <w:rPr>
          <w:rFonts w:ascii="Times New Roman" w:hAnsi="Times New Roman"/>
          <w:color w:val="000000"/>
          <w:sz w:val="11"/>
        </w:rPr>
        <w:t>®</w:t>
      </w:r>
      <w:r>
        <w:rPr>
          <w:rFonts w:ascii="Times New Roman" w:hAnsi="Times New Roman"/>
          <w:color w:val="000000"/>
          <w:sz w:val="20"/>
        </w:rPr>
        <w:t>, CyberKnife</w:t>
      </w:r>
      <w:r>
        <w:rPr>
          <w:rFonts w:ascii="Times New Roman" w:hAnsi="Times New Roman"/>
          <w:color w:val="000000"/>
          <w:sz w:val="11"/>
        </w:rPr>
        <w:t>®</w:t>
      </w:r>
      <w:r>
        <w:rPr>
          <w:rFonts w:ascii="Times New Roman" w:hAnsi="Times New Roman"/>
          <w:color w:val="000000"/>
          <w:sz w:val="20"/>
        </w:rPr>
        <w:t>, Hi</w:t>
        <w:noBreakHyphen/>
        <w:t>Art</w:t>
      </w:r>
      <w:r>
        <w:rPr>
          <w:rFonts w:ascii="Times New Roman" w:hAnsi="Times New Roman"/>
          <w:color w:val="000000"/>
          <w:sz w:val="11"/>
        </w:rPr>
        <w:t>®</w:t>
      </w:r>
      <w:r>
        <w:rPr>
          <w:rFonts w:ascii="Times New Roman" w:hAnsi="Times New Roman"/>
          <w:color w:val="000000"/>
          <w:sz w:val="20"/>
        </w:rPr>
        <w:t>, RoboCouch</w:t>
      </w:r>
      <w:r>
        <w:rPr>
          <w:rFonts w:ascii="Times New Roman" w:hAnsi="Times New Roman"/>
          <w:color w:val="000000"/>
          <w:sz w:val="11"/>
        </w:rPr>
        <w:t>®</w:t>
      </w:r>
      <w:r>
        <w:rPr>
          <w:rFonts w:ascii="Times New Roman" w:hAnsi="Times New Roman"/>
          <w:color w:val="000000"/>
          <w:sz w:val="20"/>
        </w:rPr>
        <w:t>, Synchrony</w:t>
      </w:r>
      <w:r>
        <w:rPr>
          <w:rFonts w:ascii="Times New Roman" w:hAnsi="Times New Roman"/>
          <w:color w:val="000000"/>
          <w:sz w:val="11"/>
        </w:rPr>
        <w:t>®</w:t>
      </w:r>
      <w:r>
        <w:rPr>
          <w:rFonts w:ascii="Times New Roman" w:hAnsi="Times New Roman"/>
          <w:color w:val="000000"/>
          <w:sz w:val="20"/>
        </w:rPr>
        <w:t>, TomoTherapy</w:t>
      </w:r>
      <w:r>
        <w:rPr>
          <w:rFonts w:ascii="Times New Roman" w:hAnsi="Times New Roman"/>
          <w:color w:val="000000"/>
          <w:sz w:val="11"/>
        </w:rPr>
        <w:t>®,</w:t>
      </w:r>
      <w:r>
        <w:rPr>
          <w:rFonts w:ascii="Times New Roman" w:hAnsi="Times New Roman"/>
          <w:color w:val="000000"/>
          <w:sz w:val="20"/>
        </w:rPr>
        <w:t xml:space="preserve"> Xsight</w:t>
      </w:r>
      <w:r>
        <w:rPr>
          <w:rFonts w:ascii="Times New Roman" w:hAnsi="Times New Roman"/>
          <w:color w:val="000000"/>
          <w:sz w:val="11"/>
        </w:rPr>
        <w:t>®</w:t>
      </w:r>
      <w:r>
        <w:rPr>
          <w:rFonts w:ascii="Times New Roman" w:hAnsi="Times New Roman"/>
          <w:color w:val="000000"/>
          <w:sz w:val="20"/>
        </w:rPr>
        <w:t>, Accuray Precision</w:t>
      </w:r>
      <w:r>
        <w:rPr>
          <w:rFonts w:ascii="Times New Roman" w:hAnsi="Times New Roman"/>
          <w:color w:val="000000"/>
          <w:sz w:val="11"/>
        </w:rPr>
        <w:t>®</w:t>
      </w:r>
      <w:r>
        <w:rPr>
          <w:rFonts w:ascii="Times New Roman" w:hAnsi="Times New Roman"/>
          <w:color w:val="000000"/>
          <w:sz w:val="20"/>
        </w:rPr>
        <w:t>, AutoSegmentation, CTrue, H Series, iDMS</w:t>
      </w:r>
      <w:r>
        <w:rPr>
          <w:rFonts w:ascii="Times New Roman" w:hAnsi="Times New Roman"/>
          <w:color w:val="000000"/>
          <w:sz w:val="11"/>
        </w:rPr>
        <w:t>®</w:t>
      </w:r>
      <w:r>
        <w:rPr>
          <w:rFonts w:ascii="Times New Roman" w:hAnsi="Times New Roman"/>
          <w:color w:val="000000"/>
          <w:sz w:val="20"/>
        </w:rPr>
        <w:t>, InCise, Iris, CyberKnife M6 Series, Accuray OIS Connect, PreciseART</w:t>
      </w:r>
      <w:r>
        <w:rPr>
          <w:rFonts w:ascii="Times New Roman" w:hAnsi="Times New Roman"/>
          <w:color w:val="000000"/>
          <w:sz w:val="11"/>
        </w:rPr>
        <w:t>®</w:t>
      </w:r>
      <w:r>
        <w:rPr>
          <w:rFonts w:ascii="Times New Roman" w:hAnsi="Times New Roman"/>
          <w:color w:val="000000"/>
          <w:sz w:val="20"/>
        </w:rPr>
        <w:t>, PreciseRTX</w:t>
      </w:r>
      <w:r>
        <w:rPr>
          <w:rFonts w:ascii="Times New Roman" w:hAnsi="Times New Roman"/>
          <w:color w:val="000000"/>
          <w:sz w:val="11"/>
        </w:rPr>
        <w:t>®</w:t>
      </w:r>
      <w:r>
        <w:rPr>
          <w:rFonts w:ascii="Times New Roman" w:hAnsi="Times New Roman"/>
          <w:color w:val="000000"/>
          <w:sz w:val="20"/>
        </w:rPr>
        <w:t>, Treatment Planning System, TomoDirect, TomoEDGE, TomoH</w:t>
      </w:r>
      <w:r>
        <w:rPr>
          <w:rFonts w:ascii="Times New Roman" w:hAnsi="Times New Roman"/>
          <w:color w:val="000000"/>
          <w:sz w:val="11"/>
        </w:rPr>
        <w:t>®</w:t>
      </w:r>
      <w:r>
        <w:rPr>
          <w:rFonts w:ascii="Times New Roman" w:hAnsi="Times New Roman"/>
          <w:color w:val="000000"/>
          <w:sz w:val="20"/>
        </w:rPr>
        <w:t>, TomoHD</w:t>
      </w:r>
      <w:r>
        <w:rPr>
          <w:rFonts w:ascii="Times New Roman" w:hAnsi="Times New Roman"/>
          <w:color w:val="000000"/>
          <w:sz w:val="11"/>
        </w:rPr>
        <w:t>®</w:t>
      </w:r>
      <w:r>
        <w:rPr>
          <w:rFonts w:ascii="Times New Roman" w:hAnsi="Times New Roman"/>
          <w:color w:val="000000"/>
          <w:sz w:val="20"/>
        </w:rPr>
        <w:t>, TomoHDA, TomoHelical, TomoTherapy Quality Assurance, Radixact</w:t>
      </w:r>
      <w:r>
        <w:rPr>
          <w:rFonts w:ascii="Times New Roman" w:hAnsi="Times New Roman"/>
          <w:color w:val="000000"/>
          <w:sz w:val="11"/>
        </w:rPr>
        <w:t>®</w:t>
      </w:r>
      <w:r>
        <w:rPr>
          <w:rFonts w:ascii="Times New Roman" w:hAnsi="Times New Roman"/>
          <w:color w:val="000000"/>
          <w:sz w:val="20"/>
        </w:rPr>
        <w:t>, Onrad , S7, Accuray Helix, CyberComm, AEX</w:t>
      </w:r>
      <w:r>
        <w:rPr>
          <w:rFonts w:ascii="Times New Roman" w:hAnsi="Times New Roman"/>
          <w:color w:val="000000"/>
          <w:sz w:val="13"/>
        </w:rPr>
        <w:t>®</w:t>
      </w:r>
      <w:r>
        <w:rPr>
          <w:rFonts w:ascii="Times New Roman" w:hAnsi="Times New Roman"/>
          <w:color w:val="000000"/>
          <w:sz w:val="20"/>
        </w:rPr>
        <w:t>, ClearRT</w:t>
      </w:r>
      <w:r>
        <w:rPr>
          <w:rFonts w:ascii="Times New Roman" w:hAnsi="Times New Roman"/>
          <w:color w:val="000000"/>
          <w:sz w:val="13"/>
        </w:rPr>
        <w:t>®</w:t>
      </w:r>
      <w:r>
        <w:rPr>
          <w:rFonts w:ascii="Times New Roman" w:hAnsi="Times New Roman"/>
          <w:color w:val="000000"/>
          <w:sz w:val="20"/>
        </w:rPr>
        <w:t>, XChange</w:t>
      </w:r>
      <w:r>
        <w:rPr>
          <w:rFonts w:ascii="Times New Roman" w:hAnsi="Times New Roman"/>
          <w:color w:val="000000"/>
          <w:sz w:val="13"/>
        </w:rPr>
        <w:t>®</w:t>
      </w:r>
      <w:r>
        <w:rPr>
          <w:rFonts w:ascii="Times New Roman" w:hAnsi="Times New Roman"/>
          <w:color w:val="000000"/>
          <w:sz w:val="20"/>
        </w:rPr>
        <w:t>, and VoLO.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r>
        <w:rPr>
          <w:rFonts w:ascii="Times New Roman" w:hAnsi="Times New Roman"/>
          <w:b/>
          <w:color w:val="000000"/>
          <w:sz w:val="20"/>
        </w:rPr>
        <w:t>FINANCIAL INFORMATION</w:t>
      </w:r>
    </w:p>
    <w:p>
      <w:pPr>
        <w:pStyle w:val="TextBody"/>
        <w:bidi w:val="0"/>
        <w:jc w:val="left"/>
        <w:rPr/>
      </w:pPr>
      <w:r>
        <w:rPr/>
        <w:t> </w:t>
      </w:r>
    </w:p>
    <w:p>
      <w:pPr>
        <w:pStyle w:val="TextBody"/>
        <w:bidi w:val="0"/>
        <w:jc w:val="left"/>
        <w:rPr>
          <w:rFonts w:ascii="Times New Roman" w:hAnsi="Times New Roman"/>
          <w:sz w:val="20"/>
        </w:rPr>
      </w:pPr>
      <w:bookmarkStart w:id="2" w:name="item_1_unaudited_condensed_consolidated_"/>
      <w:bookmarkEnd w:id="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Unaudited Condensed 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3" w:name="unaudited_condensed_consolidated_balance"/>
      <w:bookmarkEnd w:id="3"/>
      <w:r>
        <w:rPr>
          <w:rFonts w:ascii="Times New Roman" w:hAnsi="Times New Roman"/>
          <w:b/>
          <w:color w:val="000000"/>
          <w:sz w:val="20"/>
        </w:rPr>
        <w:t>Unaudited Condensed Consolidated Balance Sheets</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(in thousands, except share amounts and par value)</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$545 and $2,251 as of March 31, 2025, and June 30, 2024, respectively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468,627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authorized: 200,000,000 shares as of March 31, 2025, and June 30, 2024, respectively; issued and outstanding: 102,850,591 and 100,194,932 shares at March 31, 2025, and June 30,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468,627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spacing w:before="0" w:after="0"/>
        <w:jc w:val="left"/>
        <w:rPr/>
      </w:pPr>
      <w:r>
        <w:rPr>
          <w:rFonts w:ascii="Times New Roman" w:hAnsi="Times New Roman"/>
          <w:color w:val="000000"/>
          <w:sz w:val="16"/>
        </w:rPr>
        <w:t>Includes accounts receivable from the joint venture, an equity method investment, of $19,352</w:t>
      </w:r>
      <w:r>
        <w:rPr>
          <w:color w:val="000000"/>
        </w:rPr>
        <w:t xml:space="preserve"> </w:t>
      </w:r>
      <w:r>
        <w:rPr>
          <w:rFonts w:ascii="Times New Roman" w:hAnsi="Times New Roman"/>
          <w:color w:val="000000"/>
          <w:sz w:val="16"/>
        </w:rPr>
        <w:t>and $25,339</w:t>
      </w:r>
      <w:r>
        <w:rPr>
          <w:color w:val="000000"/>
        </w:rPr>
        <w:t xml:space="preserve"> </w:t>
      </w:r>
      <w:r>
        <w:rPr>
          <w:rFonts w:ascii="Times New Roman" w:hAnsi="Times New Roman"/>
          <w:color w:val="000000"/>
          <w:sz w:val="16"/>
        </w:rPr>
        <w:t>as of March 31, 2025, and June 30, 2024, respectively. See Note 12.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jc w:val="left"/>
        <w:rPr/>
      </w:pPr>
      <w:r>
        <w:rPr>
          <w:rFonts w:ascii="Times New Roman" w:hAnsi="Times New Roman"/>
          <w:color w:val="000000"/>
          <w:sz w:val="16"/>
        </w:rPr>
        <w:t>Includes other receivables from the joint venture, an equity method investment, of $373</w:t>
      </w:r>
      <w:r>
        <w:rPr>
          <w:color w:val="000000"/>
        </w:rPr>
        <w:t xml:space="preserve"> </w:t>
      </w:r>
      <w:r>
        <w:rPr>
          <w:rFonts w:ascii="Times New Roman" w:hAnsi="Times New Roman"/>
          <w:color w:val="000000"/>
          <w:sz w:val="16"/>
        </w:rPr>
        <w:t>and $743</w:t>
      </w:r>
      <w:r>
        <w:rPr>
          <w:color w:val="000000"/>
        </w:rPr>
        <w:t xml:space="preserve"> </w:t>
      </w:r>
      <w:r>
        <w:rPr>
          <w:rFonts w:ascii="Times New Roman" w:hAnsi="Times New Roman"/>
          <w:color w:val="000000"/>
          <w:sz w:val="16"/>
        </w:rPr>
        <w:t xml:space="preserve">as of March 31, 2025, and June 30, 2024, respectively. </w:t>
      </w:r>
    </w:p>
    <w:p>
      <w:pPr>
        <w:pStyle w:val="TextBody"/>
        <w:bidi w:val="0"/>
        <w:jc w:val="righ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4" w:name="unaudited_condensed_consolidated_stateme"/>
      <w:bookmarkEnd w:id="4"/>
      <w:r>
        <w:rPr>
          <w:rFonts w:ascii="Times New Roman" w:hAnsi="Times New Roman"/>
          <w:b/>
          <w:color w:val="000000"/>
          <w:sz w:val="20"/>
        </w:rPr>
        <w:t>Unaudited 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cost of revenue </w:t>
            </w:r>
            <w:r>
              <w:rPr>
                <w:rFonts w:ascii="Times New Roman" w:hAnsi="Times New Roman"/>
                <w:color w:val="000000"/>
                <w:sz w:val="18"/>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color w:val="000000"/>
                <w:sz w:val="18"/>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method investment,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computing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pPr>
      <w:r>
        <w:rPr>
          <w:rFonts w:ascii="Times New Roman" w:hAnsi="Times New Roman"/>
          <w:color w:val="000000"/>
          <w:sz w:val="16"/>
        </w:rPr>
        <w:t>Includes sales of products to the joint venture, an equity method investment, of $17,967</w:t>
      </w:r>
      <w:r>
        <w:rPr>
          <w:color w:val="000000"/>
        </w:rPr>
        <w:t xml:space="preserve"> </w:t>
      </w:r>
      <w:r>
        <w:rPr>
          <w:rFonts w:ascii="Times New Roman" w:hAnsi="Times New Roman"/>
          <w:color w:val="000000"/>
          <w:sz w:val="16"/>
        </w:rPr>
        <w:t>and $76,333</w:t>
      </w:r>
      <w:r>
        <w:rPr>
          <w:color w:val="000000"/>
        </w:rPr>
        <w:t xml:space="preserve"> </w:t>
      </w:r>
      <w:r>
        <w:rPr>
          <w:rFonts w:ascii="Times New Roman" w:hAnsi="Times New Roman"/>
          <w:color w:val="000000"/>
          <w:sz w:val="16"/>
        </w:rPr>
        <w:t>during the three and nine months ended March 31, 2025, and $15,662</w:t>
      </w:r>
      <w:r>
        <w:rPr>
          <w:color w:val="000000"/>
        </w:rPr>
        <w:t xml:space="preserve"> </w:t>
      </w:r>
      <w:r>
        <w:rPr>
          <w:rFonts w:ascii="Times New Roman" w:hAnsi="Times New Roman"/>
          <w:color w:val="000000"/>
          <w:sz w:val="16"/>
        </w:rPr>
        <w:t>and $55,504</w:t>
      </w:r>
      <w:r>
        <w:rPr>
          <w:color w:val="000000"/>
        </w:rPr>
        <w:t xml:space="preserve"> </w:t>
      </w:r>
      <w:r>
        <w:rPr>
          <w:rFonts w:ascii="Times New Roman" w:hAnsi="Times New Roman"/>
          <w:color w:val="000000"/>
          <w:sz w:val="16"/>
        </w:rPr>
        <w:t>during the three and nine months ended March 31, 2024, respectively. See Note 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pPr>
      <w:r>
        <w:rPr>
          <w:rFonts w:ascii="Times New Roman" w:hAnsi="Times New Roman"/>
          <w:color w:val="000000"/>
          <w:sz w:val="16"/>
        </w:rPr>
        <w:t>Includes sales of services to the joint venture, an equity method investment, of $5,351</w:t>
      </w:r>
      <w:r>
        <w:rPr>
          <w:color w:val="000000"/>
        </w:rPr>
        <w:t xml:space="preserve"> </w:t>
      </w:r>
      <w:r>
        <w:rPr>
          <w:rFonts w:ascii="Times New Roman" w:hAnsi="Times New Roman"/>
          <w:color w:val="000000"/>
          <w:sz w:val="16"/>
        </w:rPr>
        <w:t>and $14,588</w:t>
      </w:r>
      <w:r>
        <w:rPr>
          <w:color w:val="000000"/>
        </w:rPr>
        <w:t xml:space="preserve"> </w:t>
      </w:r>
      <w:r>
        <w:rPr>
          <w:rFonts w:ascii="Times New Roman" w:hAnsi="Times New Roman"/>
          <w:color w:val="000000"/>
          <w:sz w:val="16"/>
        </w:rPr>
        <w:t>during the three and nine months ended March 31, 2025, and $3,982</w:t>
      </w:r>
      <w:r>
        <w:rPr>
          <w:color w:val="000000"/>
        </w:rPr>
        <w:t xml:space="preserve"> </w:t>
      </w:r>
      <w:r>
        <w:rPr>
          <w:rFonts w:ascii="Times New Roman" w:hAnsi="Times New Roman"/>
          <w:color w:val="000000"/>
          <w:sz w:val="16"/>
        </w:rPr>
        <w:t>and $10,970</w:t>
      </w:r>
      <w:r>
        <w:rPr>
          <w:color w:val="000000"/>
        </w:rPr>
        <w:t xml:space="preserve"> </w:t>
      </w:r>
      <w:r>
        <w:rPr>
          <w:rFonts w:ascii="Times New Roman" w:hAnsi="Times New Roman"/>
          <w:color w:val="000000"/>
          <w:sz w:val="16"/>
        </w:rPr>
        <w:t>during the three and nine months ended March 31, 2024, respectively. See Note 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w:t>
      </w:r>
    </w:p>
    <w:p>
      <w:pPr>
        <w:pStyle w:val="TextBody"/>
        <w:bidi w:val="0"/>
        <w:spacing w:before="120" w:after="283"/>
        <w:jc w:val="left"/>
        <w:rPr/>
      </w:pPr>
      <w:r>
        <w:rPr>
          <w:rFonts w:ascii="Times New Roman" w:hAnsi="Times New Roman"/>
          <w:color w:val="000000"/>
          <w:sz w:val="16"/>
        </w:rPr>
        <w:t>Includes cost of revenue from sales to the joint venture, an equity method investment, of $17,411</w:t>
      </w:r>
      <w:r>
        <w:rPr>
          <w:color w:val="000000"/>
        </w:rPr>
        <w:t xml:space="preserve"> </w:t>
      </w:r>
      <w:r>
        <w:rPr>
          <w:rFonts w:ascii="Times New Roman" w:hAnsi="Times New Roman"/>
          <w:color w:val="000000"/>
          <w:sz w:val="16"/>
        </w:rPr>
        <w:t>and $53,303</w:t>
      </w:r>
      <w:r>
        <w:rPr>
          <w:color w:val="000000"/>
        </w:rPr>
        <w:t xml:space="preserve"> </w:t>
      </w:r>
      <w:r>
        <w:rPr>
          <w:rFonts w:ascii="Times New Roman" w:hAnsi="Times New Roman"/>
          <w:color w:val="000000"/>
          <w:sz w:val="16"/>
        </w:rPr>
        <w:t>during the three and nine months ended March 31, 2025, and $13,887</w:t>
      </w:r>
      <w:r>
        <w:rPr>
          <w:color w:val="000000"/>
        </w:rPr>
        <w:t xml:space="preserve"> </w:t>
      </w:r>
      <w:r>
        <w:rPr>
          <w:rFonts w:ascii="Times New Roman" w:hAnsi="Times New Roman"/>
          <w:color w:val="000000"/>
          <w:sz w:val="16"/>
        </w:rPr>
        <w:t>and $40,260</w:t>
      </w:r>
      <w:r>
        <w:rPr>
          <w:color w:val="000000"/>
        </w:rPr>
        <w:t xml:space="preserve"> </w:t>
      </w:r>
      <w:r>
        <w:rPr>
          <w:rFonts w:ascii="Times New Roman" w:hAnsi="Times New Roman"/>
          <w:color w:val="000000"/>
          <w:sz w:val="16"/>
        </w:rPr>
        <w:t>during the three and nine months ended March 31, 2024, respectively.</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(d)</w:t>
      </w:r>
    </w:p>
    <w:p>
      <w:pPr>
        <w:pStyle w:val="TextBody"/>
        <w:bidi w:val="0"/>
        <w:spacing w:before="120" w:after="283"/>
        <w:jc w:val="left"/>
        <w:rPr/>
      </w:pPr>
      <w:r>
        <w:rPr>
          <w:rFonts w:ascii="Times New Roman" w:hAnsi="Times New Roman"/>
          <w:color w:val="000000"/>
          <w:sz w:val="16"/>
        </w:rPr>
        <w:t>Includes charge backs to the joint venture, an equity method investment, related to research and development of $373</w:t>
      </w:r>
      <w:r>
        <w:rPr>
          <w:color w:val="000000"/>
        </w:rPr>
        <w:t xml:space="preserve"> </w:t>
      </w:r>
      <w:r>
        <w:rPr>
          <w:rFonts w:ascii="Times New Roman" w:hAnsi="Times New Roman"/>
          <w:color w:val="000000"/>
          <w:sz w:val="16"/>
        </w:rPr>
        <w:t>and $1,105</w:t>
      </w:r>
      <w:r>
        <w:rPr>
          <w:color w:val="000000"/>
        </w:rPr>
        <w:t xml:space="preserve"> </w:t>
      </w:r>
      <w:r>
        <w:rPr>
          <w:rFonts w:ascii="Times New Roman" w:hAnsi="Times New Roman"/>
          <w:color w:val="000000"/>
          <w:sz w:val="16"/>
        </w:rPr>
        <w:t>during the three and nine months ended March 31, 2025, and $199</w:t>
      </w:r>
      <w:r>
        <w:rPr>
          <w:color w:val="000000"/>
        </w:rPr>
        <w:t xml:space="preserve"> </w:t>
      </w:r>
      <w:r>
        <w:rPr>
          <w:rFonts w:ascii="Times New Roman" w:hAnsi="Times New Roman"/>
          <w:color w:val="000000"/>
          <w:sz w:val="16"/>
        </w:rPr>
        <w:t>during the nine months ended March 31, 2024. There were no</w:t>
      </w:r>
      <w:r>
        <w:rPr>
          <w:color w:val="000000"/>
        </w:rPr>
        <w:t xml:space="preserve"> </w:t>
      </w:r>
      <w:r>
        <w:rPr>
          <w:rFonts w:ascii="Times New Roman" w:hAnsi="Times New Roman"/>
          <w:color w:val="000000"/>
          <w:sz w:val="16"/>
        </w:rPr>
        <w:t>charge backs to the joint venture related to research and development during the three months ended March 31, 2024.</w:t>
      </w:r>
    </w:p>
    <w:p>
      <w:pPr>
        <w:pStyle w:val="TextBody"/>
        <w:bidi w:val="0"/>
        <w:spacing w:before="120"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5" w:name="unaudited_condensed_consolidated_equity"/>
      <w:bookmarkEnd w:id="5"/>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44"/>
        <w:gridCol w:w="146"/>
        <w:gridCol w:w="146"/>
        <w:gridCol w:w="781"/>
        <w:gridCol w:w="166"/>
        <w:gridCol w:w="146"/>
        <w:gridCol w:w="211"/>
        <w:gridCol w:w="421"/>
        <w:gridCol w:w="146"/>
        <w:gridCol w:w="146"/>
        <w:gridCol w:w="211"/>
        <w:gridCol w:w="781"/>
        <w:gridCol w:w="166"/>
        <w:gridCol w:w="146"/>
        <w:gridCol w:w="274"/>
        <w:gridCol w:w="822"/>
        <w:gridCol w:w="166"/>
        <w:gridCol w:w="146"/>
        <w:gridCol w:w="211"/>
        <w:gridCol w:w="841"/>
        <w:gridCol w:w="166"/>
        <w:gridCol w:w="146"/>
        <w:gridCol w:w="229"/>
        <w:gridCol w:w="735"/>
        <w:gridCol w:w="212"/>
      </w:tblGrid>
      <w:tr>
        <w:trPr/>
        <w:tc>
          <w:tcPr>
            <w:tcW w:w="2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48"/>
        <w:gridCol w:w="146"/>
        <w:gridCol w:w="146"/>
        <w:gridCol w:w="676"/>
        <w:gridCol w:w="166"/>
        <w:gridCol w:w="146"/>
        <w:gridCol w:w="239"/>
        <w:gridCol w:w="392"/>
        <w:gridCol w:w="146"/>
        <w:gridCol w:w="146"/>
        <w:gridCol w:w="211"/>
        <w:gridCol w:w="781"/>
        <w:gridCol w:w="166"/>
        <w:gridCol w:w="146"/>
        <w:gridCol w:w="274"/>
        <w:gridCol w:w="822"/>
        <w:gridCol w:w="166"/>
        <w:gridCol w:w="146"/>
        <w:gridCol w:w="211"/>
        <w:gridCol w:w="841"/>
        <w:gridCol w:w="166"/>
        <w:gridCol w:w="146"/>
        <w:gridCol w:w="229"/>
        <w:gridCol w:w="736"/>
        <w:gridCol w:w="213"/>
      </w:tblGrid>
      <w:tr>
        <w:trPr/>
        <w:tc>
          <w:tcPr>
            <w:tcW w:w="2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6" w:name="unaudited_condensed_consolidated"/>
      <w:bookmarkEnd w:id="6"/>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9294" w:type="dxa"/>
        <w:jc w:val="left"/>
        <w:tblInd w:w="0" w:type="dxa"/>
        <w:tblLayout w:type="fixed"/>
        <w:tblCellMar>
          <w:top w:w="28" w:type="dxa"/>
          <w:left w:w="28" w:type="dxa"/>
          <w:bottom w:w="28" w:type="dxa"/>
          <w:right w:w="28" w:type="dxa"/>
        </w:tblCellMar>
      </w:tblPr>
      <w:tblGrid>
        <w:gridCol w:w="6331"/>
        <w:gridCol w:w="146"/>
        <w:gridCol w:w="211"/>
        <w:gridCol w:w="736"/>
        <w:gridCol w:w="166"/>
        <w:gridCol w:w="146"/>
        <w:gridCol w:w="211"/>
        <w:gridCol w:w="736"/>
        <w:gridCol w:w="61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(recovery) from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write-down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gross profit on sales to the JV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net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for software to be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Paydown under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under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from inventory to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from inventory to prepaid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to leasehold improvement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balance sheet items reclassed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capitalized software costs to be sold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purchase of property and equipment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7" w:name="notes_to_unaudited_condensed_consolidate"/>
      <w:bookmarkEnd w:id="7"/>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The Company and its Significant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Accuray Incorporated (together with its subsidiaries, the “Company” or “Accuray”) designs, develops and sells advanced radiosurgery and radiation therapy systems for the treatment of tumors throughout the body. The Company is incorporated in Delaware and its headquarters are located in Madison, Wisconsin. The Company has primary offices in the United States, Switzerland, China, Hong Kong, and Japan, and conducts its business worldwide.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its wholly-owned subsidiaries. All significant intercompany transactions and balances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United States generally accepted accounting principles (“U.S. GAAP”), pursuant to the rules and regulations of the Securities and Exchange Commission (the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The results for the three and nine months ended March 31, 2025, are not necessarily indicative of the results to be expected for the fiscal year ending June 30, 2025, or for any other future interim period or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unaudited condensed consolidated financial statements should be read in conjunction with the Company’s audited consolidated financial statements and accompanying notes for the fiscal year ended June 30, 2024, included in the Company’s Annual Report on Form 10-K filed with the SEC on September 19, 2024.</w:t>
      </w:r>
    </w:p>
    <w:p>
      <w:pPr>
        <w:pStyle w:val="TextBody"/>
        <w:bidi w:val="0"/>
        <w:spacing w:before="200" w:after="283"/>
        <w:jc w:val="left"/>
        <w:rPr>
          <w:rFonts w:ascii="Times New Roman" w:hAnsi="Times New Roman"/>
          <w:b/>
          <w:color w:val="212529"/>
          <w:sz w:val="20"/>
        </w:rPr>
      </w:pPr>
      <w:r>
        <w:rPr>
          <w:rFonts w:ascii="Times New Roman" w:hAnsi="Times New Roman"/>
          <w:b/>
          <w:color w:val="212529"/>
          <w:sz w:val="20"/>
        </w:rPr>
        <w:t>Reclassifications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in the prior year unaudited condensed financial statements and notes to unaudited condensed consolidated financial statements have been reclassified to conform to current year presentation.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geopolitical concerns, such as the Russia-Ukraine and Middle East conflicts and increasing tension between China and the U.S., including with respect to Taiwan;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and other factors that may emerge. The Company is also continuing to navigate supply chain and inflation challenges, and adverse foreign currency exchange rate fluctuations, all of which continues to be a significant headwind that affects the Company’s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the business of its customers and its own business will continue to be adversely impacted, directly or indirectly, by these macroeconomic and geopolitical issues. In addition, ongoing supply chain challenges and logistics costs, including difficulties in obtaining a sufficient supply of component materials and increased component costs, have adversely affected the Company's gross margins and net income (loss), and the Company’s current expectations are that gross margins and net income (loss) will continue to be adversely affected by increased material costs and freight and logistic expenses through calendar year 2025. In addition, the Company expects inflation and the ongoing supply chain challenges and logistics costs to impact its cash from operations through calendar year 2025. In addition, reduced budgets and lower capital deployment priority for radiotherapy equipment, along with longer customer installation timelines, in the United States have negatively impacted net revenue since fiscal year 2024, and the Company expects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trends, including conversion of backlog to revenue, income (loss) from operations, net income (loss), net income (loss) per share and cash flows may differ materially.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continues to critically review its liquidity and anticipated capital requirements in light of the significant uncertainty created by geopolitical and macroeconomic conditions. Based on the Company’s cash and cash equivalents balance, available debt facilities, current business plan and revenue prospects, the Company believes that it will have sufficient cash resources and anticipated cash flows to fund its operations for at least the next 12 months. The Company, however, is unable to predict with certainty the impact of geopolitical and macroeconomic conditions, including its effect on the global supply chain, inflation and foreign currency exchange rates, will have on its ability to maintain compliance with the debt covenants contained in the credit agreement (the “Credit Agreement”) related to its term loan and revolving credit facility (the "Credit Facilities"), including financial covenants regarding the consolidated fixed charge coverage ratio and consolidated senior net leverage ratio, as well as its ability to refinance its existing debt.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Failing to comply with the covenants to the Credit Agreement, as amended,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Credit Facilities will depend in part on its future operating performance. In addition, because substantially all of the Company’s assets are pledged as a security under the Credit Facilities, if the Company is not able to cure any default or repay outstanding borrowings, such assets are subject to the risk of foreclosure by the Company’s lenders. Failure to meet the covenant requirements in the future could cause the Company to be in default and the maturity of the related debt could be accelerated and become immediately payable. This may require the Company to obtain waivers or additional amendments to the Credit Agreement in order to maintain compliance and there can be no certainty that any such waiver or amendment will be available, or what the cost of such waiver or amendment, if obtained, would be. If the Company is unable to obtain necessary waivers or amendments and the debt under such credit facility is accelerated, the Company would be required to obtain replacement financing at prevailing market rates, which may not be favorable to the Company. There is no guarantee that the Company would be able to satisfy its obligations if any of its indebtedness is accelerated</w:t>
      </w:r>
      <w:r>
        <w:rPr>
          <w:rFonts w:ascii="Times New Roman" w:hAnsi="Times New Roman"/>
          <w:color w:val="212529"/>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Credit Facilities will mature on May 6, 2026 and the Company's outstanding 3.75% Convertible Senior Notes (the "Notes") will mature on June 1, 2026, both of which will need to be paid or refinanced by maturity. On the maturity date, the Company will be required to pay $50.0 million on its term loan facility, any unpaid balance on its revolving credit facility and $100.0 million on the Notes. If the Company is unable to repay or refinance the amounts outstanding under the Credit Facilities and the amounts due on the Notes by the time such amounts become current on May 6, 2025 and June 1, 2025, respectively, or if the Company does not have committed financing or available liquidity to meet such debt obligations if they were to become due in accordance with their current terms, the Company's ability to continue as a going concern may be adversely affected. If the Company is unable to refinance its debt prior to such debt becoming current, it could significantly reduce the Company’s cash as well as its ability to continue to support its business growth and to respond to business challenges, and the Company’s business and ability to continue as a going concern may be adversely affected.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529"/>
          <w:sz w:val="20"/>
        </w:rPr>
        <w:t>There have been no material changes in the Company’s significant accounting policies during the nine months ended March 31, 2025, compared to the significant accounting policies described in its Annual Report on Form 10-K for the fiscal year ended June 30, 2024</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Accounting Pronouncements - Adopted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2023, the FASB issued ASU 2023-07 to improve reportable segment disclosures. The ASU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The update will be effective for annual periods beginning after December 15, 2023 and interim periods within annual periods beginning after December 15, 2024. The Company adopted ASU 2023-07 on July 1, 2024 and will begin to make disclosures in its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Report on Form 10-K for the period ended June 30, 2025 financial statements. The Company assessed the impact of this update and expects it will not have a material impact on its consolidated financial statement disclosure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Accounting Pronouncements - Not Yet Effective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Financial Accounting Standards Board (“FASB”) issued accounting standard update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update is effective for annual periods beginning after December 15, 2026. The Company plans to adopt ASU 2024-03 on July 1, 2027. The requirements will be applied prospectively with the option for retrospective application. Early adoption is permitted. The Company is currently assessing the impact of adopting the updated provisions.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ASU 2023-09 to improve the transparency and usefulness of income tax disclosures. The accounting standard expands disclosures to the entity’s income tax rate reconciliation table and requires cash taxes paid disaggregated by jurisdiction. These changes will be applied on a prospective basis. The update is effective for annual periods beginning after December 15, 2024, with early adoption permitted. The Company plans to adopt ASU 2023-09 on July 1, 2025. The ASU requires retrospective application to all prior periods presented in the financial statements. The Company is currently assessing the timing and impact of adopting the updated provisions.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 Revenue</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timing of revenue recognition, billings, and cash collections results in trade receivables, unbilled receivables, and deferred revenues on the unaudited condensed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 When the Company receives advances or deposits from customers before revenue is recognized, this results in a contract liability. It can take two or more years from the time of order to revenue recognition due to the Company’s long sales cycle.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the contract assets and liabilities are as follows (dollars in thousands): </w:t>
      </w:r>
    </w:p>
    <w:p>
      <w:pPr>
        <w:pStyle w:val="TextBody"/>
        <w:bidi w:val="0"/>
        <w:jc w:val="left"/>
        <w:rPr/>
      </w:pPr>
      <w:r>
        <w:rPr/>
        <w:t> </w:t>
      </w:r>
    </w:p>
    <w:tbl>
      <w:tblPr>
        <w:tblW w:w="8060" w:type="dxa"/>
        <w:jc w:val="left"/>
        <w:tblInd w:w="0" w:type="dxa"/>
        <w:tblLayout w:type="fixed"/>
        <w:tblCellMar>
          <w:top w:w="28" w:type="dxa"/>
          <w:left w:w="28" w:type="dxa"/>
          <w:bottom w:w="28" w:type="dxa"/>
          <w:right w:w="28" w:type="dxa"/>
        </w:tblCellMar>
      </w:tblPr>
      <w:tblGrid>
        <w:gridCol w:w="3511"/>
        <w:gridCol w:w="146"/>
        <w:gridCol w:w="214"/>
        <w:gridCol w:w="686"/>
        <w:gridCol w:w="146"/>
        <w:gridCol w:w="146"/>
        <w:gridCol w:w="211"/>
        <w:gridCol w:w="676"/>
        <w:gridCol w:w="146"/>
        <w:gridCol w:w="146"/>
        <w:gridCol w:w="146"/>
        <w:gridCol w:w="676"/>
        <w:gridCol w:w="166"/>
        <w:gridCol w:w="146"/>
        <w:gridCol w:w="146"/>
        <w:gridCol w:w="376"/>
        <w:gridCol w:w="37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Unbilled accounts receivable – current </w:t>
            </w: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receivable – current </w:t>
            </w: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accounts receivable </w:t>
            </w: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receivable – non-current </w:t>
            </w: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Included in accounts receivable on the unaudited condensed consolidated balance sheets.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Included in prepaid expenses and other current assets on the unaudited condensed consolidated balance sheets.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Included in other assets on the unaudited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nine months ended March 31, 2025, contract assets changed primarily due to changes in the timing of billings that occurred after revenues were recognized and changes in transactions with payment terms exceeding 12 months. During the nine months ended March 31, 2025, contract liabilities changed due to changes in the timing of revenue recognition as a result of changes in shipping timing, modifications to the transaction price, reduced customer deposits for system sales, and for which the warranty was deferred.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nine months ended March 31, 2025, the Company recognized revenue of $12.3 million and $56.4 million, which was included in the deferred revenue balances as of June 30, 2024. During the three and nine months ended March 31, 2024, the Company recognized revenue of $14.1 million and $65.3 million, which was included in the deferred revenue balances as of June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Remaining performance obligations represent deferred revenue from open contracts for which performance has already started and the transaction price from executed contracts for which performance has not yet started. Service contracts in general are considered month-to-month contracts.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total remaining performance obligations amounted to $886.1 million. Of this total amount, $60.0 million related to long-term warranty and non-cancellable post-warranty services, which is the estimated revenue expected to be recognized over the remaining service period and warranty period for systems that have been delivered (the time bands reflect management’s best estimate of when the Company will transfer control to the customer and may change based on timing of shipment, readiness of customers’ facilities for installation, installation requirements, and availability of products). The Company has elected the practical expedient to not disclose the unsatisfied performance obligations of contracts with an original expected duration of one year or less.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represents the Company's remaining performance obligations related to long-term warranty and non-cancellable post-warranty services as of March 31, 2025 (in thousands):</w:t>
      </w:r>
    </w:p>
    <w:p>
      <w:pPr>
        <w:pStyle w:val="TextBody"/>
        <w:bidi w:val="0"/>
        <w:jc w:val="left"/>
        <w:rPr/>
      </w:pPr>
      <w:r>
        <w:rPr/>
        <w:t> </w:t>
      </w:r>
    </w:p>
    <w:tbl>
      <w:tblPr>
        <w:tblW w:w="9921" w:type="dxa"/>
        <w:jc w:val="left"/>
        <w:tblInd w:w="0" w:type="dxa"/>
        <w:tblLayout w:type="fixed"/>
        <w:tblCellMar>
          <w:top w:w="28" w:type="dxa"/>
          <w:left w:w="28" w:type="dxa"/>
          <w:bottom w:w="28" w:type="dxa"/>
          <w:right w:w="28" w:type="dxa"/>
        </w:tblCellMar>
      </w:tblPr>
      <w:tblGrid>
        <w:gridCol w:w="5266"/>
        <w:gridCol w:w="146"/>
        <w:gridCol w:w="211"/>
        <w:gridCol w:w="571"/>
        <w:gridCol w:w="146"/>
        <w:gridCol w:w="146"/>
        <w:gridCol w:w="211"/>
        <w:gridCol w:w="676"/>
        <w:gridCol w:w="146"/>
        <w:gridCol w:w="146"/>
        <w:gridCol w:w="211"/>
        <w:gridCol w:w="676"/>
        <w:gridCol w:w="146"/>
        <w:gridCol w:w="146"/>
        <w:gridCol w:w="239"/>
        <w:gridCol w:w="647"/>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of revenue recognition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warranty and non-cancellable post-warranty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remaining $826.1 million of performance obligations (i.e., open systems sales, upgrades, training and other miscellaneous items), the Company estimates 27% to 35% will be recognized in the next 12 months, and the remaining portion will be recognized thereafter. The Company’s historical experience indicates that some of its customers will cancel or renegotiate contracts as economic conditions change or when product offerings change during the long sales cycle. The Company anticipates a portion of its open contracts may never result in revenue recognition primarily due to the long sales cycle and factors outside of its control, including changes to its customers' needs or financial condition, changes in government or health insurance reimbursement policies, or changes to regulatory requirements. Based on historical experience and management's best estimate, approximately 26% of the Company’s $780.5 million open system sales contracts as of March 31, 2025 may never result in revenue.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Capitalized Contract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2025 and June 30, 2024, the balance of capitalized costs to obtain a contract was $7.3 million and $9.6 million, respectively. The Company has classified the capitalized costs to obtain a contract as a component of prepaid expenses and other current assets and other assets with respect to the current and non-current portions of capitalized costs, respectively, on the unaudited condensed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Expenses related to capitalized costs to obtain a contract consisted of the following (in thousands):</w:t>
      </w:r>
    </w:p>
    <w:p>
      <w:pPr>
        <w:pStyle w:val="TextBody"/>
        <w:bidi w:val="0"/>
        <w:jc w:val="left"/>
        <w:rPr/>
      </w:pPr>
      <w:r>
        <w:rPr/>
        <w:t> </w:t>
      </w:r>
    </w:p>
    <w:tbl>
      <w:tblPr>
        <w:tblW w:w="7702" w:type="dxa"/>
        <w:jc w:val="left"/>
        <w:tblInd w:w="0" w:type="dxa"/>
        <w:tblLayout w:type="fixed"/>
        <w:tblCellMar>
          <w:top w:w="28" w:type="dxa"/>
          <w:left w:w="28" w:type="dxa"/>
          <w:bottom w:w="28" w:type="dxa"/>
          <w:right w:w="28" w:type="dxa"/>
        </w:tblCellMar>
      </w:tblPr>
      <w:tblGrid>
        <w:gridCol w:w="3511"/>
        <w:gridCol w:w="146"/>
        <w:gridCol w:w="211"/>
        <w:gridCol w:w="421"/>
        <w:gridCol w:w="146"/>
        <w:gridCol w:w="146"/>
        <w:gridCol w:w="211"/>
        <w:gridCol w:w="571"/>
        <w:gridCol w:w="146"/>
        <w:gridCol w:w="146"/>
        <w:gridCol w:w="211"/>
        <w:gridCol w:w="571"/>
        <w:gridCol w:w="146"/>
        <w:gridCol w:w="146"/>
        <w:gridCol w:w="211"/>
        <w:gridCol w:w="571"/>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on capitalized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Supplemental Financial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Balance Sheet Components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Financing receivables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other assets on the unaudited condensed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inclusion of credit enhancements, such as guarantees, letters of credit or security deposits. The Company classifies accounts as high risk when it considers the financing receivable to be impaired or when management believes there is a significant near-term risk of non</w:t>
        <w:noBreakHyphen/>
        <w:t xml:space="preserve">payment. The Company performs an assessment each quarter of the allowance for credit losses related to its financing receivables.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the Company’s financing receivables is presented as follows (in thousands):</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2296"/>
        <w:gridCol w:w="146"/>
        <w:gridCol w:w="243"/>
        <w:gridCol w:w="657"/>
        <w:gridCol w:w="146"/>
        <w:gridCol w:w="146"/>
        <w:gridCol w:w="211"/>
        <w:gridCol w:w="571"/>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Inventories,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Inventories consisted of the following (in thousands):</w:t>
      </w:r>
    </w:p>
    <w:p>
      <w:pPr>
        <w:pStyle w:val="TextBody"/>
        <w:bidi w:val="0"/>
        <w:jc w:val="left"/>
        <w:rPr/>
      </w:pPr>
      <w:r>
        <w:rPr/>
        <w:t> </w:t>
      </w:r>
    </w:p>
    <w:tbl>
      <w:tblPr>
        <w:tblW w:w="4194" w:type="dxa"/>
        <w:jc w:val="left"/>
        <w:tblInd w:w="0" w:type="dxa"/>
        <w:tblLayout w:type="fixed"/>
        <w:tblCellMar>
          <w:top w:w="28" w:type="dxa"/>
          <w:left w:w="28" w:type="dxa"/>
          <w:bottom w:w="28" w:type="dxa"/>
          <w:right w:w="28" w:type="dxa"/>
        </w:tblCellMar>
      </w:tblPr>
      <w:tblGrid>
        <w:gridCol w:w="1481"/>
        <w:gridCol w:w="146"/>
        <w:gridCol w:w="211"/>
        <w:gridCol w:w="781"/>
        <w:gridCol w:w="146"/>
        <w:gridCol w:w="146"/>
        <w:gridCol w:w="211"/>
        <w:gridCol w:w="781"/>
        <w:gridCol w:w="291"/>
      </w:tblGrid>
      <w:tr>
        <w:trPr/>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inventories on the unaudited condensed consolidated balance sheets are net of reserves.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Prepaid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Prepaid and other current assets consisted of the following (in thousands):</w:t>
      </w:r>
    </w:p>
    <w:p>
      <w:pPr>
        <w:pStyle w:val="TextBody"/>
        <w:bidi w:val="0"/>
        <w:jc w:val="left"/>
        <w:rPr/>
      </w:pPr>
      <w:r>
        <w:rPr/>
        <w:t> </w:t>
      </w:r>
    </w:p>
    <w:tbl>
      <w:tblPr>
        <w:tblW w:w="5767" w:type="dxa"/>
        <w:jc w:val="left"/>
        <w:tblInd w:w="0" w:type="dxa"/>
        <w:tblLayout w:type="fixed"/>
        <w:tblCellMar>
          <w:top w:w="28" w:type="dxa"/>
          <w:left w:w="28" w:type="dxa"/>
          <w:bottom w:w="28" w:type="dxa"/>
          <w:right w:w="28" w:type="dxa"/>
        </w:tblCellMar>
      </w:tblPr>
      <w:tblGrid>
        <w:gridCol w:w="3251"/>
        <w:gridCol w:w="146"/>
        <w:gridCol w:w="214"/>
        <w:gridCol w:w="686"/>
        <w:gridCol w:w="146"/>
        <w:gridCol w:w="146"/>
        <w:gridCol w:w="211"/>
        <w:gridCol w:w="676"/>
        <w:gridCol w:w="291"/>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receivable from JV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5439" w:type="dxa"/>
        <w:jc w:val="left"/>
        <w:tblInd w:w="0" w:type="dxa"/>
        <w:tblLayout w:type="fixed"/>
        <w:tblCellMar>
          <w:top w:w="28" w:type="dxa"/>
          <w:left w:w="28" w:type="dxa"/>
          <w:bottom w:w="28" w:type="dxa"/>
          <w:right w:w="28" w:type="dxa"/>
        </w:tblCellMar>
      </w:tblPr>
      <w:tblGrid>
        <w:gridCol w:w="2731"/>
        <w:gridCol w:w="146"/>
        <w:gridCol w:w="211"/>
        <w:gridCol w:w="781"/>
        <w:gridCol w:w="166"/>
        <w:gridCol w:w="146"/>
        <w:gridCol w:w="211"/>
        <w:gridCol w:w="736"/>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related to property and equipment was $1.5 million and $4.5 million during the three and nine months ended March 31, 2025, and $1.6 million and $4.3 million during the three and nine months ended March 31, 2024, respectively.</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Activity related to goodwill consisted of the following (in thousands):</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3241"/>
        <w:gridCol w:w="146"/>
        <w:gridCol w:w="214"/>
        <w:gridCol w:w="686"/>
        <w:gridCol w:w="14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performed its annual goodwill impairment test in the quarter ended December 31, 2024, and determined that there was no impairment to goodwill. The Company did not identify any triggering events that would indicate a potential impairment of its goodwill as of March 31, 2025. The Company will continue to monitor its recorded goodwill for indicators of impairment every fiscal quarter.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assets consisted of the following (in thousands):</w:t>
      </w:r>
    </w:p>
    <w:p>
      <w:pPr>
        <w:pStyle w:val="TextBody"/>
        <w:bidi w:val="0"/>
        <w:jc w:val="left"/>
        <w:rPr/>
      </w:pPr>
      <w:r>
        <w:rPr/>
        <w:t> </w:t>
      </w:r>
    </w:p>
    <w:tbl>
      <w:tblPr>
        <w:tblW w:w="5202" w:type="dxa"/>
        <w:jc w:val="left"/>
        <w:tblInd w:w="0" w:type="dxa"/>
        <w:tblLayout w:type="fixed"/>
        <w:tblCellMar>
          <w:top w:w="28" w:type="dxa"/>
          <w:left w:w="28" w:type="dxa"/>
          <w:bottom w:w="28" w:type="dxa"/>
          <w:right w:w="28" w:type="dxa"/>
        </w:tblCellMar>
      </w:tblPr>
      <w:tblGrid>
        <w:gridCol w:w="2686"/>
        <w:gridCol w:w="146"/>
        <w:gridCol w:w="214"/>
        <w:gridCol w:w="686"/>
        <w:gridCol w:w="146"/>
        <w:gridCol w:w="146"/>
        <w:gridCol w:w="211"/>
        <w:gridCol w:w="676"/>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was no amortization expense or amounts written down to net realizable value for the capitalized software costs to be sold during the three and nine months ended March 31, 2025 and 2024. The Company did not identify any triggering events that would indicate a potential impairment of its definite-lived intangible and long-lived assets as of March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Accrued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accrued liabilities consisted of the following (in thousands):</w:t>
      </w:r>
    </w:p>
    <w:p>
      <w:pPr>
        <w:pStyle w:val="TextBody"/>
        <w:bidi w:val="0"/>
        <w:jc w:val="left"/>
        <w:rPr/>
      </w:pPr>
      <w:r>
        <w:rPr/>
        <w:t> </w:t>
      </w:r>
    </w:p>
    <w:tbl>
      <w:tblPr>
        <w:tblW w:w="5307" w:type="dxa"/>
        <w:jc w:val="left"/>
        <w:tblInd w:w="0" w:type="dxa"/>
        <w:tblLayout w:type="fixed"/>
        <w:tblCellMar>
          <w:top w:w="28" w:type="dxa"/>
          <w:left w:w="28" w:type="dxa"/>
          <w:bottom w:w="28" w:type="dxa"/>
          <w:right w:w="28" w:type="dxa"/>
        </w:tblCellMar>
      </w:tblPr>
      <w:tblGrid>
        <w:gridCol w:w="2791"/>
        <w:gridCol w:w="146"/>
        <w:gridCol w:w="214"/>
        <w:gridCol w:w="686"/>
        <w:gridCol w:w="146"/>
        <w:gridCol w:w="146"/>
        <w:gridCol w:w="211"/>
        <w:gridCol w:w="676"/>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due to third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Refunds due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records treasury stock at cost. Treasury stock is comprised of shares of common stock purchased by the Company in the secondary market. As of March 31, 2025, and June 30, 2024, the Company had 3.1 million shares of treasury stock valued at $14.1 million. Treasury stock is included in Additional paid-in capital on the unaudited condensed consolidated balance sheets.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Accumulated Other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changes in accumulated other comprehensive loss are excluded from earnings and reported as a component of stockholders’ equity. The foreign currency translation adjustment results from those subsidiaries not using the U.S. Dollar as their functional currency since the majority of their economic activities are primarily denominated in their applicable local currency. Accordingly, all assets and liabilities related to these operations are translated to the U.S. Dollar at the current exchange rates at the end of each period. Revenues and expenses are translated at average exchange rates in effect during the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accumulated other comprehensive loss in the stockholders' equity section of the Company’s unaudited condensed consolidated balance sheets are as follows (in thousands):</w:t>
      </w:r>
    </w:p>
    <w:p>
      <w:pPr>
        <w:pStyle w:val="TextBody"/>
        <w:bidi w:val="0"/>
        <w:jc w:val="left"/>
        <w:rPr/>
      </w:pPr>
      <w:r>
        <w:rPr/>
        <w:t> </w:t>
      </w:r>
    </w:p>
    <w:tbl>
      <w:tblPr>
        <w:tblW w:w="6812" w:type="dxa"/>
        <w:jc w:val="left"/>
        <w:tblInd w:w="0" w:type="dxa"/>
        <w:tblLayout w:type="fixed"/>
        <w:tblCellMar>
          <w:top w:w="28" w:type="dxa"/>
          <w:left w:w="28" w:type="dxa"/>
          <w:bottom w:w="28" w:type="dxa"/>
          <w:right w:w="28" w:type="dxa"/>
        </w:tblCellMar>
      </w:tblPr>
      <w:tblGrid>
        <w:gridCol w:w="4321"/>
        <w:gridCol w:w="146"/>
        <w:gridCol w:w="225"/>
        <w:gridCol w:w="675"/>
        <w:gridCol w:w="166"/>
        <w:gridCol w:w="146"/>
        <w:gridCol w:w="211"/>
        <w:gridCol w:w="631"/>
        <w:gridCol w:w="2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benefit pension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Other income (expense), net, consisted of the following (in thousands):</w:t>
      </w:r>
    </w:p>
    <w:p>
      <w:pPr>
        <w:pStyle w:val="TextBody"/>
        <w:bidi w:val="0"/>
        <w:jc w:val="left"/>
        <w:rPr/>
      </w:pPr>
      <w:r>
        <w:rPr/>
        <w:t> </w:t>
      </w:r>
    </w:p>
    <w:tbl>
      <w:tblPr>
        <w:tblW w:w="7802" w:type="dxa"/>
        <w:jc w:val="left"/>
        <w:tblInd w:w="0" w:type="dxa"/>
        <w:tblLayout w:type="fixed"/>
        <w:tblCellMar>
          <w:top w:w="28" w:type="dxa"/>
          <w:left w:w="28" w:type="dxa"/>
          <w:bottom w:w="28" w:type="dxa"/>
          <w:right w:w="28" w:type="dxa"/>
        </w:tblCellMar>
      </w:tblPr>
      <w:tblGrid>
        <w:gridCol w:w="3211"/>
        <w:gridCol w:w="146"/>
        <w:gridCol w:w="211"/>
        <w:gridCol w:w="631"/>
        <w:gridCol w:w="166"/>
        <w:gridCol w:w="146"/>
        <w:gridCol w:w="211"/>
        <w:gridCol w:w="481"/>
        <w:gridCol w:w="166"/>
        <w:gridCol w:w="146"/>
        <w:gridCol w:w="211"/>
        <w:gridCol w:w="631"/>
        <w:gridCol w:w="166"/>
        <w:gridCol w:w="146"/>
        <w:gridCol w:w="211"/>
        <w:gridCol w:w="631"/>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for hedging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operating leases for corporate offices and warehouse facilities worldwide. Additionally, the Company leases cars and copy machines that are considered operating leases. Some of the Company’s leases are non-cancellable operating lease agreements with various expiration dates through August 2035. Certain lease agreements include options to renew or terminate the lease, which are not reasonably certain to be exercised and therefore, are not factored into the determination of lease 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related to the Company’s operating leases (in thousands):</w:t>
      </w:r>
    </w:p>
    <w:p>
      <w:pPr>
        <w:pStyle w:val="TextBody"/>
        <w:bidi w:val="0"/>
        <w:jc w:val="left"/>
        <w:rPr/>
      </w:pPr>
      <w:r>
        <w:rPr/>
        <w:t> </w:t>
      </w:r>
    </w:p>
    <w:tbl>
      <w:tblPr>
        <w:tblW w:w="10147" w:type="dxa"/>
        <w:jc w:val="left"/>
        <w:tblInd w:w="0" w:type="dxa"/>
        <w:tblLayout w:type="fixed"/>
        <w:tblCellMar>
          <w:top w:w="28" w:type="dxa"/>
          <w:left w:w="28" w:type="dxa"/>
          <w:bottom w:w="28" w:type="dxa"/>
          <w:right w:w="28" w:type="dxa"/>
        </w:tblCellMar>
      </w:tblPr>
      <w:tblGrid>
        <w:gridCol w:w="5806"/>
        <w:gridCol w:w="146"/>
        <w:gridCol w:w="211"/>
        <w:gridCol w:w="571"/>
        <w:gridCol w:w="146"/>
        <w:gridCol w:w="146"/>
        <w:gridCol w:w="211"/>
        <w:gridCol w:w="571"/>
        <w:gridCol w:w="146"/>
        <w:gridCol w:w="146"/>
        <w:gridCol w:w="211"/>
        <w:gridCol w:w="571"/>
        <w:gridCol w:w="146"/>
        <w:gridCol w:w="146"/>
        <w:gridCol w:w="211"/>
        <w:gridCol w:w="571"/>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costs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Excludes expenses related to short-term lease operating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right-of-use assets and operating lease liabilities consisted of the following (in thousands):</w:t>
      </w:r>
    </w:p>
    <w:p>
      <w:pPr>
        <w:pStyle w:val="TextBody"/>
        <w:bidi w:val="0"/>
        <w:jc w:val="left"/>
        <w:rPr/>
      </w:pPr>
      <w:r>
        <w:rPr/>
        <w:t> </w:t>
      </w:r>
    </w:p>
    <w:tbl>
      <w:tblPr>
        <w:tblW w:w="6607" w:type="dxa"/>
        <w:jc w:val="left"/>
        <w:tblInd w:w="0" w:type="dxa"/>
        <w:tblLayout w:type="fixed"/>
        <w:tblCellMar>
          <w:top w:w="28" w:type="dxa"/>
          <w:left w:w="28" w:type="dxa"/>
          <w:bottom w:w="28" w:type="dxa"/>
          <w:right w:w="28" w:type="dxa"/>
        </w:tblCellMar>
      </w:tblPr>
      <w:tblGrid>
        <w:gridCol w:w="4051"/>
        <w:gridCol w:w="146"/>
        <w:gridCol w:w="214"/>
        <w:gridCol w:w="686"/>
        <w:gridCol w:w="166"/>
        <w:gridCol w:w="146"/>
        <w:gridCol w:w="211"/>
        <w:gridCol w:w="676"/>
        <w:gridCol w:w="3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assets added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added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and interest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operating lease liabilities as of March 31, 2025, are presented in the table below (dollars in thousands):</w:t>
      </w:r>
    </w:p>
    <w:p>
      <w:pPr>
        <w:pStyle w:val="TextBody"/>
        <w:bidi w:val="0"/>
        <w:jc w:val="left"/>
        <w:rPr/>
      </w:pPr>
      <w:r>
        <w:rPr/>
        <w:t> </w:t>
      </w:r>
    </w:p>
    <w:tbl>
      <w:tblPr>
        <w:tblW w:w="4815" w:type="dxa"/>
        <w:jc w:val="left"/>
        <w:tblInd w:w="0" w:type="dxa"/>
        <w:tblLayout w:type="fixed"/>
        <w:tblCellMar>
          <w:top w:w="28" w:type="dxa"/>
          <w:left w:w="28" w:type="dxa"/>
          <w:bottom w:w="28" w:type="dxa"/>
          <w:right w:w="28" w:type="dxa"/>
        </w:tblCellMar>
      </w:tblPr>
      <w:tblGrid>
        <w:gridCol w:w="3511"/>
        <w:gridCol w:w="146"/>
        <w:gridCol w:w="211"/>
        <w:gridCol w:w="736"/>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 weighted-average remaining lease term and weighted-average discount rate for operating leases were as follows:</w:t>
      </w:r>
    </w:p>
    <w:p>
      <w:pPr>
        <w:pStyle w:val="TextBody"/>
        <w:bidi w:val="0"/>
        <w:jc w:val="left"/>
        <w:rPr/>
      </w:pPr>
      <w:r>
        <w:rPr/>
        <w:t> </w:t>
      </w:r>
    </w:p>
    <w:tbl>
      <w:tblPr>
        <w:tblW w:w="6655" w:type="dxa"/>
        <w:jc w:val="left"/>
        <w:tblInd w:w="0" w:type="dxa"/>
        <w:tblLayout w:type="fixed"/>
        <w:tblCellMar>
          <w:top w:w="28" w:type="dxa"/>
          <w:left w:w="28" w:type="dxa"/>
          <w:bottom w:w="28" w:type="dxa"/>
          <w:right w:w="28" w:type="dxa"/>
        </w:tblCellMar>
      </w:tblPr>
      <w:tblGrid>
        <w:gridCol w:w="4111"/>
        <w:gridCol w:w="146"/>
        <w:gridCol w:w="214"/>
        <w:gridCol w:w="686"/>
        <w:gridCol w:w="271"/>
        <w:gridCol w:w="146"/>
        <w:gridCol w:w="182"/>
        <w:gridCol w:w="58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Derivative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utilizes foreign currency forward contracts with reputable financial institutions to manage its exposure of fluctuations in foreign currency exchange rates on certain intercompany balances and foreign currency denominated cash, customer receivables and liabilities. The Company does not use derivative financial instruments for speculative or trading purposes. These forward contracts are not designated as hedging instruments for accounting purposes. Principal hedged currencies primarily include the Japanese Yen, Swiss Franc, and Euro. The periods of these forward contracts range up to approximately three months and the notional amounts are intended to be consistent with changes in the underlying exposures.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notional amount of the Company's outstanding forward currency exchange contracts consisted of the following (in thousands):</w:t>
      </w:r>
    </w:p>
    <w:p>
      <w:pPr>
        <w:pStyle w:val="TextBody"/>
        <w:bidi w:val="0"/>
        <w:jc w:val="left"/>
        <w:rPr/>
      </w:pPr>
      <w:r>
        <w:rPr/>
        <w:t> </w:t>
      </w:r>
    </w:p>
    <w:tbl>
      <w:tblPr>
        <w:tblW w:w="7299" w:type="dxa"/>
        <w:jc w:val="left"/>
        <w:tblInd w:w="0" w:type="dxa"/>
        <w:tblLayout w:type="fixed"/>
        <w:tblCellMar>
          <w:top w:w="28" w:type="dxa"/>
          <w:left w:w="28" w:type="dxa"/>
          <w:bottom w:w="28" w:type="dxa"/>
          <w:right w:w="28" w:type="dxa"/>
        </w:tblCellMar>
      </w:tblPr>
      <w:tblGrid>
        <w:gridCol w:w="4691"/>
        <w:gridCol w:w="146"/>
        <w:gridCol w:w="211"/>
        <w:gridCol w:w="781"/>
        <w:gridCol w:w="146"/>
        <w:gridCol w:w="146"/>
        <w:gridCol w:w="211"/>
        <w:gridCol w:w="676"/>
        <w:gridCol w:w="291"/>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Swiss Franc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Japanese Yen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 Rupee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Chinese Yuan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Korean Won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Canadian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Pound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outstanding forward currency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Gains and losses on the Company's foreign currency forward contracts are recorded in other income (expense), net, on the Company's unaudited condensed consolidated statements of operations. The following table provides information about the gain or loss associated with the Company’s derivative financial instruments not designated as hedging instruments (in thousands):</w:t>
      </w:r>
    </w:p>
    <w:p>
      <w:pPr>
        <w:pStyle w:val="TextBody"/>
        <w:bidi w:val="0"/>
        <w:jc w:val="left"/>
        <w:rPr/>
      </w:pPr>
      <w:r>
        <w:rPr/>
        <w:t> </w:t>
      </w:r>
    </w:p>
    <w:tbl>
      <w:tblPr>
        <w:tblW w:w="8637" w:type="dxa"/>
        <w:jc w:val="left"/>
        <w:tblInd w:w="0" w:type="dxa"/>
        <w:tblLayout w:type="fixed"/>
        <w:tblCellMar>
          <w:top w:w="28" w:type="dxa"/>
          <w:left w:w="28" w:type="dxa"/>
          <w:bottom w:w="28" w:type="dxa"/>
          <w:right w:w="28" w:type="dxa"/>
        </w:tblCellMar>
      </w:tblPr>
      <w:tblGrid>
        <w:gridCol w:w="4381"/>
        <w:gridCol w:w="146"/>
        <w:gridCol w:w="211"/>
        <w:gridCol w:w="481"/>
        <w:gridCol w:w="166"/>
        <w:gridCol w:w="146"/>
        <w:gridCol w:w="211"/>
        <w:gridCol w:w="631"/>
        <w:gridCol w:w="166"/>
        <w:gridCol w:w="146"/>
        <w:gridCol w:w="211"/>
        <w:gridCol w:w="376"/>
        <w:gridCol w:w="166"/>
        <w:gridCol w:w="146"/>
        <w:gridCol w:w="211"/>
        <w:gridCol w:w="631"/>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loss on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Fair Value Measurements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Level 1— </w:t>
      </w:r>
      <w:r>
        <w:rPr>
          <w:rFonts w:ascii="Times New Roman" w:hAnsi="Times New Roman"/>
          <w:color w:val="000000"/>
          <w:sz w:val="20"/>
        </w:rPr>
        <w:t>Unadjusted quoted prices that are available in active markets for the identical assets or liabilities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Level 2— </w:t>
      </w:r>
      <w:r>
        <w:rPr>
          <w:rFonts w:ascii="Times New Roman" w:hAnsi="Times New Roman"/>
          <w:color w:val="000000"/>
          <w:sz w:val="20"/>
        </w:rPr>
        <w:t>Other observable inputs available at the measurement date, other than quoted prices included in Level 1, either directly or indirectly, including: quoted prices for similar assets or liabilities in active markets; quoted prices for identical or similar assets in non-active markets; inputs other than quoted prices that are observable for the asset or liability; and inputs that are derived principally from or corroborated by other observable market data.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Level 3— </w:t>
      </w:r>
      <w:r>
        <w:rPr>
          <w:rFonts w:ascii="Times New Roman" w:hAnsi="Times New Roman"/>
          <w:color w:val="000000"/>
          <w:sz w:val="20"/>
        </w:rPr>
        <w:t>Unobservable inputs that cannot be corroborated by observable market data and require the use of significant management judgment. These values are generally determined using pricing models for which the assumptions utilize management’s estimates of market participant assumptions.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Assets and Liabilities That Are Measured at Fair Value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2025, the Company had open currency forward contracts to purchase or sell foreign currencies with a stated or notional value of $116.4 million. The fair value of the underlying currency, based upon the March 31, 2025, exchange rate, was $116.5 million, which it considers to be a Level 2 fair value measurement.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2024, the Company had open currency forward contracts to purchase or sell foreign currencies with a stated or notional value of $88.0 million. The fair value of the underlying currency, based upon the June 30, 2024,exchange rate, was $87.7 million, which it considers to be a Level 2 fair value measurement.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convertible debt is measured on a recurring basis using Level 2 based upon observable inputs. The Company's Revolving Credit Facility and Term Loan Facility (as defined in Note 8) collectively (the “Credit Facilities”) reflect the bank quoted market rates, which the Company considers to be a Level 2 fair value measurement. The Company believes that the carrying value of the Credit Facilities approximates its estimated fair value based on the effective interest rate, compared to the current market rate available to the Company at quarter-end.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table below summarizes the carrying value and estimated fair value of the 3.75% Convertible Senior Notes due June 1, 2026, Term Loan Facility, and the Revolving Credit Facility (in thousands):</w:t>
      </w:r>
    </w:p>
    <w:p>
      <w:pPr>
        <w:pStyle w:val="TextBody"/>
        <w:bidi w:val="0"/>
        <w:jc w:val="left"/>
        <w:rPr/>
      </w:pPr>
      <w:r>
        <w:rPr/>
        <w:t> </w:t>
      </w:r>
    </w:p>
    <w:tbl>
      <w:tblPr>
        <w:tblW w:w="8882" w:type="dxa"/>
        <w:jc w:val="left"/>
        <w:tblInd w:w="0" w:type="dxa"/>
        <w:tblLayout w:type="fixed"/>
        <w:tblCellMar>
          <w:top w:w="28" w:type="dxa"/>
          <w:left w:w="28" w:type="dxa"/>
          <w:bottom w:w="28" w:type="dxa"/>
          <w:right w:w="28" w:type="dxa"/>
        </w:tblCellMar>
      </w:tblPr>
      <w:tblGrid>
        <w:gridCol w:w="3601"/>
        <w:gridCol w:w="146"/>
        <w:gridCol w:w="211"/>
        <w:gridCol w:w="781"/>
        <w:gridCol w:w="146"/>
        <w:gridCol w:w="146"/>
        <w:gridCol w:w="211"/>
        <w:gridCol w:w="781"/>
        <w:gridCol w:w="146"/>
        <w:gridCol w:w="146"/>
        <w:gridCol w:w="211"/>
        <w:gridCol w:w="781"/>
        <w:gridCol w:w="146"/>
        <w:gridCol w:w="146"/>
        <w:gridCol w:w="211"/>
        <w:gridCol w:w="781"/>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3.75% Convertible Notes due June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159,136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Litigation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Indemnities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Company’s software license agreements with its customers, the Company agrees that in the event the software sold infringes upon any patent, copyright, trademark, or any other proprietary right of a third-party, it will indemnify its customer licensees against any loss, expense, or liability from any damages that may be awarded against its customer. The Company includes this infringement indemnification in all of its software license agreements and selected managed services arrangements. In the event the customer cannot use the software or service due to infringement and the Company cannot obtain the right to use, replace or modify the license or service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March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enters into standard indemnification agreements with its landlords and all superior mortgagees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March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Guarantees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and June 30, 2024, the Company had various bank guarantees totaling $1.3 million and $1.1 million, respectively, primarily related to bidding processes with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Royalty</w:t>
      </w:r>
      <w:r>
        <w:rPr>
          <w:rFonts w:ascii="Times New Roman" w:hAnsi="Times New Roman"/>
          <w:color w:val="000000"/>
          <w:sz w:val="20"/>
        </w:rPr>
        <w:t xml:space="preserve"> </w:t>
      </w:r>
      <w:r>
        <w:rPr>
          <w:rFonts w:ascii="Times New Roman" w:hAnsi="Times New Roman"/>
          <w:b/>
          <w:color w:val="000000"/>
          <w:sz w:val="20"/>
        </w:rPr>
        <w:t>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software license agreements with third parties that require royalty payments for each license used. In connection with such agreements, the Company records royalty costs in cost of revenue or deferred cost of revenue. The Company had approximately $3.1 million and $2.9 million in accrued royalty payments as of March 31, 2025, and June 30, 2024, respectively, related to royalty agreements. The following table provides information about the Company’s royalty expense and royalty payments (in thousands):</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1606"/>
        <w:gridCol w:w="146"/>
        <w:gridCol w:w="223"/>
        <w:gridCol w:w="446"/>
        <w:gridCol w:w="154"/>
        <w:gridCol w:w="154"/>
        <w:gridCol w:w="223"/>
        <w:gridCol w:w="446"/>
        <w:gridCol w:w="146"/>
        <w:gridCol w:w="146"/>
        <w:gridCol w:w="211"/>
        <w:gridCol w:w="571"/>
        <w:gridCol w:w="146"/>
        <w:gridCol w:w="146"/>
        <w:gridCol w:w="211"/>
        <w:gridCol w:w="57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outstanding debt as of March 31, 2025, and June 30, 2024, is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8"/>
        <w:gridCol w:w="217"/>
        <w:gridCol w:w="806"/>
        <w:gridCol w:w="146"/>
        <w:gridCol w:w="146"/>
        <w:gridCol w:w="279"/>
        <w:gridCol w:w="838"/>
        <w:gridCol w:w="166"/>
        <w:gridCol w:w="146"/>
        <w:gridCol w:w="223"/>
        <w:gridCol w:w="826"/>
        <w:gridCol w:w="146"/>
        <w:gridCol w:w="146"/>
        <w:gridCol w:w="217"/>
        <w:gridCol w:w="806"/>
        <w:gridCol w:w="146"/>
        <w:gridCol w:w="146"/>
        <w:gridCol w:w="279"/>
        <w:gridCol w:w="838"/>
        <w:gridCol w:w="546"/>
        <w:gridCol w:w="546"/>
        <w:gridCol w:w="223"/>
        <w:gridCol w:w="826"/>
        <w:gridCol w:w="299"/>
      </w:tblGrid>
      <w:tr>
        <w:trPr/>
        <w:tc>
          <w:tcPr>
            <w:tcW w:w="1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Costs</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3.75% Convertible Senior Notes due June 1, 2026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98,782</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172,156</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164,400</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172,156</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3.75% Convertible Senior Notes due June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the Company issued $100.0 million aggregate principal amount of its 3.75% Convertible Senior Notes due June 1, 2026 (the “3.75% Convertible Notes due June 2026”) under an indenture agreement between the Company and The Bank of New York Mellon Trust Company, N.A., as trustee. As of March 31, 2025, the if-converted value of its 3.75% Convertible Notes due June 2026 did not exceed the outstanding principal amount.</w:t>
      </w:r>
    </w:p>
    <w:p>
      <w:pPr>
        <w:pStyle w:val="TextBody"/>
        <w:bidi w:val="0"/>
        <w:spacing w:before="240" w:after="283"/>
        <w:jc w:val="left"/>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$40.0 million revolving credit facility (the “Revolving Credit Facility”) and a five-year $80.0 million term loan (the “Term Loan Facility” and together with the Revolving Credit Facility, the “Credit Facilities”). The Company’s Credit Facilities will mature on May 6, 2026. On the maturity date, the Company will be required to pay $50.0 million on its Term Loan Facility and any outstanding balance on its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on the borrowings under the Credit Facilities is payable in arrears on the applicable interest payment date, at an annual interest rate of reserve-adjusted, 90-day term Secured Overnight Financing Rate (subject to a 0.50% floor) plus a margin between 2.50% and 3.25% margin, determined by the Consolidated Senior Net Leverage Ratio (as defined in the Credit Agreement). On September 12, 2024, the Company entered into the Fourth Amendment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 through end of the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Agreement requires the Company to pay the lenders an unused commitment fee equal to the average unused portion of the Revolving Credit Facility. The Company pays a rate of 0.25% to 0.40% per annum of the average unused portion of the Revolving Credit Facility, determined by the Consolidated Senior Net Leverage Ratio (as defined in the Credit Agreement). If all or a portion of the loans under the Term Loan Facility are prepaid, then the Company will be required to pay a fee equal to 1% of the aggregate amount of the loans so prepaid, subject to certain exceptions.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Agreement contains restrictions and covenants applicable to the Company and its subsidiaries. Among other requirements, the Company may not permit the Fixed Charge Coverage Ratio (as defined in the Credit Agreement) to be less than a certain specified ratio for each fiscal quarter during the term of the Credit Agreement or the consolidated senior net leverage ratio to be greater than a certain specified ratio for each fiscal quarter during the term of the Credit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interest expense on the 3.75% Convertible Senior Notes due June 1, 2026, the Revolving Credit Facility, and the Term Loan Facility is as follows (in thousands):</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5116"/>
        <w:gridCol w:w="146"/>
        <w:gridCol w:w="211"/>
        <w:gridCol w:w="571"/>
        <w:gridCol w:w="146"/>
        <w:gridCol w:w="146"/>
        <w:gridCol w:w="211"/>
        <w:gridCol w:w="571"/>
        <w:gridCol w:w="146"/>
        <w:gridCol w:w="146"/>
        <w:gridCol w:w="211"/>
        <w:gridCol w:w="571"/>
        <w:gridCol w:w="146"/>
        <w:gridCol w:w="146"/>
        <w:gridCol w:w="211"/>
        <w:gridCol w:w="571"/>
        <w:gridCol w:w="2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related to contractual interest coupon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related to 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Stock Incentive Plan and Employee Stock Purchase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details of share-based compensation expenses, by functional line item, noted within the Company's operating expenses (in thousands):</w:t>
      </w:r>
    </w:p>
    <w:tbl>
      <w:tblPr>
        <w:tblW w:w="7272" w:type="dxa"/>
        <w:jc w:val="left"/>
        <w:tblInd w:w="0" w:type="dxa"/>
        <w:tblLayout w:type="fixed"/>
        <w:tblCellMar>
          <w:top w:w="28" w:type="dxa"/>
          <w:left w:w="28" w:type="dxa"/>
          <w:bottom w:w="28" w:type="dxa"/>
          <w:right w:w="28" w:type="dxa"/>
        </w:tblCellMar>
      </w:tblPr>
      <w:tblGrid>
        <w:gridCol w:w="2831"/>
        <w:gridCol w:w="146"/>
        <w:gridCol w:w="211"/>
        <w:gridCol w:w="571"/>
        <w:gridCol w:w="146"/>
        <w:gridCol w:w="146"/>
        <w:gridCol w:w="211"/>
        <w:gridCol w:w="571"/>
        <w:gridCol w:w="146"/>
        <w:gridCol w:w="146"/>
        <w:gridCol w:w="211"/>
        <w:gridCol w:w="571"/>
        <w:gridCol w:w="146"/>
        <w:gridCol w:w="146"/>
        <w:gridCol w:w="211"/>
        <w:gridCol w:w="571"/>
        <w:gridCol w:w="2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Company’s stockholders approved to increase the number of shares of common stock available for issuance by 5.0 million shares under its Amended and Restated 2016 Equity Incentive Plan, and to increase the number of shares of common stock available for issuance by 2.5 million shares under its Amended and Restated Accuray Incorporated 2007 Employee Stock Purchase Plan.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Net Loss Per Common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earnings per share is computed based on the weighted average number of shares of common stock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A reconciliation of the numerator and denominator used in the calculation of basic and diluted net loss per common share is as follows (in thousands, except for per share amounts):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4"/>
        <w:gridCol w:w="146"/>
        <w:gridCol w:w="211"/>
        <w:gridCol w:w="781"/>
        <w:gridCol w:w="166"/>
        <w:gridCol w:w="146"/>
        <w:gridCol w:w="211"/>
        <w:gridCol w:w="676"/>
        <w:gridCol w:w="166"/>
        <w:gridCol w:w="146"/>
        <w:gridCol w:w="211"/>
        <w:gridCol w:w="781"/>
        <w:gridCol w:w="166"/>
        <w:gridCol w:w="146"/>
        <w:gridCol w:w="211"/>
        <w:gridCol w:w="736"/>
        <w:gridCol w:w="491"/>
      </w:tblGrid>
      <w:tr>
        <w:trPr/>
        <w:tc>
          <w:tcPr>
            <w:tcW w:w="4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97,838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share-based awards, excluded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potentially dilutive shares of the Company’s common stock are excluded from the computation of diluted net income (loss) per share when their effect would have been anti</w:t>
        <w:noBreakHyphen/>
        <w:t>dilutive. Additionally, the outstanding 3.75% Convertible Notes due June 2026 are included in the calculation of diluted net income (loss) per share only if their inclusion is dilutive for periods during which the 3.75% Convertible Notes due June 2026 were outstanding. The shares of common stock issuable upon conversion of the outstanding principal amount of the 3.75% Convertible Notes due June 2026 as of three and nine months ended March 31, 2025 and 2024 totaled approximately 17.1 million shares and were not included in the basic and diluted net income (loss) per common share as the effect of adding the shares were anti-dilutive.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one operating and reporting segment (oncology systems group), which develops, manufactures and markets proprietary medical devices used in radiation therapy for the treatment of cancer patients. The Company’s Chief Executive Officer is its Chief Operating Decision Maker for the purposes of making operating decisions. The Company does not assess the performance of its individual product lines on measures of profit or loss, or asset-based metrics, therefore, the information below is presented only for total net revenues and long-lived assets by geographic regions.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reports its customer revenues in five geographic regions: the Americas, EIMEA, Japan, China and Asia Pacific. The Americas region primarily includes the United States, Canada, and Latin America. The EIMEA region includes Europe, India, the Middle East and Africa. The Asia Pacific region consists of Asia (excluding Japan and China), Australia and New Zealand.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Disaggregation of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disaggregates its revenues from contracts by geographic region, as the Company believes this best depicts how the nature, amount, timing and uncertainty of revenues and cash flows are affected by economic factors. Revenues attributed to a country or region are based on the shipping address of the Company’s customers. Additionally, the Company typically recognizes revenue at a point in time for product revenue and recognizes revenue over time for service revenue.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summarizes net revenue by geographic region (in thousands):</w:t>
      </w:r>
    </w:p>
    <w:p>
      <w:pPr>
        <w:pStyle w:val="TextBody"/>
        <w:bidi w:val="0"/>
        <w:jc w:val="left"/>
        <w:rPr/>
      </w:pPr>
      <w:r>
        <w:rPr/>
        <w:t> </w:t>
      </w:r>
    </w:p>
    <w:tbl>
      <w:tblPr>
        <w:tblW w:w="6462" w:type="dxa"/>
        <w:jc w:val="left"/>
        <w:tblInd w:w="0" w:type="dxa"/>
        <w:tblLayout w:type="fixed"/>
        <w:tblCellMar>
          <w:top w:w="28" w:type="dxa"/>
          <w:left w:w="28" w:type="dxa"/>
          <w:bottom w:w="28" w:type="dxa"/>
          <w:right w:w="28" w:type="dxa"/>
        </w:tblCellMar>
      </w:tblPr>
      <w:tblGrid>
        <w:gridCol w:w="1081"/>
        <w:gridCol w:w="146"/>
        <w:gridCol w:w="211"/>
        <w:gridCol w:w="781"/>
        <w:gridCol w:w="146"/>
        <w:gridCol w:w="146"/>
        <w:gridCol w:w="211"/>
        <w:gridCol w:w="781"/>
        <w:gridCol w:w="146"/>
        <w:gridCol w:w="146"/>
        <w:gridCol w:w="211"/>
        <w:gridCol w:w="781"/>
        <w:gridCol w:w="146"/>
        <w:gridCol w:w="146"/>
        <w:gridCol w:w="211"/>
        <w:gridCol w:w="781"/>
        <w:gridCol w:w="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Disaggregation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regarding geographic areas in which the Company has long-lived assets, which consists of property, plant and equipment, net, and operating lease right-of-use assets are as follows (in thousands):</w:t>
      </w:r>
    </w:p>
    <w:p>
      <w:pPr>
        <w:pStyle w:val="TextBody"/>
        <w:bidi w:val="0"/>
        <w:jc w:val="left"/>
        <w:rPr/>
      </w:pPr>
      <w:r>
        <w:rPr/>
        <w:t> </w:t>
      </w:r>
    </w:p>
    <w:tbl>
      <w:tblPr>
        <w:tblW w:w="3684" w:type="dxa"/>
        <w:jc w:val="left"/>
        <w:tblInd w:w="0" w:type="dxa"/>
        <w:tblLayout w:type="fixed"/>
        <w:tblCellMar>
          <w:top w:w="28" w:type="dxa"/>
          <w:left w:w="28" w:type="dxa"/>
          <w:bottom w:w="28" w:type="dxa"/>
          <w:right w:w="28" w:type="dxa"/>
        </w:tblCellMar>
      </w:tblPr>
      <w:tblGrid>
        <w:gridCol w:w="1081"/>
        <w:gridCol w:w="146"/>
        <w:gridCol w:w="211"/>
        <w:gridCol w:w="676"/>
        <w:gridCol w:w="146"/>
        <w:gridCol w:w="146"/>
        <w:gridCol w:w="211"/>
        <w:gridCol w:w="676"/>
        <w:gridCol w:w="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long-lived assets in the Americas region are located in the United States as of March 31, 2025, and June 30, 2024.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Joint Venture</w:t>
      </w:r>
    </w:p>
    <w:p>
      <w:pPr>
        <w:pStyle w:val="TextBody"/>
        <w:bidi w:val="0"/>
        <w:jc w:val="left"/>
        <w:rPr>
          <w:rFonts w:ascii="Times New Roman" w:hAnsi="Times New Roman"/>
          <w:color w:val="000000"/>
          <w:sz w:val="20"/>
        </w:rPr>
      </w:pPr>
      <w:r>
        <w:rPr>
          <w:rFonts w:ascii="Times New Roman" w:hAnsi="Times New Roman"/>
          <w:color w:val="000000"/>
          <w:sz w:val="20"/>
        </w:rPr>
        <w:t>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March 31, 2025, the Company owned a 49% interest in the JV, which is reported as an investment in joint venture on the Company’s unaudited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(loss) on a one-quarter lag due to the timing of the availability of the JV’s financial records. The Company recognizes revenue on sales to the JV in the current period and defers a portion of gross profit to the extent goods sold have not been sold through by the JV to an end customer at the end of such reporting period. With the receipt of the necessary permits and licenses to operate, the JV has begun to manufacture and sell a locally branded “Made in China” radiotherapy device, the Tomo C radiation therapy system, in the Class B license category.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reconciliation between the carrying value of the Company's investment in the JV and its proportional share of the underlying equity in net assets of the JV (in thousands):</w:t>
      </w:r>
    </w:p>
    <w:p>
      <w:pPr>
        <w:pStyle w:val="TextBody"/>
        <w:bidi w:val="0"/>
        <w:jc w:val="left"/>
        <w:rPr/>
      </w:pPr>
      <w:r>
        <w:rPr/>
        <w:t> </w:t>
      </w:r>
    </w:p>
    <w:tbl>
      <w:tblPr>
        <w:tblW w:w="7292" w:type="dxa"/>
        <w:jc w:val="left"/>
        <w:tblInd w:w="0" w:type="dxa"/>
        <w:tblLayout w:type="fixed"/>
        <w:tblCellMar>
          <w:top w:w="28" w:type="dxa"/>
          <w:left w:w="28" w:type="dxa"/>
          <w:bottom w:w="28" w:type="dxa"/>
          <w:right w:w="28" w:type="dxa"/>
        </w:tblCellMar>
      </w:tblPr>
      <w:tblGrid>
        <w:gridCol w:w="4736"/>
        <w:gridCol w:w="146"/>
        <w:gridCol w:w="214"/>
        <w:gridCol w:w="686"/>
        <w:gridCol w:w="166"/>
        <w:gridCol w:w="146"/>
        <w:gridCol w:w="211"/>
        <w:gridCol w:w="676"/>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Deferred intra-entity gross profit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Proportional share of equity 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0"/>
        </w:rPr>
      </w:pPr>
      <w:r>
        <w:rPr>
          <w:rFonts w:ascii="Times New Roman" w:hAnsi="Times New Roman"/>
          <w:color w:val="000000"/>
          <w:sz w:val="16"/>
        </w:rPr>
        <w:t>As of March 31, 2025, $5.3</w:t>
      </w:r>
      <w:r>
        <w:rPr>
          <w:rFonts w:ascii="Times New Roman" w:hAnsi="Times New Roman"/>
          <w:color w:val="000000"/>
          <w:sz w:val="20"/>
        </w:rPr>
        <w:t xml:space="preserve"> </w:t>
      </w:r>
      <w:r>
        <w:rPr>
          <w:rFonts w:ascii="Times New Roman" w:hAnsi="Times New Roman"/>
          <w:color w:val="000000"/>
          <w:sz w:val="16"/>
        </w:rPr>
        <w:t>million of the deferred intra-entity gross profit balance was related to the Tomo C radiation therapy system as compared to $4.2</w:t>
      </w:r>
      <w:r>
        <w:rPr>
          <w:rFonts w:ascii="Times New Roman" w:hAnsi="Times New Roman"/>
          <w:color w:val="000000"/>
          <w:sz w:val="20"/>
        </w:rPr>
        <w:t xml:space="preserve"> </w:t>
      </w:r>
      <w:r>
        <w:rPr>
          <w:rFonts w:ascii="Times New Roman" w:hAnsi="Times New Roman"/>
          <w:color w:val="000000"/>
          <w:sz w:val="16"/>
        </w:rPr>
        <w:t>million as of June 30, 2024.</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March 31, 2025, the Company’s carrying value of the investment in the JV was decreased for the Company's proportional share of the JV's currency translation adjustment by $0.9 million. As of June 30, 2024, the Company’s carrying value of the investment in the JV was decreased for the Company's proportional share of the JV's currency translation adjustment by $0.6 million. In June 2024, the JV declared a $2.5 million dividend to the Company which was paid in July 2024.</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financial information of the JV is as follows (in thousands):</w:t>
      </w:r>
    </w:p>
    <w:p>
      <w:pPr>
        <w:pStyle w:val="TextBody"/>
        <w:bidi w:val="0"/>
        <w:jc w:val="left"/>
        <w:rPr/>
      </w:pPr>
      <w:r>
        <w:rPr/>
        <w:t> </w:t>
      </w:r>
    </w:p>
    <w:tbl>
      <w:tblPr>
        <w:tblW w:w="8257" w:type="dxa"/>
        <w:jc w:val="left"/>
        <w:tblInd w:w="0" w:type="dxa"/>
        <w:tblLayout w:type="fixed"/>
        <w:tblCellMar>
          <w:top w:w="28" w:type="dxa"/>
          <w:left w:w="28" w:type="dxa"/>
          <w:bottom w:w="28" w:type="dxa"/>
          <w:right w:w="28" w:type="dxa"/>
        </w:tblCellMar>
      </w:tblPr>
      <w:tblGrid>
        <w:gridCol w:w="3391"/>
        <w:gridCol w:w="146"/>
        <w:gridCol w:w="211"/>
        <w:gridCol w:w="676"/>
        <w:gridCol w:w="146"/>
        <w:gridCol w:w="146"/>
        <w:gridCol w:w="211"/>
        <w:gridCol w:w="676"/>
        <w:gridCol w:w="146"/>
        <w:gridCol w:w="146"/>
        <w:gridCol w:w="211"/>
        <w:gridCol w:w="781"/>
        <w:gridCol w:w="146"/>
        <w:gridCol w:w="146"/>
        <w:gridCol w:w="211"/>
        <w:gridCol w:w="67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235" w:type="dxa"/>
        <w:jc w:val="left"/>
        <w:tblInd w:w="0" w:type="dxa"/>
        <w:tblLayout w:type="fixed"/>
        <w:tblCellMar>
          <w:top w:w="28" w:type="dxa"/>
          <w:left w:w="28" w:type="dxa"/>
          <w:bottom w:w="28" w:type="dxa"/>
          <w:right w:w="28" w:type="dxa"/>
        </w:tblCellMar>
      </w:tblPr>
      <w:tblGrid>
        <w:gridCol w:w="3506"/>
        <w:gridCol w:w="146"/>
        <w:gridCol w:w="319"/>
        <w:gridCol w:w="1181"/>
        <w:gridCol w:w="146"/>
        <w:gridCol w:w="146"/>
        <w:gridCol w:w="319"/>
        <w:gridCol w:w="1181"/>
        <w:gridCol w:w="29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Summarized Balance Sheet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activity of the Company’s net revenue recognized from intra-entity gross profit from sales (in thousands):</w:t>
      </w:r>
    </w:p>
    <w:p>
      <w:pPr>
        <w:pStyle w:val="TextBody"/>
        <w:bidi w:val="0"/>
        <w:jc w:val="left"/>
        <w:rPr/>
      </w:pPr>
      <w:r>
        <w:rPr/>
        <w:t> </w:t>
      </w:r>
    </w:p>
    <w:tbl>
      <w:tblPr>
        <w:tblW w:w="9997" w:type="dxa"/>
        <w:jc w:val="left"/>
        <w:tblInd w:w="0" w:type="dxa"/>
        <w:tblLayout w:type="fixed"/>
        <w:tblCellMar>
          <w:top w:w="28" w:type="dxa"/>
          <w:left w:w="28" w:type="dxa"/>
          <w:bottom w:w="28" w:type="dxa"/>
          <w:right w:w="28" w:type="dxa"/>
        </w:tblCellMar>
      </w:tblPr>
      <w:tblGrid>
        <w:gridCol w:w="5131"/>
        <w:gridCol w:w="146"/>
        <w:gridCol w:w="211"/>
        <w:gridCol w:w="631"/>
        <w:gridCol w:w="166"/>
        <w:gridCol w:w="146"/>
        <w:gridCol w:w="211"/>
        <w:gridCol w:w="631"/>
        <w:gridCol w:w="166"/>
        <w:gridCol w:w="146"/>
        <w:gridCol w:w="211"/>
        <w:gridCol w:w="736"/>
        <w:gridCol w:w="166"/>
        <w:gridCol w:w="146"/>
        <w:gridCol w:w="211"/>
        <w:gridCol w:w="631"/>
        <w:gridCol w:w="3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intra-entity gross profit recognized on sales to the JV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intra-entity gross profit on sales to the JV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Net deferred gross profit on sales to the JV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Profit earned by the Company from the JV is eliminated through cost of goods sold until it is realized; such profits would generally be considered realized when the inventory has been sold through to third parties. During</w:t>
      </w:r>
      <w:r>
        <w:rPr>
          <w:rFonts w:ascii="Times New Roman" w:hAnsi="Times New Roman"/>
          <w:color w:val="000000"/>
          <w:sz w:val="20"/>
        </w:rPr>
        <w:t xml:space="preserve"> </w:t>
      </w:r>
      <w:r>
        <w:rPr>
          <w:rFonts w:ascii="Times New Roman" w:hAnsi="Times New Roman"/>
          <w:color w:val="000000"/>
          <w:sz w:val="16"/>
        </w:rPr>
        <w:t>the three and nine months ended March 31, 2025, the Company deferred $2.4</w:t>
      </w:r>
      <w:r>
        <w:rPr>
          <w:rFonts w:ascii="Times New Roman" w:hAnsi="Times New Roman"/>
          <w:color w:val="000000"/>
          <w:sz w:val="20"/>
        </w:rPr>
        <w:t xml:space="preserve"> </w:t>
      </w:r>
      <w:r>
        <w:rPr>
          <w:rFonts w:ascii="Times New Roman" w:hAnsi="Times New Roman"/>
          <w:color w:val="000000"/>
          <w:sz w:val="16"/>
        </w:rPr>
        <w:t>million and $1.1</w:t>
      </w:r>
      <w:r>
        <w:rPr>
          <w:rFonts w:ascii="Times New Roman" w:hAnsi="Times New Roman"/>
          <w:color w:val="000000"/>
          <w:sz w:val="20"/>
        </w:rPr>
        <w:t xml:space="preserve"> </w:t>
      </w:r>
      <w:r>
        <w:rPr>
          <w:rFonts w:ascii="Times New Roman" w:hAnsi="Times New Roman"/>
          <w:color w:val="000000"/>
          <w:sz w:val="16"/>
        </w:rPr>
        <w:t>million, respectively, of gross profit on sales to the JV that were related to the Tomo C radiation therapy system as compared to $0.3</w:t>
      </w:r>
      <w:r>
        <w:rPr>
          <w:rFonts w:ascii="Times New Roman" w:hAnsi="Times New Roman"/>
          <w:color w:val="000000"/>
          <w:sz w:val="20"/>
        </w:rPr>
        <w:t xml:space="preserve"> </w:t>
      </w:r>
      <w:r>
        <w:rPr>
          <w:rFonts w:ascii="Times New Roman" w:hAnsi="Times New Roman"/>
          <w:color w:val="000000"/>
          <w:sz w:val="16"/>
        </w:rPr>
        <w:t>million recognized gross profit during the three months ended March 31, 2024 and $2.0</w:t>
      </w:r>
      <w:r>
        <w:rPr>
          <w:rFonts w:ascii="Times New Roman" w:hAnsi="Times New Roman"/>
          <w:color w:val="000000"/>
          <w:sz w:val="20"/>
        </w:rPr>
        <w:t xml:space="preserve"> </w:t>
      </w:r>
      <w:r>
        <w:rPr>
          <w:rFonts w:ascii="Times New Roman" w:hAnsi="Times New Roman"/>
          <w:color w:val="000000"/>
          <w:sz w:val="16"/>
        </w:rPr>
        <w:t>million deferred gross profit during the nine months ended March 31, 2024 on sales to the JV that were related to the Tomo C radiation therapy system.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Income Tax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summarizes the provision for income taxes (in thousands):</w:t>
      </w:r>
    </w:p>
    <w:p>
      <w:pPr>
        <w:pStyle w:val="TextBody"/>
        <w:bidi w:val="0"/>
        <w:jc w:val="left"/>
        <w:rPr/>
      </w:pPr>
      <w:r>
        <w:rPr/>
        <w:t> </w:t>
      </w:r>
    </w:p>
    <w:tbl>
      <w:tblPr>
        <w:tblW w:w="6712" w:type="dxa"/>
        <w:jc w:val="left"/>
        <w:tblInd w:w="0" w:type="dxa"/>
        <w:tblLayout w:type="fixed"/>
        <w:tblCellMar>
          <w:top w:w="28" w:type="dxa"/>
          <w:left w:w="28" w:type="dxa"/>
          <w:bottom w:w="28" w:type="dxa"/>
          <w:right w:w="28" w:type="dxa"/>
        </w:tblCellMar>
      </w:tblPr>
      <w:tblGrid>
        <w:gridCol w:w="2381"/>
        <w:gridCol w:w="246"/>
        <w:gridCol w:w="223"/>
        <w:gridCol w:w="446"/>
        <w:gridCol w:w="154"/>
        <w:gridCol w:w="154"/>
        <w:gridCol w:w="223"/>
        <w:gridCol w:w="446"/>
        <w:gridCol w:w="146"/>
        <w:gridCol w:w="146"/>
        <w:gridCol w:w="211"/>
        <w:gridCol w:w="571"/>
        <w:gridCol w:w="146"/>
        <w:gridCol w:w="146"/>
        <w:gridCol w:w="211"/>
        <w:gridCol w:w="571"/>
        <w:gridCol w:w="2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 quarterly basis, the Company provides for income taxes based upon an estimated annual effective income tax rate. The Company's income tax expense during three and nine months ended March 31, 2025 and 2024, was primarily related to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Starting in fiscal year 2019, certain income earned by controlling foreign corporations (“CFCs”) must be included in the gross income of the CFC’s U.S. shareholder. The income required to be included in gross income is referred to as global intangible low tax income (“GILTI”) and is defined under IRC Section 951A as the excess of the shareholder’s net CFC tested income over the net deemed tangible income return. The GILTI inclusion amount is expected to be fully absorbed by net operating losses carryforward and is not expected to cause the Company to be in a U.S. taxable income position for fiscal year 2025. </w:t>
      </w:r>
    </w:p>
    <w:p>
      <w:pPr>
        <w:pStyle w:val="TextBody"/>
        <w:bidi w:val="0"/>
        <w:jc w:val="left"/>
        <w:rPr>
          <w:rFonts w:ascii="Times New Roman" w:hAnsi="Times New Roman"/>
          <w:color w:val="000000"/>
          <w:sz w:val="20"/>
        </w:rPr>
      </w:pPr>
      <w:r>
        <w:rPr>
          <w:rFonts w:ascii="Times New Roman" w:hAnsi="Times New Roman"/>
          <w:color w:val="000000"/>
          <w:sz w:val="20"/>
        </w:rPr>
        <w:t>There is no material impact on the Company’s unaudited condensed consolidated financial statements for fiscal year 2025 relating to the change in U.S. tax law that requires capitalization and amortization of research and experimental expenditures incurred after July 1, 2022, which has been fully offset by pre-2018 net operating loss carryforwards. The Company will continue to evaluate the impact of this tax law change in future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the Company’s gross unrecognized tax benefits were $22.0 million, of which $21.6 million would not affect income tax expense before consideration of any valuation allowance. The Company does not expect its unrecognized tax benefits to change significantly over the next 12 months. Interest and penalties accrued on unrecognized tax benefits are recorded as a component of income tax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of our financial condition as of March 31, 2025, and results of operations for the three and nine months ended March 31, 2025 and 2024 should be read together with our unaudited condensed consolidated financial statements and related notes included in this report. Statements made in this Form 10-Q report that are not statements of historical fact are forward-looking statements that are subject to the “safe harbor” provisions of the Private Securities Litigation Reform Act of 1995. Forward-looking statements in this report relate, but are not limited, to: our future results of operations and financial position, including the sufficiency of cash resources and expected cash flows to fund future operations, including the next 12 months; our expectations regarding backlog, age-ins and age-outs, cancellations of contracts and foreign currency impacts; the anticipated drivers of our future capital requirements; expectations regarding our strategy in China and our China joint venture as well as its expected impact on our business; expectations regarding the market in China for radiation oncology systems; expectations regarding the effects of the global macroeconomic conditions, such as the COVID-19 pandemic on our financial results and business as well as the business of our customers and suppliers; expectations regarding the impact of changes in government administration policy positions; expectations regarding delays in deliveries and installations and its impact on our business; expectations regarding inflation, supply chain challenges and heightened logistics costs and its impact on our business, including gross margins and net income (loss); expectations regarding revenue from the Americas region; expectations regarding the timing of deliveries and revenue conversion; our expectations regarding the adequacy of our manufacturing facilities; the anticipated risks associated with our foreign operations and fluctuations in the U.S. Dollar and foreign currencies as well as our ability to mitigate such risks; tariffs and trade policies; expectations related to the effect of the GILTI tax on our taxable income position; expectations related to our convertible notes and credit facility; expectations related to our leases; the amount of unrecognized tax amounts; the sufficiency of our cash, cash equivalents and investments to meet our anticipated cash needs for working capital and capital expenditures and our business strategy, plans and objectives.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those discussed in this quarterly report, in particular under the heading “Risk Factors” in Part II, Item 1A, and other filings we make with the Securities and Exchange Commission. Forward-looking statements speak only as of the date the statements are made and are based on information available to us at the time those statements are made and/or management’s good faith belief as of that time with respect to future events. 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 this report, “Accuray,” the “Company,” “we,” “us,” and “our” refer to Accuray Incorporated and its subsidiaries.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innovative technologies, the CyberKnife</w:t>
      </w:r>
      <w:r>
        <w:rPr>
          <w:rFonts w:ascii="Times New Roman" w:hAnsi="Times New Roman"/>
          <w:color w:val="000000"/>
          <w:sz w:val="13"/>
        </w:rPr>
        <w:t>®</w:t>
      </w:r>
      <w:r>
        <w:rPr>
          <w:rFonts w:ascii="Times New Roman" w:hAnsi="Times New Roman"/>
          <w:color w:val="000000"/>
          <w:sz w:val="20"/>
        </w:rPr>
        <w:t xml:space="preserve"> and TomoTherapy</w:t>
      </w:r>
      <w:r>
        <w:rPr>
          <w:rFonts w:ascii="Times New Roman" w:hAnsi="Times New Roman"/>
          <w:color w:val="000000"/>
          <w:sz w:val="13"/>
        </w:rPr>
        <w:t>®</w:t>
      </w:r>
      <w:r>
        <w:rPr>
          <w:rFonts w:ascii="Times New Roman" w:hAnsi="Times New Roman"/>
          <w:color w:val="000000"/>
          <w:sz w:val="20"/>
        </w:rPr>
        <w:t xml:space="preserve"> platforms, including the Radixact</w:t>
      </w:r>
      <w:r>
        <w:rPr>
          <w:rFonts w:ascii="Times New Roman" w:hAnsi="Times New Roman"/>
          <w:color w:val="000000"/>
          <w:sz w:val="13"/>
        </w:rPr>
        <w:t>®</w:t>
      </w:r>
      <w:r>
        <w:rPr>
          <w:rFonts w:ascii="Times New Roman" w:hAnsi="Times New Roman"/>
          <w:color w:val="000000"/>
          <w:sz w:val="20"/>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geopolitical concerns, such as the Russian-Ukraine and the Middle East conflicts and increasing tension between China and the U.S., including with respect to Taiwan;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as well as other factors that may emerge. In particular, we are continuing to navigate supply chain and inflation challenges and adverse foreign currency exchange rate fluctuations, all of which continues to have a negative impact on our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that our customers’ business and our business will continue to be adversely impacted, directly or indirectly, by these macroeconomic and geopolitical issues.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calendar year 2025. In addition, the Company expects inflation and the ongoing supply chain challenges and logistics costs to impact its cash from operations through calendar year 2025. In addition,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including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on our business, are further described in the section titled “Risk Factors” in Part II, Item 1A of this Quarterly Report on Form 10-Q.</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Sale of Our Products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five geographic regions: the Americas, EIMEA, Japan, China and Asia Pacific. The Americas region includes the United States, Canada and Latin America. The EIMEA region includes Europe, India, the Middle East and Africa. The Asia Pacific region consists of Asia (excluding Japan and China), Australia and New Zealand.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the United States, we primarily market directly to customers, including hospitals and stand-alone treatment facilities, through our sales organization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Europe, Russia, the Middle East, Africa, the Asia Pacific region, and Latin America.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Joint Venture</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2019, our wholly-owned subsidiary, Accuray Asia Limited (“Accuray Asia”), entered into an agreement with CNNC High Energy Equipment (Tianjin) Co., Ltd.,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oncology systems. China represents a significantly underserved market for linacs based on the country’s population and cancer incidence rates on both an absolute and relative country basis. </w:t>
      </w:r>
    </w:p>
    <w:p>
      <w:pPr>
        <w:pStyle w:val="TextBody"/>
        <w:bidi w:val="0"/>
        <w:jc w:val="left"/>
        <w:rPr>
          <w:rFonts w:ascii="Times New Roman" w:hAnsi="Times New Roman"/>
          <w:color w:val="000000"/>
          <w:sz w:val="20"/>
        </w:rPr>
      </w:pPr>
      <w:r>
        <w:rPr>
          <w:rFonts w:ascii="Times New Roman" w:hAnsi="Times New Roman"/>
          <w:color w:val="000000"/>
          <w:sz w:val="20"/>
        </w:rPr>
        <w:t>With the receipt of the necessary permits and licenses to operate, the JV has begun selling products in China, much like a distributor. The JV has begun to manufacture and sell a locally branded “Made in China” radiotherapy device,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 including the Radixact SynC and CyberKnife S7 Systems, which received NMPA approval in January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in light of the uncertainty surrounding tariffs imposed by the United States and China and trade relations between the two countries, we expect the volume of product sales in China to decrease and costs associated with tariffs to increase.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Backlog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for the product portion of a system sales agreement to be included in backlog, it must meet the following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specific end-customer site has been identified by the customer in the written contract or written amendment;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Less than 30 months have passed since the contract met all the criteria above.</w:t>
      </w:r>
    </w:p>
    <w:p>
      <w:pPr>
        <w:pStyle w:val="TextBody"/>
        <w:bidi w:val="0"/>
        <w:jc w:val="left"/>
        <w:rPr>
          <w:rFonts w:ascii="Times New Roman" w:hAnsi="Times New Roman"/>
          <w:color w:val="000000"/>
          <w:sz w:val="20"/>
        </w:rPr>
      </w:pPr>
      <w:r>
        <w:rPr>
          <w:rFonts w:ascii="Times New Roman" w:hAnsi="Times New Roman"/>
          <w:color w:val="000000"/>
          <w:sz w:val="20"/>
        </w:rPr>
        <w:t xml:space="preserve">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Orders include amounts not denominated in U.S. Dollars and therefore, fluctuations in the U.S. Dollar as compared to other currencies will impact revenue. Generally, the strengthening of the U.S. Dollar will negatively impact revenue. Backlog is stated at historical foreign currency exchange rates, and revenue is released from backlog at current exchange rates, with any difference recorded as a backlog adjustment.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gross orders, net orders, and order backlog is as follows (in thousands):</w:t>
      </w:r>
    </w:p>
    <w:p>
      <w:pPr>
        <w:pStyle w:val="TextBody"/>
        <w:bidi w:val="0"/>
        <w:jc w:val="left"/>
        <w:rPr/>
      </w:pPr>
      <w:r>
        <w:rPr/>
        <w:t> </w:t>
      </w:r>
    </w:p>
    <w:tbl>
      <w:tblPr>
        <w:tblW w:w="8557" w:type="dxa"/>
        <w:jc w:val="left"/>
        <w:tblInd w:w="0" w:type="dxa"/>
        <w:tblLayout w:type="fixed"/>
        <w:tblCellMar>
          <w:top w:w="28" w:type="dxa"/>
          <w:left w:w="28" w:type="dxa"/>
          <w:bottom w:w="28" w:type="dxa"/>
          <w:right w:w="28" w:type="dxa"/>
        </w:tblCellMar>
      </w:tblPr>
      <w:tblGrid>
        <w:gridCol w:w="3196"/>
        <w:gridCol w:w="146"/>
        <w:gridCol w:w="211"/>
        <w:gridCol w:w="781"/>
        <w:gridCol w:w="166"/>
        <w:gridCol w:w="146"/>
        <w:gridCol w:w="211"/>
        <w:gridCol w:w="781"/>
        <w:gridCol w:w="166"/>
        <w:gridCol w:w="146"/>
        <w:gridCol w:w="211"/>
        <w:gridCol w:w="781"/>
        <w:gridCol w:w="166"/>
        <w:gridCol w:w="146"/>
        <w:gridCol w:w="211"/>
        <w:gridCol w:w="781"/>
        <w:gridCol w:w="3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Age-outs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impacts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Order backlog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503,220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Gross Orders and Book to Bill Ratio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Gross orders are defined as the sum of new orders recorded during the period, adjusted for any revisions to existing orders during the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Gross orders decreased by $17.9 million and $43.4 million during the three and nine months ended March 31, 2025, respectively, as compared to the same periods in the prior fiscal year. CyberKnife System gross orders and upgrades decreased by $21.9 and $48.5 million during the three and nine months ended March 31, 2025, respectively, as compared to the same periods in the prior fiscal year, partially offset by an increase to TomoTherapy System gross orders and upgrades of $4.0 million and $5.1 million, during the three and nine months ended March 31, 2025, respectively, as compared to the same periods in the prior fiscal year. Gross orders primarily decreased in the EIMEA region, the Americas region and Japan during the three months ended March 31, 2025, as compared to the same period in the prior fiscal year. Gross orders primarily decreased in the Americas region and Japan during the nine months ended March 31, 2025, as compared to the same period in the prior fiscal year.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book-to-bill ratio is defined as gross orders for the period divided by product revenue for the period. Our book-to-bill ratio was 1.2 for both the three and nine months ended March 31, 2025, respectively, as compared to 1.8 and 1.6 during the three and nine months ended March 31, 2024, respectively. A book-to-bill ratio greater than 1.2 generally indicates strong demand for our products. This metric allows management to monitor our business development efforts to ensure we grow our backlog and our business over time.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Orders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orders are defined as gross orders less cancellations, age-outs net of age-ins, foreign currency impacts and other adjustments during the period. Net orders decreased by $14.1 million and $15.2 million, respectively, during the three and nine months ended March 31, 2025, respectively, as compared to the same periods in the prior fiscal year, primarily due to a decrease in gross orders and an increase in age-outs, partially offset by an increase in age-ins and favorable foreign currency impacts.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 Three and nine months ended March 31, 2025 and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revenue by sales classification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6"/>
        <w:gridCol w:w="211"/>
        <w:gridCol w:w="781"/>
        <w:gridCol w:w="271"/>
        <w:gridCol w:w="146"/>
        <w:gridCol w:w="211"/>
        <w:gridCol w:w="781"/>
        <w:gridCol w:w="271"/>
        <w:gridCol w:w="146"/>
        <w:gridCol w:w="213"/>
        <w:gridCol w:w="465"/>
        <w:gridCol w:w="271"/>
        <w:gridCol w:w="146"/>
        <w:gridCol w:w="211"/>
        <w:gridCol w:w="781"/>
        <w:gridCol w:w="271"/>
        <w:gridCol w:w="146"/>
        <w:gridCol w:w="211"/>
        <w:gridCol w:w="781"/>
        <w:gridCol w:w="271"/>
        <w:gridCol w:w="146"/>
        <w:gridCol w:w="277"/>
        <w:gridCol w:w="402"/>
        <w:gridCol w:w="519"/>
      </w:tblGrid>
      <w:tr>
        <w:trPr/>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revenue as a percentage of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 as a percentage of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sales of products to the joint venture, an equity method investment, of $17,967 and $76,333 during the three and nine months ended March 31, 2025, and $15,662 and $55,504 during the three and nine months ended March 31, 2024, respectively. See Note 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sales of services to the joint venture, an equity method investment, of $5,351 and $14,588 during the three and nine months ended March 31, 2025, and $3,982 and $10,970 during the three and nine months ended March 31, 2024, respectively. See Note 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Products net revenue increased $7.7 million and $12.4 million during the three and nine months ended March 31, 2025, respectively, as compared to the same periods in the prior fiscal year. The increase in products net revenue during the three months ended March 31, 2025, was mostly driven by a higher volume of shipments of our TomoTherapy Systems. The increase in products net revenue during the nine months ended was primarily due to a higher volume of shipments of both our TomoTherapy Systems and CyberKnife Systems.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Services net revenue increased $4.4 million and $6.3 million during the three and nine months ended March 31, 2025, respectively, as compared to the same periods in the prior fiscal year, primarily due to an increase in the sale of spare parts and higher contract revenues as a result of an increase in our installed base.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revenue by geographic region, based on the shipping location of our customers, is as follows:</w:t>
      </w:r>
    </w:p>
    <w:p>
      <w:pPr>
        <w:pStyle w:val="TextBody"/>
        <w:bidi w:val="0"/>
        <w:jc w:val="left"/>
        <w:rPr/>
      </w:pPr>
      <w:r>
        <w:rPr/>
        <w:t> </w:t>
      </w:r>
    </w:p>
    <w:tbl>
      <w:tblPr>
        <w:tblW w:w="9150" w:type="dxa"/>
        <w:jc w:val="left"/>
        <w:tblInd w:w="0" w:type="dxa"/>
        <w:tblLayout w:type="fixed"/>
        <w:tblCellMar>
          <w:top w:w="28" w:type="dxa"/>
          <w:left w:w="28" w:type="dxa"/>
          <w:bottom w:w="28" w:type="dxa"/>
          <w:right w:w="28" w:type="dxa"/>
        </w:tblCellMar>
      </w:tblPr>
      <w:tblGrid>
        <w:gridCol w:w="1711"/>
        <w:gridCol w:w="211"/>
        <w:gridCol w:w="781"/>
        <w:gridCol w:w="146"/>
        <w:gridCol w:w="146"/>
        <w:gridCol w:w="211"/>
        <w:gridCol w:w="781"/>
        <w:gridCol w:w="146"/>
        <w:gridCol w:w="146"/>
        <w:gridCol w:w="196"/>
        <w:gridCol w:w="509"/>
        <w:gridCol w:w="331"/>
        <w:gridCol w:w="146"/>
        <w:gridCol w:w="211"/>
        <w:gridCol w:w="781"/>
        <w:gridCol w:w="146"/>
        <w:gridCol w:w="146"/>
        <w:gridCol w:w="211"/>
        <w:gridCol w:w="781"/>
        <w:gridCol w:w="146"/>
        <w:gridCol w:w="146"/>
        <w:gridCol w:w="196"/>
        <w:gridCol w:w="509"/>
        <w:gridCol w:w="416"/>
      </w:tblGrid>
      <w:tr>
        <w:trPr/>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Net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revenue increased $12.1 million during the three months ended March 31, 2025, as compared to the same period in the prior fiscal year, primarily due to a higher volume of shipments to the APAC and China regions, and increases in service revenue from the EIMEA and China regions, partially offset by a decrease in the volume of shipments to Japan. Net revenue increased $18.7 million during the nine months ended March 31, 2025 as compared to the same period in the prior fiscal year, primarily due to a higher volume of shipments to the China and the APAC regions and an increase in service revenue from the EIMEA and China regions, partially offset by a lower volume of shipments to the EIMEA and Americas regions. Additionally, revenues from the Americas region are being negatively impacted by reduced budgets and lower capital deployment priority for radiotherapy equipment, along with longer customer installation timelines which we expect will continue to have an impact on net revenue through fiscal year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Gross Profit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0"/>
        <w:gridCol w:w="146"/>
        <w:gridCol w:w="211"/>
        <w:gridCol w:w="676"/>
        <w:gridCol w:w="271"/>
        <w:gridCol w:w="146"/>
        <w:gridCol w:w="211"/>
        <w:gridCol w:w="676"/>
        <w:gridCol w:w="271"/>
        <w:gridCol w:w="146"/>
        <w:gridCol w:w="278"/>
        <w:gridCol w:w="403"/>
        <w:gridCol w:w="271"/>
        <w:gridCol w:w="146"/>
        <w:gridCol w:w="211"/>
        <w:gridCol w:w="781"/>
        <w:gridCol w:w="271"/>
        <w:gridCol w:w="146"/>
        <w:gridCol w:w="211"/>
        <w:gridCol w:w="781"/>
        <w:gridCol w:w="271"/>
        <w:gridCol w:w="146"/>
        <w:gridCol w:w="278"/>
        <w:gridCol w:w="403"/>
        <w:gridCol w:w="394"/>
      </w:tblGrid>
      <w:tr>
        <w:trPr/>
        <w:tc>
          <w:tcPr>
            <w:tcW w:w="2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4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 as a 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increased by $2.6 million and $3.5 million during the three and nine months ended March 31, 2025, respectively, as compared to the same periods in the prior fiscal year. The increase in gross profit during the three and nine months ended March 31, 2025 was primarily due to an increase in net revenues, partially offset by a $2.6 million and $2.0 million increase in net deferred gross profit on sales to the JV during the three and nine months ended March 31, 2025,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0"/>
        <w:gridCol w:w="211"/>
        <w:gridCol w:w="676"/>
        <w:gridCol w:w="271"/>
        <w:gridCol w:w="146"/>
        <w:gridCol w:w="211"/>
        <w:gridCol w:w="676"/>
        <w:gridCol w:w="271"/>
        <w:gridCol w:w="146"/>
        <w:gridCol w:w="187"/>
        <w:gridCol w:w="486"/>
        <w:gridCol w:w="289"/>
        <w:gridCol w:w="146"/>
        <w:gridCol w:w="211"/>
        <w:gridCol w:w="781"/>
        <w:gridCol w:w="271"/>
        <w:gridCol w:w="146"/>
        <w:gridCol w:w="211"/>
        <w:gridCol w:w="781"/>
        <w:gridCol w:w="271"/>
        <w:gridCol w:w="146"/>
        <w:gridCol w:w="235"/>
        <w:gridCol w:w="438"/>
        <w:gridCol w:w="538"/>
      </w:tblGrid>
      <w:tr>
        <w:trPr/>
        <w:tc>
          <w:tcPr>
            <w:tcW w:w="2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110,782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Research and development as a percentage of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Selling and marketing as a percentage of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and administrative as a percentage of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operating expenses as a percentage of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$0.2 million during the three months ended March 31, 2025, as compared to the same period in the prior fiscal year. Research and development expenses decreased by $3.7 million during the nine months ended March 31, 2025, as compared to the same period in the prior fiscal year, primarily due to lower compensation and benefits, severance costs in fiscal year 2024 for the restructuring initiative in the second quarter of fiscal year 2024 and the capitalization of internal labor for software development to be sold, partially offset by higher spending for research and development projects and an increase in facility and information system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Selling and marketing expenses decreased by $1.2 million during the three months ended March 31, 2025, as compared to the same period in the prior fiscal year was primarily due to lower compensation and benefits. Selling and marketing expenses were flat during the nine months ended March 31, 2025, as compared to the same period in the prior fiscal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$1.7 million during the three months ended March 31, 2025, as compared to the same period in the prior fiscal year primarily due to a decrease in consulting costs in the current period due to the completion of the implementation of our ERP system in fiscal year 2024 and an overall focus on disciplined expense management. General and administrative expenses decreased by $2.7 million during the nine months ended March 31, 2025, as compared to the same period in the prior fiscal year, primarily due to a decrease in consulting costs due to the completion of the implementation of our ERP system in fiscal year 2024 and a decrease in facility costs, partially offset by an increase in compensation and benefits.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from equity method investment, net</w:t>
      </w:r>
    </w:p>
    <w:p>
      <w:pPr>
        <w:pStyle w:val="TextBody"/>
        <w:bidi w:val="0"/>
        <w:jc w:val="left"/>
        <w:rPr/>
      </w:pPr>
      <w:r>
        <w:rPr/>
        <w:t> </w:t>
      </w:r>
    </w:p>
    <w:tbl>
      <w:tblPr>
        <w:tblW w:w="10200" w:type="dxa"/>
        <w:jc w:val="left"/>
        <w:tblInd w:w="0" w:type="dxa"/>
        <w:tblLayout w:type="fixed"/>
        <w:tblCellMar>
          <w:top w:w="28" w:type="dxa"/>
          <w:left w:w="28" w:type="dxa"/>
          <w:bottom w:w="28" w:type="dxa"/>
          <w:right w:w="28" w:type="dxa"/>
        </w:tblCellMar>
      </w:tblPr>
      <w:tblGrid>
        <w:gridCol w:w="3761"/>
        <w:gridCol w:w="211"/>
        <w:gridCol w:w="571"/>
        <w:gridCol w:w="146"/>
        <w:gridCol w:w="146"/>
        <w:gridCol w:w="211"/>
        <w:gridCol w:w="571"/>
        <w:gridCol w:w="146"/>
        <w:gridCol w:w="146"/>
        <w:gridCol w:w="181"/>
        <w:gridCol w:w="524"/>
        <w:gridCol w:w="271"/>
        <w:gridCol w:w="146"/>
        <w:gridCol w:w="211"/>
        <w:gridCol w:w="571"/>
        <w:gridCol w:w="146"/>
        <w:gridCol w:w="146"/>
        <w:gridCol w:w="211"/>
        <w:gridCol w:w="571"/>
        <w:gridCol w:w="146"/>
        <w:gridCol w:w="146"/>
        <w:gridCol w:w="181"/>
        <w:gridCol w:w="524"/>
        <w:gridCol w:w="316"/>
      </w:tblGrid>
      <w:tr>
        <w:trPr/>
        <w:tc>
          <w:tcPr>
            <w:tcW w:w="3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equity method investment,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from equity method investment, which relates to our JV, increased by $1.3 million and $2.8 million during the three and nine months ended March 31, 2025, respectively, as compared to the same periods in the prior fiscal year, primarily due to a higher volume of shipments of system units by the JV and higher service revenue due to the increase in installed base in China.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8340" w:type="dxa"/>
        <w:jc w:val="left"/>
        <w:tblInd w:w="0" w:type="dxa"/>
        <w:tblLayout w:type="fixed"/>
        <w:tblCellMar>
          <w:top w:w="28" w:type="dxa"/>
          <w:left w:w="28" w:type="dxa"/>
          <w:bottom w:w="28" w:type="dxa"/>
          <w:right w:w="28" w:type="dxa"/>
        </w:tblCellMar>
      </w:tblPr>
      <w:tblGrid>
        <w:gridCol w:w="1711"/>
        <w:gridCol w:w="211"/>
        <w:gridCol w:w="631"/>
        <w:gridCol w:w="166"/>
        <w:gridCol w:w="146"/>
        <w:gridCol w:w="211"/>
        <w:gridCol w:w="631"/>
        <w:gridCol w:w="166"/>
        <w:gridCol w:w="146"/>
        <w:gridCol w:w="288"/>
        <w:gridCol w:w="417"/>
        <w:gridCol w:w="271"/>
        <w:gridCol w:w="146"/>
        <w:gridCol w:w="146"/>
        <w:gridCol w:w="631"/>
        <w:gridCol w:w="166"/>
        <w:gridCol w:w="146"/>
        <w:gridCol w:w="146"/>
        <w:gridCol w:w="631"/>
        <w:gridCol w:w="166"/>
        <w:gridCol w:w="146"/>
        <w:gridCol w:w="288"/>
        <w:gridCol w:w="417"/>
        <w:gridCol w:w="316"/>
      </w:tblGrid>
      <w:tr>
        <w:trPr/>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remained flat during the three and nine months ended March 31, 2025, as compared to the same period in the prior fiscal year, primarily due to lower average interest rates mostly offset by higher average outstanding balances on our revolving credit facility in fiscal year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Income (Expense), net</w:t>
      </w:r>
    </w:p>
    <w:p>
      <w:pPr>
        <w:pStyle w:val="TextBody"/>
        <w:bidi w:val="0"/>
        <w:jc w:val="left"/>
        <w:rPr/>
      </w:pPr>
      <w:r>
        <w:rPr/>
        <w:t> </w:t>
      </w:r>
    </w:p>
    <w:tbl>
      <w:tblPr>
        <w:tblW w:w="10040" w:type="dxa"/>
        <w:jc w:val="left"/>
        <w:tblInd w:w="0" w:type="dxa"/>
        <w:tblLayout w:type="fixed"/>
        <w:tblCellMar>
          <w:top w:w="28" w:type="dxa"/>
          <w:left w:w="28" w:type="dxa"/>
          <w:bottom w:w="28" w:type="dxa"/>
          <w:right w:w="28" w:type="dxa"/>
        </w:tblCellMar>
      </w:tblPr>
      <w:tblGrid>
        <w:gridCol w:w="3211"/>
        <w:gridCol w:w="211"/>
        <w:gridCol w:w="631"/>
        <w:gridCol w:w="166"/>
        <w:gridCol w:w="146"/>
        <w:gridCol w:w="211"/>
        <w:gridCol w:w="481"/>
        <w:gridCol w:w="166"/>
        <w:gridCol w:w="146"/>
        <w:gridCol w:w="153"/>
        <w:gridCol w:w="552"/>
        <w:gridCol w:w="331"/>
        <w:gridCol w:w="146"/>
        <w:gridCol w:w="211"/>
        <w:gridCol w:w="631"/>
        <w:gridCol w:w="166"/>
        <w:gridCol w:w="146"/>
        <w:gridCol w:w="211"/>
        <w:gridCol w:w="631"/>
        <w:gridCol w:w="166"/>
        <w:gridCol w:w="146"/>
        <w:gridCol w:w="163"/>
        <w:gridCol w:w="542"/>
        <w:gridCol w:w="476"/>
      </w:tblGrid>
      <w:tr>
        <w:trPr/>
        <w:tc>
          <w:tcPr>
            <w:tcW w:w="3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for hedging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(expense), net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increased during the three months ended March 31, 2025, as compared to the same period in the prior fiscal year, primarily due to unfavorable changes in the fair value of foreign currency forward contracts. Other income increased during the nine months ended March 31, 2025, as compared to the same period in the prior fiscal year, primarily due to favorable changes in the fair value of foreign currency forward contracts, partially offset by increased costs for hedging activities.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jc w:val="left"/>
        <w:rPr/>
      </w:pPr>
      <w:r>
        <w:rPr/>
        <w:t> </w:t>
      </w:r>
    </w:p>
    <w:tbl>
      <w:tblPr>
        <w:tblW w:w="8738" w:type="dxa"/>
        <w:jc w:val="left"/>
        <w:tblInd w:w="0" w:type="dxa"/>
        <w:tblLayout w:type="fixed"/>
        <w:tblCellMar>
          <w:top w:w="28" w:type="dxa"/>
          <w:left w:w="28" w:type="dxa"/>
          <w:bottom w:w="28" w:type="dxa"/>
          <w:right w:w="28" w:type="dxa"/>
        </w:tblCellMar>
      </w:tblPr>
      <w:tblGrid>
        <w:gridCol w:w="2381"/>
        <w:gridCol w:w="229"/>
        <w:gridCol w:w="458"/>
        <w:gridCol w:w="158"/>
        <w:gridCol w:w="158"/>
        <w:gridCol w:w="229"/>
        <w:gridCol w:w="458"/>
        <w:gridCol w:w="158"/>
        <w:gridCol w:w="158"/>
        <w:gridCol w:w="288"/>
        <w:gridCol w:w="417"/>
        <w:gridCol w:w="271"/>
        <w:gridCol w:w="146"/>
        <w:gridCol w:w="211"/>
        <w:gridCol w:w="571"/>
        <w:gridCol w:w="146"/>
        <w:gridCol w:w="146"/>
        <w:gridCol w:w="211"/>
        <w:gridCol w:w="571"/>
        <w:gridCol w:w="146"/>
        <w:gridCol w:w="146"/>
        <w:gridCol w:w="196"/>
        <w:gridCol w:w="509"/>
        <w:gridCol w:w="376"/>
      </w:tblGrid>
      <w:tr>
        <w:trPr/>
        <w:tc>
          <w:tcPr>
            <w:tcW w:w="23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 quarterly basis, we provide for income taxes based upon an estimated annual effective income tax rate. The provision for income taxes was flat during the three months ended March 31, 2025 as compared to the same period in the prior fiscal year. The provision for income taxes decreased $1.5 million during the nine months ended March 31, 2025, as compared to the same period in the prior fiscal year, primarily due to an additional expense in the prior year period relating to higher deferred tax liability on unremitted foreign earnings.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2025, we had $77.8 million in cash and cash equivalents. Cash from operations could be affected by various risks and uncertainties, including, declines in our revenue, particularly without a corresponding decrease in our expenses, the timing of payments from our customers and our expenditures, as well as but not limited to, macroeconomic conditions, inflation, actions taken to counter inflation, foreign currency exchange rate fluctuations, and the risks included in Part I, Item 1A titled “Risk Factors.” In particular, we expect inflation and the ongoing supply chain challenges and logistics costs to impact our cash from operations through calendar year 2025. In addition, reduced budgets and lower capital deployment priority for radiotherapy equipment, along with longer customer installation timelines, in the United States have negatively impacted net revenue since fiscal year 2024, and we expect that this will continue to have an impact through fiscal year 2026.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liquidity and cash flows have been and could continue to be materially impacted by factors other than our cash from operations and factors that are not in our control, such as current macroeconomic factors, including facility closures, supply chain disruptions, inflation, foreign currency exchange rate fluctuations, increased volatility in the financial markets,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and tightening of credit markets which could impact debt availability.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There remain uncertainties as to how the current macroeconomic environment will impact our business, results of operations, access to sources of liquidity and financial condition in the future. As a result, we are unable to predict with certainty the impacts of these factors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ability to maintain compliance with the financial covenants contained in the credit and security agreements related to our credit facilities or our ability to refinance our existing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2021, we issued $100.0 million aggregate principal amount of 3.75% Convertible Senior Notes due 2026 (the 'Notes") under an indenture between us and The Bank of New York Mellon Trust Company, N.A., as trustee. Concurrently, with the issuance of the Notes, in May 2021, we entered into a senior secured credit agreement with Silicon Valley Bank, individually as a lender and agent, and the other lenders (the “Credit Agreement”), which provides for a five-year $80 million term loan facility (the “Term Loan Facility”) and a $40 million revolving credit facility (the “Revolving Credit Facility”). As of March 31, 2025, we had an outstanding balance under the Term Loan Facility of $58.0 million and Revolving Credit Facility of $17.0 million. Refer to Note 8. Debt to our unaudited condensed consolidated financial statements included in this Quarterly Report on Form 10-Q for discussion of the Term Loan Facility, the Revolving Credit Facility and our Convertible Notes outstanding as of March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Credit Facilities will mature on May 6, 2026, and our Notes mature on June 1, 2026, both of which will need to be paid or refinanced by maturity. On the maturity date, we will be required to pay $50.0 million on the Term Loan Facility, any unpaid balance on the Revolving Credit Facility and $100.0 million on the Notes. If we are unable to repay or refinance the amounts outstanding under the Credit Facilities and the amounts due on the Notes by the time such amounts become current on May 6, 2025 and June 1, 2025, respectively, or we do not have committed financing or available liquidity to meet such debt obligations if they were to become due in accordance with their current terms, our ability to continue as a going concern may be adversely affected, as more fully described the section titled “Risk Factors” in Part II, Item 1A of this Quarterly Report on Form 10-Q under the risk factor entitled “If we are unable to refinance our debt, specifically our Credit Facilities and our Notes, in a timely manner, or at all, we may not be able to generate enough cash flow to meet our debt obligations and, our ability to continue as a going concern may be adversely affected.” If we are unable to refinance our debt prior to such debt becoming current, it could significantly reduce our cash as well as our ability to continue to support our business growth and to respond to business challenges and, our business and ability to continue as a going concern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undistributed earnings of our foreign subsidiaries as of March 31, 2025, for all countries except Japan, France, Switzerland and the United Kingdom are considered to be indefinitely reinvested and unavailable for distribution in the form of dividends or otherwise. Future repatriation of our foreign earnings could be subject to income taxes. As of March 31, 2025, we had $11.5 million of cash and cash equivalents at our foreign subsidiaries. If such funds were repatriated, there will be additional foreign tax withholdings imposed depending on the country from which the funds were repatriated.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flows for the nine months ended March 31, 2025 and 2024 are summarized as follows (in thousands):</w:t>
      </w:r>
    </w:p>
    <w:p>
      <w:pPr>
        <w:pStyle w:val="TextBody"/>
        <w:bidi w:val="0"/>
        <w:jc w:val="left"/>
        <w:rPr/>
      </w:pPr>
      <w:r>
        <w:rPr/>
        <w:t> </w:t>
      </w:r>
    </w:p>
    <w:tbl>
      <w:tblPr>
        <w:tblW w:w="8934" w:type="dxa"/>
        <w:jc w:val="left"/>
        <w:tblInd w:w="0" w:type="dxa"/>
        <w:tblLayout w:type="fixed"/>
        <w:tblCellMar>
          <w:top w:w="28" w:type="dxa"/>
          <w:left w:w="28" w:type="dxa"/>
          <w:bottom w:w="28" w:type="dxa"/>
          <w:right w:w="28" w:type="dxa"/>
        </w:tblCellMar>
      </w:tblPr>
      <w:tblGrid>
        <w:gridCol w:w="6331"/>
        <w:gridCol w:w="146"/>
        <w:gridCol w:w="211"/>
        <w:gridCol w:w="676"/>
        <w:gridCol w:w="166"/>
        <w:gridCol w:w="146"/>
        <w:gridCol w:w="211"/>
        <w:gridCol w:w="736"/>
        <w:gridCol w:w="31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operating activities during the nine months ended March 31, 2025, was due to $15.5 million from non-cash items offset by a net loss of $2.7 million and a $0.2 million decrease from the net changes of assets and liabilities.</w:t>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Non-cash items primarily consisted of $7.4 million of share-based compensation expense, $4.6 million of depreciation and amortization expense, $4.1 million in deferred gross profit on sales to the JV and $2.3 million for the provision for write-down of inventories, partially offset by $3.8 million in income from equity investment. </w:t>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major contributors to the decrease from the net changes of assets and liabilities during the nine months ended March 31, 2025 were as follows: a $14.6 million increase in inventories that was primarily due to increased purchases of materials to meet expected demand; $5.2 million decrease in accounts payable that was primarily due to the timing of payments and a $3.8 million increase in prepaid and other assets, partially offset by a $14.7 million decrease in accounts receivable due to increased collections, and a $10.2 million increase in deferred revenue.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Investing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used in investing activities was $5.1 million during the nine months ended March 31, 2025, due to spending $2.9 million for the purchase of property and equipment and $2.2 million in costs for capitalized investments for software to be sold.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was $1.6 million during the nine months ended March 31, 2025, was due to $7.0 million in net borrowings on our Revolving Credit Facility, partially offset by the scheduled payments of $6.0 million for the principal amount outstanding on our Term Loan Facility.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Operating Capital and Capital Expenditure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capital requirements depend on numerous factors. These factors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generated by sales of our products and service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cash flows from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our sales and marketing initiatives and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equipment and IT systems required to support current and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Rate of progress and cost of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obtaining and maintaining FDA and other regulatory clearances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Effects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and timing of acquisitions and other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refinance our current indebtedness in a timely manner, and servicing and maturity of our current and future indebtedness, including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cost savings initiatives, including the reduction of our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 on our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macroeconomic environment, including on collections, supply chain, and logistics.</w:t>
      </w:r>
    </w:p>
    <w:p>
      <w:pPr>
        <w:pStyle w:val="TextBody"/>
        <w:bidi w:val="0"/>
        <w:jc w:val="left"/>
        <w:rPr>
          <w:rFonts w:ascii="Times New Roman" w:hAnsi="Times New Roman"/>
          <w:color w:val="000000"/>
          <w:sz w:val="20"/>
        </w:rPr>
      </w:pPr>
      <w:r>
        <w:rPr>
          <w:rFonts w:ascii="Times New Roman" w:hAnsi="Times New Roman"/>
          <w:color w:val="000000"/>
          <w:sz w:val="20"/>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 available at all, or in amounts or on terms acceptable to us. If we are unable to obtain this additional financing, we may be required to reduce the scope of our planned product development and marketing efforts.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presented our contractual obligations in our Annual Report on Form 10-K for the fiscal year ended June 30, 2024. Our contractual obligations consist of debt, operating leases, purchase commitments, and other contractual obligations. There have been no material changes to these obligations outside the ordinary course of business during the nine months ended March 31, 2025 as compared to the contractual obligations disclosed in the “Management’s Discussion and Analysis of Financial Condition and Results of Operations” section of our Annual Report on Form 10-K for the year ended June 30,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Inflation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experienced rising costs for certain materials, including increased logistics and duties costs that adversely affected our gross margins and net income (loss), and had a material effect on our business, financial condition and results of operations for fiscal years 2023 and 2024. We expect that gross margins and net income (loss) will continue to be adversely affected by increased material costs and freight and logistics expenses in calendar year 2025 as we are unable to pass all of these increased costs to our customers. In addition, we expect inflation and the ongoing supply chain challenges and logistics costs to impact our cash from operations through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calendar year 2025. Continued pressure from inflationary factors, such as further increases in the cost of materials for our products, cost of labor, interest rates, overhead costs, logistics and duties costs could further exacerbate these effects and harm our business, operating results, and financial condition.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however, could limit our ability to accurately make and evaluate our estimates and judgments. Actual results could therefore differ materially from those estimates if actual conditions differ from our assumptions.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nine months ended March 31, 2025, there were no material changes to the critical accounting policies and estimates, previously disclosed in Part II, Item 7, of our Annual Report on Form 10-K filed with the SEC on September 19,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utilize derivative commodity instruments or other market risk sensitive instruments, positions or transactions, but we may in the future.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Concentration of Credit and Other Risks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and nine months ended March 31, 2025 and 2024, one customer represented 10% or more of total net revenue. As of March 31, 2025, and June 30, 2024, we had one customer that accounted for 10% or more of our total accounts receivable,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perform ongoing credit evaluations of our customers and maintain reserves for potential credit losses. Accounts receivable are deemed past due in accordance with the contractual terms of the agreement. Accounts receivable balances are charged against the allowance for credit losses once collection efforts are unsuccessful.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majority of our sales are denominated in foreign currencies, most notably the Euro and the Japanese Yen. Future fluctuations in the value of the U.S. Dollar may affect the price competitiveness of our products outside the United States. For direct sales outside the United States, we sell in both U.S. Dollars and local currencies, which exposes us to additional foreign currency risks, including changes in currency exchange rates. Our operating expenses in countries outside the United States are mostly payable in local currencies and therefore, expose us to currency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the changes in the fair value of the net foreign currency assets arising from fluctuations in foreign currency exchange rates to be materially offset by the changes in the fair value of the forward contracts. We have developed a foreign exchange risk management policy to mitigate foreign currency exchange rate fluctuation risk. As of March 31, 2025, we had entered into foreign currency forward contracts to purchase or sell foreign currencies with a stated or notional value of approximately $116.4 million. These foreign currency forward contracts do not qualify for hedge accounting treatment and all changes in fair value are reported in earnings as part of other income (expense), net. We have not entered into any other types of derivative financial instruments for trading or speculative purposes.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debt obligations consist of a variety of financial instruments that expose us to interest rate risk including, but not limited to the Credit Facilities and Notes. The interest rates on the Notes are fixed and the interest rate on the Credit Facilities are at variable rates, which are tied to a “prime rate” and the Secured Overnight Financing Rate (“SOFR”). As of March 31, 2025, our borrowings under the Term Loan Facility totaling $58.0 million and Revolving Credit Facility totaling $17.0 million, are both subject to a 90-day SOFR (subject to a 0.50% floor) plus a margin between 2.50% and 3.25% as determined by the Consolidated Senior Net Leverage Ratio as defined in the credit agreement governing the Credit Facilities. If the amount outstanding under the Credit Facilities remained at this level for the next 12 months and interest rates increased or decreased by a 50 basis point change, our annual interest expense would increase or decrease, respectively, approximately $0.4 million. Refer to Note 8. Debt to our unaudited condensed consolidated financial statements included in this Quarterly Report on Form 10-Q for a discussion regarding our debt obligation.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Price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13, 2021, we issued approximately $100.0 million aggregate principal amount of 3.75% Convertible Senior Notes due June 1, 2026. Upon conversion, we can settle the obligation by issuing our common stock, cash or a combination thereof at an initial conversion rate equal to 170.5611 shares of common stock per $1,000 principal amount of the 3.75% Convertible Senior Notes due June 1, 2026, which is equivalent to a conversion price of approximately $5.86 per share of common stock, subject to adjustment. There is no equity price risk if the share price of our common stock is below $5.86 upon conversion of the 3.75% Convertible Senior Notes due June 1, 2026. For every $1 that the share price of our common stock exceeds $5.86, we expect to issue an additional $17.1 million in cash or shares of our common stock, or a combination thereof, if all of the 3.75% Convertible Senior Notes due June 1, 2026, are converted.</w:t>
      </w:r>
    </w:p>
    <w:p>
      <w:pPr>
        <w:pStyle w:val="TextBody"/>
        <w:bidi w:val="0"/>
        <w:jc w:val="left"/>
        <w:rPr/>
      </w:pPr>
      <w:r>
        <w:rPr/>
        <w:t> </w:t>
      </w:r>
    </w:p>
    <w:p>
      <w:pPr>
        <w:pStyle w:val="TextBody"/>
        <w:bidi w:val="0"/>
        <w:jc w:val="left"/>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the design and operation of our disclosure controls and procedures (as defined in Rule 13a-15(e) of the Exchange Act) as of March 31, 2025. Based on this evaluation, our Chief Executive Officer and Chief Financial Officer concluded that as of March 31, 2025, our disclosure controls and procedures, as defined in Rule 13a-15(e), were effective at a reasonable assurance level in ensuring (i) that the information required to be disclosed by us in the reports we file or submit under the Exchange Act is recorded, processed, summarized and reported within the time periods specified in the Securities and Exchange Commission’s rules and forms, and (ii) that such information is accumulated and communicated to our management, including our Chief Executive Officer and Chief Financial Officer, as appropriate to allow timely decisions regarding required disclosure.</w:t>
      </w:r>
    </w:p>
    <w:p>
      <w:pPr>
        <w:pStyle w:val="TextBody"/>
        <w:bidi w:val="0"/>
        <w:jc w:val="left"/>
        <w:rPr>
          <w:rFonts w:ascii="Times New Roman" w:hAnsi="Times New Roman"/>
          <w:b/>
          <w:color w:val="000000"/>
          <w:sz w:val="20"/>
        </w:rPr>
      </w:pPr>
      <w:r>
        <w:rPr>
          <w:rFonts w:ascii="Times New Roman" w:hAnsi="Times New Roman"/>
          <w:b/>
          <w:color w:val="000000"/>
          <w:sz w:val="20"/>
        </w:rPr>
        <w:t>Remediation of Previously Disclosed Material Weaknesses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noted in our 2024 Annual Report on Form 10-K (the “2024 Annual Report”), management identified a material weakness within our system of internal control over financial reporting due to our SAP S/4HANA ERP system not being designed for and not maintaining effective controls to ensure that all manual journal entries consistently enforced segregation of duties in the approval process prior to being posted to the general ledger system. Remediation of this material weakness was completed during the three months ended December 31, 2024, and included establishing new controls and procedures to ensure segregation of duties is maintained between the creation, posting and approval of manual journal entries. As of December 31, 2024, these control activities have been appropriately designed and implemented, and have operated effectively for a sufficient period of time to conclude that the previously identified material weakness has been remediated.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Also as noted in our 2024 Annual Report, management identified a second material weakness within our system of internal control over financial reporting due to our SAP S/4HANA ERP system not being designed for and not maintaining effective controls to ensure the existence of inventory at the Madison manufacturing warehouse locations because its controls relied on a cycle count program that, due to initial limitations associated with certain ERP system reports, was not sufficiently precise. Remediation of this material weakness was completed as of March 31, 2025, which included establishing new controls with configured ERP system reports to allow for full capture of inventory with proper count timing required for an effective cycle count program, inclusive of reinforcement for proper cycle count process through policy statements, regular communications and periodic reviews and meetings with managers and staff. As of March 31, 2025, these control activities have been appropriately designed and implemented, and have operated effectively for a sufficient period of time to conclude that the previously identified material weakness has been remediated.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the remediation of the two material weaknesses associated with the aforementioned control activities resulted from the remediation of the deficiency in the risk assessment component of the COSO framework disclosed in our 2024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which we remediated by performing a comprehensive risk analysis of the affected areas and implemented control activities that effectively managed the risks.</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has concluded that the Company’s consolidated financial statements included in this Quarterly Report on Form 10-Q fairly present, in all material respects, our financial position, results of operations and cash flows for the periods presented with accounting principles generally accepted in the United States of America. </w:t>
      </w:r>
    </w:p>
    <w:p>
      <w:pPr>
        <w:pStyle w:val="TextBody"/>
        <w:bidi w:val="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any changes in our internal control over financial reporting that occurred during the quarter ended March 31, 2025, and has concluded that other than the changes described above under "Remediation of Previously Disclosed Material Weaknesses" there were no changes in our internal control over financial reporting that occurred during the quarter ended March 31, 2025 that have materially affected, or are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Inherent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These inherent limitations, however, are known features of the financial reporting process, therefore, it is possible to design into the process safeguards to reduce, though not eliminate, this risk. In designing and evaluating the disclosure controls and procedures, management recognized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part_ii_or_information"/>
      <w:bookmarkEnd w:id="11"/>
      <w:r>
        <w:rPr>
          <w:rFonts w:ascii="Times New Roman" w:hAnsi="Times New Roman"/>
          <w:b/>
          <w:color w:val="000000"/>
          <w:sz w:val="20"/>
        </w:rPr>
        <w:t>PART II. OTHER INFORMATION</w:t>
      </w:r>
    </w:p>
    <w:p>
      <w:pPr>
        <w:pStyle w:val="TextBody"/>
        <w:bidi w:val="0"/>
        <w:spacing w:before="20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information set forth in Note 7. </w:t>
      </w:r>
      <w:r>
        <w:rPr>
          <w:rFonts w:ascii="Times New Roman" w:hAnsi="Times New Roman"/>
          <w:i/>
          <w:color w:val="000000"/>
          <w:sz w:val="20"/>
        </w:rPr>
        <w:t>Commitments and Contingencies—Litigation</w:t>
      </w:r>
      <w:r>
        <w:rPr>
          <w:rFonts w:ascii="Times New Roman" w:hAnsi="Times New Roman"/>
          <w:color w:val="000000"/>
          <w:sz w:val="20"/>
        </w:rPr>
        <w:t>, to our unaudited condensed consolidated financial statements included in this Quarterly Report on Form 10-Q is incorporated herein by reference.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Part I, Item 1A titled “Risk Factors.” These risks include, but are not limited to, the following: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the current global economic environment, which could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products do not achieve widespread market acceptance, we will not be able to generate the revenue necessary to support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profitability depends in part on maintaining or increasing our gross margins on product sales and services, which we may not be able to achieve.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refinance our debt, specifically our Credit Facilities and our Notes, in a timely manner, or at all, we may not be able to generate enough cash flow to meet our debt obligations and our ability to continue as a going concern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outstanding indebtedness and may incur other debt in the future, which may adversely affect our financial condition and future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international tariffs, including tariffs imposed by the United States and China that affect our products or components within our products, other trade barriers or a global trade war could increase our costs and materially and adversely affect our business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including our cash flows, quarterly orders, revenues and margins fluctuate from quarter to quarter and may be unpredictable, which may result in a decline in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arising from our international operations, which may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have been and may continue to be impacted by changes in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develop new products or enhance existing products to meet our customers’ needs and compete favorably in the market, we may be unable to attract or retain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effectively manage our growth, our business may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become subject to product liability claims, product recalls, other field actions and warranty claims that could be expensive, divert management’s attention and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single</w:t>
        <w:noBreakHyphen/>
        <w:t>source suppliers for critical components of our products could harm our ability to meet demand for our products in a timely and cost 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key employees, the loss of whom would adversely affect our business. If we fail to attract and retain employees with the expertise required for our business, we may be unable to continue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of critical information technology systems, infrastructure and data or cyberattacks or other security breaches or incidents could harm our business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perceived failure by us to comply with legal or regulatory requirements related to privacy, cybersecurity and data protection could result in proceedings, actions or penalties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of our products for certain uses is not yet supported by long</w:t>
        <w:noBreakHyphen/>
        <w:t>term clinical data, and our products may therefore prove to be less safe and effective than initially thought.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Failures or disruptions at our logistics providers have occurred and could occur in the future, which could adversely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claim we are infringing their intellectual property or that we are operating outside the scope of or violating a license or other agreement relating to their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difficult and costly to protect our intellectual property and our proprietary technologies and we may not be able to ensure their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identified material weaknesses in our system of internal controls as of June 30, 2024. Although such material weaknesses have been remediated as of March 31, 2025, if we fail to maintain an effective system of internal control over financial reporting, our ability to produce timely and accurate financial results could be adversely impacted.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the regulation of our products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Modifications, upgrades, new indications and future products related to our products may require new Food and Drug Administration (“FDA”) 510(k) clearances or premarket approvals and similar licensing or approvals in international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federal, state and foreign laws and regulations applicable to our operations, the violation of which could result in substantial penalties and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distributors do not obtain and maintain the necessary regulatory approvals in a specific country, we will not be able to market and sell our products in that country.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is volatile and may continue to fluctuate significantly, which could lead to losses for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issuances of shares of our common stock could dilute the ownership interests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conditional conversion features of the Notes, if triggered, may adversely affect our financial condition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the indenture for the Notes, the credit agreement for our Credit Facilities (as defined below), our certificate of incorporation and our bylaws could discourage or prevent a takeover, even if an acquisition would be beneficial in the opinion of our stockholders.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could be adversely impacted by adverse conditions in the financial markets.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operate in a rapidly changing environment that involves significant risks, a number of which are beyond our control. In addition to the other information contained in this Form 10</w:t>
        <w:noBreakHyphen/>
        <w:t>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w:t>
        <w:noBreakHyphen/>
        <w:t>looking” statements described elsewhere in this Form 10</w:t>
        <w:noBreakHyphen/>
        <w:t>Q and in the documents incorporated herein by reference. They could affect our actual results of operations, causing them to differ materially from those expressed in “forward</w:t>
        <w:noBreakHyphen/>
        <w:t>looking”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Business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risks related to the current global economic environment, including risks arising in connection with tariffs, inflation, recession or currency fluctuations,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and results of operations are materially affected by conditions in the global markets and the economy generally. Concerns over economic and political stability; inflation levels and related efforts to mitigate inflation; a potential recession; the level of U.S. national debt, the U.S. debt credit rating and U.S. budgetary concerns; currency fluctuations and volatility; the rate of growth of Japan, China and other Asian economies, including the impact of the China anti-corruption campaign and timing of China stimulus program on those economies; unemployment; the availability and cost of credit; trade relations, including the imposition of various sanctions and tariffs by the United States and other countries; energy costs; instability in the banking and financial services sector and geopolitical uncertainty and conflict, changes in government administration policy positions and recent executive orders to impose new tariffs on global imports investigations that could result in additional tariffs on specific industries, and uncertainties regarding impact, retaliations and further escalation,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as well as ongoing supply chain challenges beginning in fiscal year 2023 have resulted in rising costs for certain materials, including increased logistics and duties costs, that have materially affected our gross margins and net income (loss), which have had a material effect on our business, financial condition or results of operations. We expect that gross margins and net income (loss) will continue to be adversely affected by increased material costs and freight and logistic expenses through calendar year 2025, and potentially longer. In addition, we expect inflation and the ongoing supply chain challenges and logistics costs to impact our cash from operations through calendar year 2025, as we are unable to pass all of these increased costs to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almost all foreign products, including most recently extraordinary tariffs on imports from China, that in the past have resulted in and may result in future retaliatory tariffs on U.S. goods and products and restrictions on exports to the United States. We cannot predict whether these policies will continue, or if new policies will be enacted, or the impact, if any, that any policy changes could have on our business. In addition, failure of the U.S. Government to pass a budget in a timely manner or any reductions in healthcare spending in the budget may adversely impact us 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uncertain macroeconomic environment, including volatile credit markets and concerns regarding the availability and cost of credit, increased interest rates, inflation, reduced economic growth or a recession, instability in the banking and financial services sector, and changes in government administration policy positions,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For example, in the United States, at least one customer declared bankruptcy in fiscal 2023 causing us 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net revenue since fiscal year 2024, and we expect this will continue to have an impact through fiscal year 2026.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CyberKnife or TomoTherapy platforms do not achieve widespread market acceptance, we will not be able to generate the revenue necessary to support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Achieving physician, patient, hospital administrator and third</w:t>
        <w:noBreakHyphen/>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In addition, hospitals and other health professionals may reduce staffing and reduce or postpone meetings with potential suppliers in response to the spread of an infectious disease, such as COVID-19, effectively delaying the decision on potential purchases of new products such as ours. These and other factors, including the following, may affect the rate and level of market acceptance of the CyberKnife and TomoTherapy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CyberKnife and TomoTherapy platforms’ price relative to other products or competing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new products and enhancements and receive regulatory clearances and approval, if required, to such products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scrutiny by state boards when evaluating certificates of need requested by purchasing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 by patients, physicians and other members of the healthcare community of the CyberKnife and TomoTherapy platforms’ safety, efficacy, efficiency and benefits compared to competing technologies or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willingness of physicians to adopt new techniques and the ability of physicians to acquire the skills necessary to operate the CyberKnife and TomoTherapy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extent of third</w:t>
        <w:noBreakHyphen/>
        <w:t>party coverage and reimbursement rates, particularly from Medicare, for procedures using the CyberKnife and TomoTherapy platforms;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new products and technologies by our competitors or new treatment alternatives.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CyberKnife or TomoTherapy platforms are unable to achieve or maintain market acceptance, new orders and sales of our systems would be adversely affected, our revenue levels would decrease and our business would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achieve profitability depends in part on maintaining or increasing our gross margins on product sales and services, which we may not be able to achieve.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we had an accumulated deficit of $520.4 million. We have incurred net losses, and expect to incur net losses in the future, particularly as selling and marketing activities increase ahead of any expected revenue. Our ability to achieve and sustain long</w:t>
        <w:noBreakHyphen/>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achieve profitability also depends on our ability to maintain or increase our gross margins on product sales and services. A number of factors have adversely impacted or could impact gross margins,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than expected manufacturing yields of high cost components leading to increased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 production volume, which will result in high levels of overhead cost per unit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selling pricing;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sell products and services, recognize revenue from our sales and the timing of revenue recognition and revenue deferrals;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labor costs or other costs as a result of increased inflation and supply chain constraints;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receipt of or increased costs related to critical components parts, including as a result of 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inventory costs and liabilities for excess inventory resulting from inventory held in excess of forecasted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service or warranty costs or the failure to reduce service or warranty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price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 in the margins across products installed in a particular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and foreign trade policies, including enactments of tariffs on goods imported into the U.S. including, but not limited to, tariffs on goods imported from China and other countries, and any retaliatory tariffs imposed by other countries on U.S. goods, including our products, and retaliatory export controls that could impact our supply chain;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foreign currency exchange rates;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well we execute on our strategic and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maintain or increase our gross margins on product sales and service, our results of operations could be adversely impacted, we may not achieve profitability and our stock price could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refinance our debt, specifically our Credit Facilities and our Notes, in a timely manner, or at all, we may not be able to generate enough cash flow to meet our debt obligations and, our ability to continue as a going concern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outstanding borrowings of $50.0 million under our term loan and revolving credit facility (the “Credit Facilities”), which matures on May 6, 2026, and $100 million in principal amount outstanding of our 3.75% Convertible Senior Notes due June 2026 (the “Notes”), which mature on June 1, 2026. If we are unable to repay or refinance the amounts outstanding under the Credit Facilities and the amounts due on the Notes by the time such amounts become current on May 6, 2025 and June 1, 2025, respectively, or we do not have committed financing or available liquidity to meet such debt obligations if they were to become due in accordance with their current terms, our ability to continue as a going concern may be adversely affected. We continue to work with potential lenders to refinance the existing debt and have engaged an advisory investment banking firm to assist us with this effort. Whether we will be able to successfully refinance the Notes will depend on market conditions, our financial performance and other factors. As a result of market and business conditions, we expect any refinancing of the Notes to also result in increased interest expenses. We may also be subject to additional financial covenants and other lender protections. Although management believes that we will be able to refinance our debt prior to maturity, there can be no assurances regarding the ultimate success or timing of any modification to our Credit Facilities or our ability to repay or refinance the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currently have sufficient cash and cash equivalents to repay our outstanding debt under the Credit Facilities and the Notes. Accordingly, if our efforts to refinance our indebtedness are unsuccessful, we may be required to take alternative measures in order to raise sufficient cash to fully repay the outstanding debt balance and raise sufficient capital with which to continue operations, which may include actions such as raising capital via equity transactions, sale of significant assets, and significant cost reduction measures. Any of these measures may have an adverse impact on our ability to execute our business plan, take advantage of future opportunities, including our ability to raise capital, fund research and development initiatives, maintain relationships with third parties with whom we conduct business, including customers, vendors and lenders, or respond to competitive pressures or unanticipated financial requirements. The ultimate success of any such actions in sustaining our ability to continue as a going concern cannot be assured, and no assurance can be given that such financing or asset sales will be available or, if available, that they will be on commercially favorable terms. Moreover, any equity or equity-linked financing may be dilutive to investors or new equity securities may have rights, preferences or privileges senior to those of our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outstanding indebtedness in the form of Convertible Senior Notes and a credit facility and may incur other debt in the future, which may adversely affect our financial condition and future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2021, we issued $100.0 million aggregate principal amount of our Notes. As this debt is approaching maturity, we anticipate having to expend significant resources to either repay or refinance the Notes. For example, in May 2021, in connection with the issuance of the Notes, we (i) exchanged approximately $82.1 million aggregate principal amount of our previously issued 3.75% Convertible Senior Notes due 2022 for approximately $97.1 million aggregate principal amount of the Notes and (ii) sold approximately $2.9 million aggregate principal amount of the Notes for cash. We may also be required to refinance the Notes on different or less favorable terms or we may be unable to refinance the Notes at all, both of which may adversely affect our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condition. In May 2021, we entered into a credit agreement that provided us with a five-year $80.0 million term loan (the “Term Loan Facility”) and $40.0 million revolving credit facility (the “Revolving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2025, we had total consolidated liabilities of $434.7 million; including long-term liabilities of the Notes of $100.0 million, the Revolving Credit Facility of $17.0 million and the Term Loan Facility of $58.0 million, of which $7.6 million is classified as short-term loan. Our existing and future levels of indebtedness could have important consequences to stockholders and note holders and may adversely affect our financial conditions and future financial results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affecting our ability to satisfy our obligations under the Notes and Credit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impairing our ability to obtain additional financing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in planning for, or reacting to, changes in our business and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downturns in our business, our industry or the economy in 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governing the Credit Facilities (the “Existing Credit Agreement”) also includes certain restrictive covenants that limit, among other things, our ability and our subsidiaries’ ability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consolidated fixed charge coverage ratio and consolidated senior net leverage ratio, as defined in the Existing Credit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have not been in compliance with such covenants or other terms governing the Credit Facilities and we have been required to obtain waivers or amendments to the Existing Credit Agreement from our lenders in order to maintain compliance. For example, in the first fiscal quarter of 2025, we amended the Existing Credit Agreement to make certain changes to our financial covenants that enabled us to remain in compliance with such covenants. There can, however, be no certainty that any such waiver or amendment will be available to us in the future, or what the cost of such waiver or amendment, if obtained, would be. If we are unable to obtain necessary waivers or relevant amendments and the debt under such credit facility is accelerated, we would be required to obtain replacement financing at prevailing market rates, which may not be favorable to us. Additionally, a default on indebtedness could result in a default under the terms of the indenture governing the Notes. There is no guarantee that we would be able to satisfy our obligations if any of our indebtedness is accelerated.</w:t>
      </w:r>
    </w:p>
    <w:p>
      <w:pPr>
        <w:pStyle w:val="TextBody"/>
        <w:bidi w:val="0"/>
        <w:jc w:val="left"/>
        <w:rPr>
          <w:rFonts w:ascii="Times New Roman" w:hAnsi="Times New Roman"/>
          <w:color w:val="000000"/>
          <w:sz w:val="20"/>
        </w:rPr>
      </w:pPr>
      <w:r>
        <w:rPr>
          <w:rFonts w:ascii="Times New Roman" w:hAnsi="Times New Roman"/>
          <w:color w:val="000000"/>
          <w:sz w:val="20"/>
        </w:rPr>
        <w:t>Further, upon May 6, 2025 and June 1, 2025 our debt under the Credit Facilities and the Notes, respectively, will become current and such reclassification could adversely affect our ability to continue as a going concern. If we are unable to repay or refinance the amounts outstanding under the Credit Facilities and the amounts due on the Notes by the time such amounts become current on May 6, 2025 and June 1, 2025, respectively, or we do not have committed financing or available liquidity to meet such debt obligations if they were to become due in accordance with their current terms, our ability to continue as a going concern may be adversely affected, as more fully described in the risk factor entitled “If we are unable to refinance our debt, specifically our Credit Facilities and our Notes, in a timely manner, or not at all, we may not be able to generate enough cash flow to meet our debt obligations and, our ability to continue as a going concern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debt obligations consist of a variety of financial instruments that expose us to interest rate risk, including, but not limited to the Credit Facilities and Notes. If the amount outstanding under the Credit Facilities remained at this level for the next 12 months and interest rates increased or decreased by 50 basis point change, our annual interest expense would increase or decrease, respectively, approximately $0.4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Enhanced international tariffs, including tariffs imposed by the United States and China that affect our products or components within our products, other trade barriers or a global trade war could increase our costs and materially and adversely affect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global business could be negatively affected by trade barriers and other governmental protectionist measures, any of which can be imposed suddenly and unpredictably.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also currently significant uncertainty about the future relationship between the U.S. and various other countries, most significantly China, with respect to trade policies, treaties, government regulations and tariffs and such uncertainty could continue with the changes in government administration policy positions. Recently, the U.S. presidential administration has indicated its intent to modify U.S. trade policy and in some cases to renegotiate, or potentially terminate, certain existing bilateral or multi-lateral trade agreements. It has also imposed or announced tariffs on certain imports, including a baseline tariff of 10% on virtually all imports, higher tariffs on imports from China, as well as certain imports from Mexico and Canada. The administration has also announced and subsequently paused higher tariffs on additional countries, including the European Union pending the outcome of trade negotiations. These tariffs affect component parts including the linear accelerator for our CyberKnife platforms, which we manufacture in China and import into the U.S., as well as other components that we import into the U.S. from other suppliers, which could significantly impact the cost of these parts. Any retaliatory tariffs could also impact our ability to export and sell our products into those countries. For example, during the last half of calendar year 2018, the U.S. federal government imposed a series of tariffs ranging from 10% to 25% on a variety of imports from China, to which China responded with retaliatory tariffs ranging from 5% to 25% on a wide range of products from the U.S., which included certain of our products. If these tariffs continue, if additional tariffs are placed on certain of our components or products, or if any related counter-measures are taken by China, the U.S. or other countries, our business, financial condition and results of operations may be materially harmed. The imposition of tariffs could also increase our costs and require us to raise prices on our products, which may negatively impact the demand for our products in the affected market. We may not be able to forecast such impacts accurately. Although we continue to work with our vendors and customers to mitigate our exposure to current or potential tariffs, there can be no assurance that we will be able to offset any increased costs. The ultimate impact of any tariffs will depend on various factors, including if any tariffs are ultimately implemented, the timing of implementation, and the amount, scope, and nature of the tariffs. If we are not successful in offsetting the impact of any such tariffs, our revenue, gross margins and operating results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tariffs are subject to a number of uncertainties as they are implemented, including future adjustments and changes. 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export controls and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Our operating results, including our cash flows, quarterly orders, revenues and margins fluctuate from quarter to quarter and may be unpredictable, which may result in a decline in our stock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noBreakHyphen/>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macroeconomic factors as well as the COVID-19 pandemic at our customer sites.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Once orders are received and booked into backlog, there is a risk that we may not recognize revenue in the near term or at all. The pace at which backlog converts to revenue has been adversely impacted in recent years, primarily due to delays in the timing of deliveries and installations in fiscal 2020 through 2022 caused by the COVID-19 pandemic and the resulting effects on the global economic environment. These delays in deliveries and installations could occur again in the future, which could have a negative impact on our revenue. Factors that may affect whether these orders become revenue (or are cancelled or deemed aged</w:t>
        <w:noBreakHyphen/>
        <w:t>out and reflected as a reduction in net orders) and the timing of revenue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or political instability, including volatility related to the current global economic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customer obtaining or inability of a customer to obtain funding or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construction at the customer site and delays in installation;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customer obtaining or inability of such customer to obtain local or foreign regulatory approvals such as certificates of need in certain states or Class A or Class B user licenses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applicable sales and service contracts of the CyberKnife and TomoTherapy platforms;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proportion of revenue attributable to orders placed by our distributors, which may be more difficult to forecast due to factors outside our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operating results may also be affected by a number of other factors, some of which are outside of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business operations of our customers or vendors, construction at customer sites and installation, including delays caused by supply chain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level of expenditures associated with new product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requirements in some states for a certificate of need prior to the installation of a radiation device or foreign regulatory approvals, such as Class A or Class B user licenses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our manufacturing processes or unexpected manufacturing difficulties, including due to supply chain and logistics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announcement, introduction and delivery of new products or product upgrades by us and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level of expenditures associated with expansion of sales and marketing activities such as trade shows and our overall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level of expenditures associated with our financing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foreign currency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 such as those related to revenue recognition, or in the interpretation or the application thereof;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in general and the non</w:t>
        <w:noBreakHyphen/>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noBreakHyphen/>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consider the competition for the CyberKnife and TomoTherapy platforms to be existing radiation therapy systems, primarily using C</w:t>
        <w:noBreakHyphen/>
        <w:t>arm linacs, which are sold by large, well</w:t>
        <w:noBreakHyphen/>
        <w:t xml:space="preserve">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many government, academic and business entities are investing substantial resources in research and development of cancer treatments, including surgical approaches, radiation treatment, MRI</w:t>
        <w:noBreakHyphen/>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noBreakHyphen/>
        <w:t>priced systems due to their higher level of functionality and performance.</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risks arising from our international operations, which may adversely affect our business,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our international operations, and we plan to continue expanding our business in international markets in the future. In addition, we have employees engaged in R&amp;D, manufacturing, administration, manufacturing, support and sales and marketing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international operations, in addition to similar risks we face in our U.S. operations, we are affected by economic, business, regulatory, social, and political conditions in foreign countries,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or political instability in the world or in particular regions or countries in which we do business, including the market volatility resulting from conflicts or war, such as the Russia-Ukraine and the Middle East conflicts and changes in government administration policy 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laws and regulations governing, among other matters, the clearance, approval and sales of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differing foreign regulatory requirements to sell and market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relations with the governments of the foreign countries in which we operate, which may, among other things, affect our access to such markets, including China, where our JV is located;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protectionist laws, policies, business practices and nationalistic campaigns that favor local competitors, which could slow our growth, increase our costs, or make our products less competitive in our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trade and economic sanctions policies that are in effect from time to time including, but not limited to, tariffs on goods imported from China and other countries, and the possibility that foreign countries may impose additional taxes, tariffs or other restrictions on foreign trade;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payment cycles associated with many customers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of customers to obtain requisite government approvals, such as customers in China, including customers of the JV, obtaining one of the limited number of Class A or Class B user licenses available in order to purchase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compliance with privacy, data protection and information security laws, such as the European Union (“EU”) General Data Protection Regulation (the “GDPR”) and new regulations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coverage and reimbursement for the CyberKnife and TomoTherapy platform treatment procedures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local laws to provide the same degree of protection against infringement of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restrictions that are in effect from time to time, including U.S. prohibitions and restrictions on exports of certain products and technologies to certain nations and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unfamiliarity of shipping companies and other logistics providers with U.S. export control laws, which may lead to their unwillingness to ship or delays in shipping, our products to certain nations and customers despite such shipments being permitted under such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required export or import licenses 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foreign currency, including fluctuations in foreign currency exchange rates possibly causing fewer sales due to the strengthening of the U.S. Dollar;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effects of and uncertainties caused by the United Kingdom’s withdrawal from the European Union;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contractual provisions governed by foreign 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partners internationally are subject to these same risks. If we or our partners are impacted by any of these factors, our business, financial condition and operating results could be adversely affected.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results have been and may continue to be impacted by changes in foreign currency exchange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has previously been and could in the future be a significant headwind if the U.S. Dollar strengthens, which could affect our results of operations and could cause potential delays in orders and we may see our sales and margins outside of the U.S. decline as we may not be able to raise local prices to fully offset the strengthening of the U.S. Dollar. Also, if our international sales continue to increase, we may enter into a greater number of transactions denominated in non</w:t>
        <w:noBreakHyphen/>
        <w:t>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has and may continue to impact the supply of key components such that we may not receive them in a timely manner, in sufficient quantities, or at a reasonable cost.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processes and the manufacturing processes of our third</w:t>
        <w:noBreakHyphen/>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noBreakHyphen/>
        <w:t xml:space="preserve">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noBreakHyphen/>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noBreakHyphen/>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noBreakHyphen/>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are unable to develop new products or enhance existing products to meet our customers’ needs and compete favorably in the market, we may be unable to attract or retain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noBreakHyphen/>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we depend on one of our customers for a substantial portion of our revenue, and the loss of, or a significant reduction in orders from our major customer could have a material adverse effect on our revenue and operating results. We had one customer that represented 10% or more of total net revenue for the years ended June 30, 2024, 2023, and 2022, respectively. In the future, our major customer may decide not to purchase our products at all, may purchase fewer products than they did in the past, or may defer or cancel purchases or otherwise alter their purchasing patterns.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develop and introduce new products, treatment systems and product enhancements and simplifications, and the revenues and costs associated with these efforts, will be affected by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properly identify and address customer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prove feasibility of new products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educate physicians about the use of new products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internal quality assurance systems and processes timely and efficiently;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the timing and cost of obtaining regulatory approvals or clearances;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accurately predict and control costs associated with inventory overruns caused by phase</w:t>
        <w:noBreakHyphen/>
        <w:t>in of new products and phase</w:t>
        <w:noBreakHyphen/>
        <w:t>out of old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new products competitively;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and deliver our products in sufficient volumes on time and accurately predict and control costs associated with manufacturing, installation, warranty and maintenance of the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 our product development plan and launch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 manufacturing yields of components;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customer demands for retrofits of both old and new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customers accept new products or product enhancements, the revenues from these products may not be sufficient to offset the significant costs associated with making them available to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sure that we will be able to successfully develop, obtain regulatory approval or clearance for, manufacture or introduce new products, treatment systems or enhancements, the roll</w:t>
        <w:noBreakHyphen/>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do not effectively manage our growth, our business may be significantly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noBreakHyphen/>
        <w:t>up our manufacturing capacity and expand our marketing and distribution capabilities, all of which will be more difficult to accomplish the more employees we have that work remotely from home.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could become subject to product liability claims, product recalls, other field actions and warranty claims that could be expensive, divert management’s attention and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System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For example, in fiscal year 2025, we voluntarily initiated one recall related to the couch for the CyberKnife System, which was reported to the FDA.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reliance on single</w:t>
        <w:noBreakHyphen/>
        <w:t>source suppliers for critical components of the CyberKnife and TomoTherapy platforms could harm our ability to meet demand for our products in a timely and cost effective manner.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Global supply chain disruptions in parts of our supply chain, have occurred and could occur again in the future, causing delays in the receipt of certain component parts for our products and increased pricing pressure for such parts, including with respect to parts purchased from our single-source suppliers, adversely affecting our gross margins and increasing the risk that these supply chain disruptions could materially affect our ability to meet customer demand. Furthermore, as a result of the effects of the macroeconomic conditions, including inflation, and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noBreakHyphen/>
        <w:t>source supplier was to cease delivering components to us or fail to provide the components to our specifications and on a timely basis, we might be required to find 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addition, we expect inflation and the ongoing supply chain challenges and logistics costs to impact our cash from operations through calendar year 2025.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could increase as well as the costs associated with such components, and we expect such difficulties to persist through calendar year 2025.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noBreakHyphen/>
        <w:t>source suppliers will be able or willing to meet our future demands.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generally do not maintain large volumes of inventory, which makes us even more susceptible to harm if a single source supplier fails to deliver components on a timely basis or we experience quality issues with the components we do have in inventory, and maintaining our historical levels of inventory has been adversely impacted by the macroeconomic environment. For example, a supplier quality issue resulted in higher than anticipated failure rates for a component in our platforms, which resulted in higher parts consumption costs that adversely affected our financial results in fiscal year 2024.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We depend on key employees, the loss of whom would adversely affect our business. If we fail to attract and retain employees with the expertise required for our business, we may be unable to continue to grow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As a result, we may not be able to retain our existing employees or hire new employees quickly enough to meet our needs. Moreover, we have from time to time conducted reductions in force in order to optimize our organizational structure and reduce costs, some of which were substantial, and certain senior personnel have also departed for various reasons. For example, in October 2023, we informed affected employees of a cost savings initiative to reduce operating expenses resulting in the elimination of approximately 5.9 percent of our global workforce.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Disruption of critical information technology systems, infrastructure and data or cyberattacks or other security breaches or incidents could harm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breaches or incidents. While management is committed to identifying cybersecurity risks and working to address them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Cyberattacks and other means of creating security breaches and incidents or disruptions continue to increase in frequency, sophistication, and intensity and are becoming increasingly difficult to detect on a timely basis or otherwise, especially as they relate to attacks on third-party providers or their vendors. Such attacks are often carried out by motivated and highly skilled actors, who are increasingly well-resourced. Techniques used to compromise or sabotage systems, including the use of advanced technologies, such as machine learning or artificial intelligence ("AI") change frequently, may originate from less regulated and remote areas of the world, may be difficult to detect, and generally are not recognized until after they are launched against a target. As a result, we may be unable to anticipate these techniques or implement adequate preventative measures. Additionally, cyberattack activity may be heightened in connection with geopolitical events such as the Russia-Ukraine and Middle East conflicts. In addition to potential exposure to cyberattacks, security incidents, or other actions that may compromise the security of or interfere with the function of our products, defects or vulnerabilities in the software or systems of our third-party vendors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expose failures in our internal controls and risk management processes, which may adversely impact our business, financial condition, results of operations, or cash flows and may also harm our reputation, brand, and customer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There can be no assurance that any efforts we make to prevent against such privacy or security breaches or incidents have been or will be able to prevent breakdowns or breaches or incidents in our systems or those of our third-party service providers that could adversely affect our business.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adversaries might attempt to gain unauthorized access 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artificial intelligence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cybersecurity attacks or other security breaches. This impact could result in reputational, competitive, operational, or other business harm as well as financial costs and claims, demands, litigation and regulatory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do maintain insurance coverage that is intended to address certain aspects of data security risks, such insurance coverage may be insufficient to cover all losses or all types of claims that may arise.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Any actual or perceived failure by us to comply with legal or regulatory requirements related to privacy, cybersecurity and data protection in one or multiple jurisdictions could result in proceedings, actions or penalties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with regard to privacy and cybersecurity. In Europe, the GDPR imposes several 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new framework will be appropriate for us to rely upon. The DPF has already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Additionally, the U.S. Department of Justice recently issued a final rule that took effect in April 2025, and which places limitations, and in some cases prohibitions, on certain transfers of sensitive personal data to data to business partners located in China or with other specified links to China and other designated countries (the “DOJ Sensitive Personal Data Transfer Limitations Rule”). These and other developments relating to cross-border data transfer may require us to implement additional contractual and technical safeguards for any personal data transferred out of various jurisdictions, which may increase compliance costs, lead to increased regulatory scrutiny or liability, may require additional contractual negotiations, and may adversely impact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U.S. government has undertaken an evaluation of national security concerns and other risks relating to the transfer of personally identifiable information from the United States to China, and on June 9, 2021, U.S. President Biden signed an executive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order instituting a framework for determining national security risks of transactions that involve applications connected to governments or militaries of certain foreign adversaries or that collect sensitive personal data from U.S. consumers, with the DOJ Sensitive Personal Data Transfer Limitations Rule issued in April 2025. In 2019, an executive order citing national security risks in the telecommunications sector served to block U.S. companies from buying Chinese-made Huawei and ZTE products. If our operations, including those involving the processing of U.S.-collected data such as medical imagery, through the JV in China, come to be perceived as a U.S. national security risk, those operations may become subject to executive orders, sanctions, or other measures. The DOJ Sensitive Personal Data Transfer Limitations Rule, and any other ban or other restriction on our transfer of data to the JV in China may increase costs as we seek operational and data processing alternatives.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became effective in 2023; Texas, Montana, Oregon, and Florida have adopted laws that became effective in 2024, Delaware, Iowa, Maryland, Minnesota, Nebraska, New Hampshire, New Jersey and Tennessee have adopted laws that have become or will become effective in 2025; and Indiana Kentucky, and Rhode Island have adopted laws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integrated AI, including machine learning, in certain of our products, services and internal operations. Further, certain of our third-party vendors utilize AI and machine learning technologies in furnishing services to us. As with many technological innovations, AI presents risks and challenges that could affect its adoption, and therefore our business. Our products utilize, and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plan to further examine, develop and introduce, machine learning algorithms, predictive analytics, and other AI technologies to offer new or upgraded solutions and enhance our capabilities. If these AI or machine learning models are incorrectly designed, the performance of our products, services, and business, as well as our reputation, could suffer or we could incur liability through the violation of laws or contracts to which we are a party. Additionally, new and evolving laws and regulations related to the development and use of AI and machine learning technologies have been proposed, and in certain cases enacted, in various jurisdictions, including the United States, and the EU has adopted an AI Act that adopts an overall regulatory framework for AI. These laws and regulations may impose onerous obligations and may require us to unexpectedly rework or reevaluate improvements to be compliant. Use of AI technologies may expose us to an increased risk of regulatory enforcement and litigation. Moreover, some of the AI features involve the processing of personal data and may be subject to laws, policies, legal obligations, and codes of conduct related to privacy and data protection.</w:t>
      </w:r>
    </w:p>
    <w:p>
      <w:pPr>
        <w:pStyle w:val="TextBody"/>
        <w:bidi w:val="0"/>
        <w:jc w:val="left"/>
        <w:rPr>
          <w:rFonts w:ascii="Times New Roman" w:hAnsi="Times New Roman"/>
          <w:color w:val="000000"/>
          <w:sz w:val="20"/>
        </w:rPr>
      </w:pPr>
      <w:r>
        <w:rPr>
          <w:rFonts w:ascii="Times New Roman" w:hAnsi="Times New Roman"/>
          <w:color w:val="000000"/>
          <w:sz w:val="20"/>
        </w:rPr>
        <w:t>Though we have taken steps to be thoughtful in our development, training, and implementation of AI,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pStyle w:val="TextBody"/>
        <w:bidi w:val="0"/>
        <w:jc w:val="left"/>
        <w:rPr>
          <w:rFonts w:ascii="Times New Roman" w:hAnsi="Times New Roman"/>
          <w:b/>
          <w:i/>
          <w:color w:val="000000"/>
          <w:sz w:val="20"/>
        </w:rPr>
      </w:pPr>
      <w:r>
        <w:rPr>
          <w:rFonts w:ascii="Times New Roman" w:hAnsi="Times New Roman"/>
          <w:b/>
          <w:i/>
          <w:color w:val="000000"/>
          <w:sz w:val="20"/>
        </w:rPr>
        <w:t>Continued consolidation in the healthcare industry could have an adverse effect on our business,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healthcare industry has been consolidating, and organizations continue to consolidate purchasing decisions for many of our customers, particularly in the United States. Numerous initiatives and reforms by legislators, regulators, and third-party payors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pStyle w:val="TextBody"/>
        <w:bidi w:val="0"/>
        <w:jc w:val="left"/>
        <w:rPr>
          <w:rFonts w:ascii="Times New Roman" w:hAnsi="Times New Roman"/>
          <w:sz w:val="20"/>
        </w:rPr>
      </w:pPr>
      <w:r>
        <w:rPr>
          <w:rFonts w:ascii="Times New Roman" w:hAnsi="Times New Roman"/>
          <w:b/>
          <w:i/>
          <w:color w:val="000000"/>
          <w:sz w:val="20"/>
        </w:rPr>
        <w:t>If third</w:t>
        <w:noBreakHyphen/>
        <w:t>party payors do not provide sufficient coverage and reimbursement to healthcare providers for use of the CyberKnife and TomoTherapy platforms</w:t>
      </w:r>
      <w:r>
        <w:rPr>
          <w:rFonts w:ascii="Times New Roman" w:hAnsi="Times New Roman"/>
          <w:color w:val="000000"/>
          <w:sz w:val="20"/>
        </w:rPr>
        <w:t xml:space="preserve"> </w:t>
      </w:r>
      <w:r>
        <w:rPr>
          <w:rFonts w:ascii="Times New Roman" w:hAnsi="Times New Roman"/>
          <w:b/>
          <w:i/>
          <w:color w:val="000000"/>
          <w:sz w:val="20"/>
        </w:rPr>
        <w:t>or if the number of patients covered by health insurance reduces, demand for our products and our revenue could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safety and efficacy of our products for certain uses is not yet supported by long</w:t>
        <w:noBreakHyphen/>
        <w:t>term clinical data, and our products may therefore prove to be less safe and effective than initially thought.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believe that the CyberKnife and TomoTherapy platforms have advantages over competing products and technologies, we do not have sufficient clinical data demonstrating these advantages for all tumor indications. In addition, we have only limited five</w:t>
        <w:noBreakHyphen/>
        <w:t>year patient survival rate data, which is a common long</w:t>
        <w:noBreakHyphen/>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Such results could reduce the rate of reimbursement by both public and private third</w:t>
        <w:noBreakHyphen/>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rely on third parties to perform shipping and logistics functions on our behalf. Failures or disruptions at our logistics providers have occurred and could occur in the future, which could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due to macroeconomic factors and these impacts could intensify. These delays and increased costs have adversely affected our gross margins and net income (loss) and we currently expect such delays and increased costs to continue through calendar year 2025.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noBreakHyphen/>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patent infringement claims against us increases. Regardless of the merit of infringement claims, they can be time</w:t>
        <w:noBreakHyphen/>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be subject to claims that our employees have wrongfully used or disclosed alleged trade secrets of their former employers.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It is difficult and costly to protect our intellectual property and our proprietary technologies and we may not be able to ensure their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noBreakHyphen/>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noBreakHyphen/>
        <w:t>how. If we are unable to protect our intellectual property rights, we may be unable to prevent competitors from using our own inventions and intellectual property to compete against us and our business may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Unfavorable results of legal proceedings could materially and adversely affect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noBreakHyphen/>
        <w:t xml:space="preserve">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insurance coverage will be sufficient to cover any damages awarded against us. Further, legal proceedings, and any adverse resolution thereof, can result in adverse publicity and damage to our reputation, which could adversely impact our business.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Because the majority of our product revenue is derived from sales of the CyberKnife and TomoTherapy platforms, which have a long and variable sales and installation cycle, our revenues and cash flows may be volatile and difficult to predict.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noBreakHyphen/>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typically requires additional time and approvals. Typically, following the execution of the contract, the customer begins the building or renovation of a radiation</w:t>
        <w:noBreakHyphen/>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the COVID-19 pandemic or other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If the events which are beyond our control delay the customer from obtaining funding or financing of the entire transaction, we may not be able to recognize revenue for the sale of the entire system because the collectability of contract consideration is not reasonably assured.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depend on third</w:t>
        <w:noBreakHyphen/>
        <w:t>party distributors to market and distribute our products in international markets. If our distributors fail to successfully market and distribute our products, our business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strategic relationships with a number of key distributors for sales and service of our products in certain foreign countries, including the JV in China and other third-party distributors in other regions. We cannot control the efforts and resources our third party distributors will devote to marketing the CyberKnife or TomoTherapy platforms. Our distributors may not be able to successfully market and sell the CyberKnife or TomoTherapy platforms,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high unit price of the CyberKnife and TomoTherapy platforms, as well as other factors, may contribute to substantial fluctuations in our operating results, which could adversely affect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noBreakHyphen/>
        <w:t>outs. These fluctuations and other potential fluctuations mean that you should not rely upon our operating results in any particular period as an indication of future performance.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As a strategy to assist our sales efforts, we may offer extended payment terms, which may potentially result in higher days sales outstanding, reduced cash flows in a particular period and greater payment defaults.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offer longer or extended payment terms for qualified customers in some circumstances. As of March 31, 2025, customer contracts with extended payment terms of more than one year amounted to approximately 4%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their products, in customers in China obtaining Class A or Class B user licenses or in the subsequent tender process to complete the sale could affect the JV’s expected ability to initiate sales, recognize revenue and achieve revenue and orders expectations in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 For example, our JV partner, CNNC High Energy Equipment (Tianjin) Co., Ltd., is a subsidiary of China Isotope and Radiation Corporation, which is a holding subsidiary of China National Nuclear Corporation (“CNNC”), which is a Chinese state-owned entity. We may be exposed to certain commercial, operational, and reputational risks as a result of CNNC being a state-owned entity and thus controlled by the Chinese government where CNNC may make politically motivated business decisions that do not align with our commercial interests. In addition, CNNC could conduct business with other companies, organizations or institutions that attract unfavorable political attention in the United States, which could harm our reputation. CNNC is also on the United States Department of Defense’s list of Chinese Military Companies operating directly or indirectly in the United States under section 1260H of the National Defense Authorization Act for Fiscal Year 2021. This designation may result in negative publicity for us and the JV. Further regulatory changes adding CNNC or our JV partner to additional lists or export and sanctions related restricted or prohibited parties or further controls on entities viewed as connected to the Chinese military could impact the JV. Any such actions could negatively impact our relationship with CNNC, which could materially and adversely affect our business, financial condition, results of operations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partnerships, alliances and joint ventures can be difficult to manage and may involve significant expense and divert the focus and attention of our management and other key personnel away from our existing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joint ventures, we may not be able to attract qualified employees, acquire customers or develop reliable supply, distribution or other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face potential damage to existing customer relationships or lack of customer acceptance or inability to attract new customers as a result of certain collaborations, partnerships, alliances and joint ventures;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these and other factors, we may not realize the expected benefits of any collaboration, partnership, strategic alliance or joint venture or such benefits may not be realized at expected levels or within the expected time period.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 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 The failure to successfully consummate such strategic transactions and effectively integrate and execute following such consummation may have an adverse impact on our growth, profitability, financial position and results of operations.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previously identified material weaknesses in our system of internal controls as of June 30, 2024. Although such material weaknesses have been remediated as of March 31, 2025, if we fail to maintain an effective system of internal control over financial reporting, our ability to produce timely and accurate financial results could be adversely impacted. As a result, current and potential stockholders could lose confidence in our financial reporting, which could have an adverse effect on our business and our stock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In the course of preparing the audited consolidated financial statements for the Company’s Annual Report on Form 10-K for the year ended June 30, 2024, the Company concluded that as of June 30, 2024, its internal control over financial reporting was not effective as a result of two material weaknesses at the control activity level related to ensuring all manual journal entries consistently enforced segregation of duties in the approval process and ensuring that the existence of inventory at manufacturing warehouse locations was accurate. These material weaknesses were specifically related to the implementation of the Company’s new ERP system in August 2023 and did not result in any material identified misstatements to the consolidated financial statements, and there were no changes to previously issued financial results. Management also concluded that the Company's disclosure controls and procedures were not effective as of June 30, 2024, September 30, 2024, and December 31, 2024 due to the material weaknesses. For a discussion of management’s considerations of the Company’s disclosure controls and procedures, internal control over financial reporting, and the material weaknesses identified, refer to Controls and Procedures in Part I, Item 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Although the material weaknesses were both remediated as of March 31, 2025, these remediation efforts have been time consuming and costly and may continue to incur additional time and expense. We may not be able to identify and remediate additional control deficiencies, including material weaknesses, in the future. We cannot assure you that the measures we have taken to date, or any measures we may take in the future, will be sufficient to prevent or avoid potential future material weaknesses. Our management may also be unable to conclude in future periods that our disclosure controls and procedures are effective due to the effects of various factors, which may, in part, include unremediated material weaknesses in internal control over financial reporting. Any further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adversely impact the effectiveness of our internal control over financial reporting as well as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Any failure to establish and maintain effective disclosure controls and procedures and internal control over financial reporting, including due to a failure to remediate the material weaknesses mentioned above or the discovery or occurrence of any additional material weaknesses in our internal control over financial reporting in the future, could adversely affect our ability to prepare financial statements within required time periods and record, process and report financial information accurately, which could result in material misstatements in our financial statements and cause us to fail to meet our reporting and financial obligations, negatively impact the price of our common stock, limit our liquidity and access to capital markets, adversely affect our business, harm our reputation or subject us to litigation or investigations requiring management resources and payment of legal and other expenses.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it may be difficult to timely determine the effectiveness of our financial reporting systems and internal controls in the future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raise capital or obtain financing in the future may be limited, and our failure to raise capital when needed could prevent us from executing our growth strategy.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it make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We cannot assure that additional financing, if required or desired, will be available in amounts or on terms acceptable to us,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debt, specifically our Credit Facilities will mature on May 6, 2026 and our Notes will mature on June 1, 2026, both of which will need to be paid or refinanced by maturity. On the maturity date, we will be required to pay $50.0 million on the Term Loan Facility, any unpaid balance on the Revolving Credit Facility and $100.0 million on the Notes. Further, upon May 6, 2025 and June 1, 2025 our debt under the Credit Facilities and the Notes, respectively, will become current and such reclassification may adversely affect our ability to continue as a going concern as more fully described in the risk factor entitled “If we are unable to refinance our debt, specifically our Credit Facilities and our Notes, in a timely manner, or at all, we may not be able to generate enough cash flow to meet our debt obligations and, our ability to continue as a going concern may be adversely affected.” If we are unable to repay or refinance our debt prior to such debt becoming current, on May 6, 2025, and June 1, 2025, respectively or we do not have committed financing or available liquidity to meet such debt obligations if they were to become due in accordance with their current terms, it could significantly reduce our cash as well as our ability to continue to support our business growth and to respond to business challenges, and our business and ability to continue as a going concern may be adversely affected. If we need to accept less favorable terms, it could increase our cost of capital, reduce our cash balances or otherwise restrict our ability to grow.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be able to fully utilize certain tax loss carryforwards.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2024, we had approximately $281.9 million and $124.5 million in federal and state net operating loss carryforwards, respectively. The federal and state carryforwards expire in varying amounts beginning in 2029 for federal and 2025 for state purposes. In addition, as of June 30, 2024, we had federal and state research and development tax credit carryforwards of approximately $28.4 million and $22.8 million, respectively. The California research credits have no expiration date, but if not utilized, the federal research credits and other non-California state research credits will begin to expire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Federal net operating losses arising in tax years beginning after December 31, 2017 are subject to an 80% of taxable income limitation (as calculated before taking the net operating losses into account). It is uncertain if and to what extent various states will conform to these limitations. In addition, utilization of our net operating loss and credit carryforwards is subject to annual limitation due to the application of the ownership change limitations provided by Section 382 of the Internal Revenue Code and similar state provisions to us. Future changes in our stock ownership, including future offerings, as well as changes that may be outside of our control, could result in an ownership change under Section 382 of the Internal Revenue Code. In addition, the use of our net operating losses and other tax attributes may be subject to other limitations under applicable law. Additionally, one of the provisions under the Tax Cuts and Jobs Act that became effective in tax years beginning after December 31, 2021 required the capitalization and amortization of research and experimental expenditures, and although this change did not have an impact on our current consolidated financial statements, it may have an impact on future periods as our research and experimental expenditures have been a material amount on our financial statements.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the tax laws of various foreign jurisdictions, as well as within the United States, which are subject to unanticipated changes and interpretation and could harm our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("Pillar Two"), and have adopted or intend to adopt laws to implement this initiative. The United States, however, has withdrawn support for Pillar Two and has indicated that it may take action against countries with tax laws that disproportionately impact U.S. businesses, which may result in retaliatory taxes or other retaliatory actions against U.S. businesses. Many countries and organizations are also actively considering changes to existing tax laws or have proposed or enacted new laws that could increase our tax obligations in countries where we do business or cause us to change the way we operate our business, which could materially impact our results of operation.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Regulation of our Products and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pStyle w:val="TextBody"/>
        <w:bidi w:val="0"/>
        <w:spacing w:before="240" w:after="283"/>
        <w:jc w:val="left"/>
        <w:rPr>
          <w:rFonts w:ascii="Times New Roman" w:hAnsi="Times New Roman"/>
          <w:sz w:val="20"/>
        </w:rPr>
      </w:pPr>
      <w:r>
        <w:rPr>
          <w:rFonts w:ascii="Times New Roman" w:hAnsi="Times New Roman"/>
          <w:color w:val="000000"/>
          <w:sz w:val="20"/>
        </w:rPr>
        <w:t>The CyberKnife and TomoTherapy platforms as well as the Precision Treatment Planning software are medical devices that are subject to extensive regulation in the United States by local, state and the federal government, including the FDA. The iDMS Data Management System may be regulated as a medical device in some markets. The FDA most recently cleared Surface Guided Radiation Therapy (SGRT) on Radixact System under K223159 on June 23, 2023. ClearRT</w:t>
      </w:r>
      <w:r>
        <w:rPr>
          <w:rFonts w:ascii="Times New Roman" w:hAnsi="Times New Roman"/>
          <w:color w:val="000000"/>
          <w:sz w:val="13"/>
        </w:rPr>
        <w:t>TM</w:t>
      </w:r>
      <w:r>
        <w:rPr>
          <w:rFonts w:ascii="Times New Roman" w:hAnsi="Times New Roman"/>
          <w:color w:val="000000"/>
          <w:sz w:val="20"/>
        </w:rPr>
        <w:t xml:space="preserve"> for onboard kVCT imaging was previously cleared on the Radixact System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requires device manufacturers to make their own determination of whether or not a modification requires an approval or clearance; however, the FDA can review a manufacturer’s decision not to submit for additional approvals or clearances.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federal, state and foreign laws and regulations applicable to our operations, the violation of which could result in substantial penalties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pStyle w:val="TextBody"/>
        <w:bidi w:val="0"/>
        <w:spacing w:before="240" w:after="283"/>
        <w:jc w:val="left"/>
        <w:rPr>
          <w:rFonts w:ascii="Times New Roman" w:hAnsi="Times New Roman"/>
          <w:sz w:val="20"/>
        </w:rPr>
      </w:pPr>
      <w:r>
        <w:rPr>
          <w:rFonts w:ascii="Times New Roman" w:hAnsi="Times New Roman"/>
          <w:i/>
          <w:color w:val="000000"/>
          <w:sz w:val="20"/>
        </w:rPr>
        <w:t>Laws and ethical rules governing interactions with healthcare providers.</w:t>
      </w:r>
      <w:r>
        <w:rPr>
          <w:rFonts w:ascii="Times New Roman" w:hAnsi="Times New Roman"/>
          <w:color w:val="000000"/>
          <w:sz w:val="20"/>
        </w:rPr>
        <w:t xml:space="preserve"> The Medicare and Medicaid “anti</w:t>
        <w:noBreakHyphen/>
        <w:t>kickback” laws, and similar state laws, 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federal and state physician self</w:t>
        <w:noBreakHyphen/>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past or present operations are found to be in violation of any of these “anti</w:t>
        <w:noBreakHyphen/>
        <w:t>kickback,” “false claims,” “self</w:t>
        <w:noBreakHyphen/>
        <w:t>referral” or other similar laws in foreign jurisdictions, we may be subject to the applicable penalty associated with the violation, which 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pStyle w:val="TextBody"/>
        <w:bidi w:val="0"/>
        <w:spacing w:before="240" w:after="283"/>
        <w:jc w:val="left"/>
        <w:rPr>
          <w:rFonts w:ascii="Times New Roman" w:hAnsi="Times New Roman"/>
          <w:sz w:val="20"/>
        </w:rPr>
      </w:pPr>
      <w:r>
        <w:rPr>
          <w:rFonts w:ascii="Times New Roman" w:hAnsi="Times New Roman"/>
          <w:i/>
          <w:color w:val="000000"/>
          <w:sz w:val="20"/>
        </w:rPr>
        <w:t>Anti</w:t>
        <w:noBreakHyphen/>
        <w:t>corruption laws.</w:t>
      </w:r>
      <w:r>
        <w:rPr>
          <w:rFonts w:ascii="Times New Roman" w:hAnsi="Times New Roman"/>
          <w:color w:val="000000"/>
          <w:sz w:val="20"/>
        </w:rPr>
        <w:t xml:space="preserve"> We are also subject to laws regarding the conduct of business overseas, such as the FCPA, the U.K. Bribery Act of 2010, the 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pStyle w:val="TextBody"/>
        <w:bidi w:val="0"/>
        <w:spacing w:before="240" w:after="283"/>
        <w:jc w:val="left"/>
        <w:rPr>
          <w:rFonts w:ascii="Times New Roman" w:hAnsi="Times New Roman"/>
          <w:sz w:val="20"/>
        </w:rPr>
      </w:pPr>
      <w:r>
        <w:rPr>
          <w:rFonts w:ascii="Times New Roman" w:hAnsi="Times New Roman"/>
          <w:i/>
          <w:color w:val="000000"/>
          <w:sz w:val="20"/>
        </w:rPr>
        <w:t>Laws protecting patient health information.</w:t>
      </w:r>
      <w:r>
        <w:rPr>
          <w:rFonts w:ascii="Times New Roman" w:hAnsi="Times New Roman"/>
          <w:color w:val="000000"/>
          <w:sz w:val="20"/>
        </w:rPr>
        <w:t xml:space="preserve"> There are a number of federal and state laws protecting the confidentiality of certain patient health 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pStyle w:val="TextBody"/>
        <w:bidi w:val="0"/>
        <w:spacing w:before="240" w:after="283"/>
        <w:jc w:val="left"/>
        <w:rPr>
          <w:rFonts w:ascii="Times New Roman" w:hAnsi="Times New Roman"/>
          <w:sz w:val="20"/>
        </w:rPr>
      </w:pPr>
      <w:r>
        <w:rPr>
          <w:rFonts w:ascii="Times New Roman" w:hAnsi="Times New Roman"/>
          <w:i/>
          <w:color w:val="000000"/>
          <w:sz w:val="20"/>
        </w:rPr>
        <w:t>Transparency laws.</w:t>
      </w:r>
      <w:r>
        <w:rPr>
          <w:rFonts w:ascii="Times New Roman" w:hAnsi="Times New Roman"/>
          <w:color w:val="000000"/>
          <w:sz w:val="20"/>
        </w:rPr>
        <w:t xml:space="preserve"> The Sunshine Act, which was enacted by Congress as part of the Patient Protection and Affordable Care Act on December 14, 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healthcare professionals, the violation of which could, among other things, result in civil monetary penalties and adversely impact our reputation and business.</w:t>
      </w:r>
    </w:p>
    <w:p>
      <w:pPr>
        <w:pStyle w:val="TextBody"/>
        <w:bidi w:val="0"/>
        <w:spacing w:before="240" w:after="283"/>
        <w:jc w:val="left"/>
        <w:rPr>
          <w:rFonts w:ascii="Times New Roman" w:hAnsi="Times New Roman"/>
          <w:sz w:val="20"/>
        </w:rPr>
      </w:pPr>
      <w:r>
        <w:rPr>
          <w:rFonts w:ascii="Times New Roman" w:hAnsi="Times New Roman"/>
          <w:i/>
          <w:color w:val="000000"/>
          <w:sz w:val="20"/>
        </w:rPr>
        <w:t>Conflict minerals</w:t>
      </w:r>
      <w:r>
        <w:rPr>
          <w:rFonts w:ascii="Times New Roman" w:hAnsi="Times New Roman"/>
          <w:color w:val="000000"/>
          <w:sz w:val="20"/>
        </w:rPr>
        <w:t>. The Dodd Frank Wall Street Reform and Consumer Protection Act and the rules promulgated by the SEC under such act require 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or our distributors do not obtain and maintain the necessary regulatory approvals in a specific country, we will not be able to market and sell our products in that country.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noBreakHyphen/>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noBreakHyphen/>
        <w:t>consuming and disruptive to our business to transfer the required regulatory approvals, particularly if such approvals are maintained by our third</w:t>
        <w:noBreakHyphen/>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Within the EU, we are required under the Medical Device Directive to affix the Conformité Européene (“CE”) mark on our products in order to sell the products in member countries of the EU. This conformity to the applicable directives is done through self</w:t>
        <w:noBreakHyphen/>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Pharmaceutical Affairs Law in Japan, a pre</w:t>
        <w:noBreakHyphen/>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Healthcare reform legislation could adversely affect demand for our products, our revenue and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noBreakHyphen/>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legislative or policy initiatives directed at reducing costs or limiting coverage or amounts of reimbursement available for our products could be introduced at either the federal or state level, which could have a negative impact on the demand for our products and services, and therefore on our financial position and results of operations.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price of our common stock is volatile and may continue to fluctuate significantly, which could lead to losses for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including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other risk factors described above and below, factors affecting the trading price of our common stock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operating results, as well as costs and expenditures;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to our business, operations or financial condition caused by concerns in connection with the global economic environment, supply chain disruptions or as a result of changes in government administration policy 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related to manufacturing, marketing or sale of the CyberKnife or TomoTherapy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or social uncertainties, including as a result of the Russia-Ukraine and the Middle East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product pricing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services or service enhancements, strategic alliances or significant agreements by us or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analysts’ estimates, investors’ perceptions, recommendations by securities analysts or our failure to achieve analysts’ and our own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competitors and investor perception of the markets and industries in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of strategic transactions or capital raising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our industry, the industries of our customers and the economy as a whole, including the impact of increased inflation, a recession or instability in the banking and financial services sector.</w:t>
      </w:r>
    </w:p>
    <w:p>
      <w:pPr>
        <w:pStyle w:val="TextBody"/>
        <w:bidi w:val="0"/>
        <w:spacing w:before="200" w:after="283"/>
        <w:jc w:val="left"/>
        <w:rPr>
          <w:rFonts w:ascii="Times New Roman" w:hAnsi="Times New Roman"/>
          <w:sz w:val="20"/>
        </w:rPr>
      </w:pPr>
      <w:r>
        <w:rPr>
          <w:rFonts w:ascii="Times New Roman" w:hAnsi="Times New Roman"/>
          <w:b/>
          <w:i/>
          <w:color w:val="000000"/>
          <w:sz w:val="20"/>
        </w:rPr>
        <w:t>Future issuances of shares of our common stock could dilute the ownership interests of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we issued $100.0 million aggregate principal amount of the Notes. We exchanged approximately $82.1 million aggregate principal amount of then-outstanding 3.75% Convertible Senior Notes due 2022 for approximately $97.1 million aggregate principal amount of the Notes and issued approximately $2.9 million aggregate principal amount of the Notes to certain other qualified new investors for cash. Further, upon May 6, 2025 and June 1, 2025, our debt under the Credit Facilities and the Notes, respectively, will become current and such reclassification could adversely affect our ability to continue as a going concern as more fully described in the risk factor entitled “If we are unable to refinance our debt, specifically our Credit Facilities and our Notes, in a timely manner, or at all, we may not be able to generate enough cash flow to meet our debt obligations, and our ability to continue as a going concern may be adversely affected.” To the extent we issue common stock upon conversion of any outstanding convertible notes, for example, to finance our operations and business strategy, that conversion would dilute the ownership interests of our stockholders.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conditional conversion features of the Notes, if triggered, may adversely affect our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 conditional conversion features of the Notes are triggered, holders of the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 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 In addition, even if holders do not elect to convert such notes, if we have irrevocably elected net share settlement upon conversion we could be required under applicable accounting rules to reclassify all or a portion of the outstanding principal of such notes as a current rather than long</w:t>
        <w:noBreakHyphen/>
        <w:t>term liability, which could result in a material reduction of our net working capital.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Provisions in the indenture for the Notes, the credit agreement for our Credit Facilities, our certificate of incorporation and our bylaws could discourage or prevent a takeover, even if an acquisition would be beneficial in the opinion of our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Provisions of our certificate of incorporation and bylaws could make it more difficult for a third</w:t>
        <w:noBreakHyphen/>
        <w:t>party to acquire us, even if doing so would be beneficial in the opinion of our stockholders.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the issuance of “blank check” preferred stock that could be issued by our board of directors to increase the number of outstanding shares and thwart a takeover attempt;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 classified board of directors, which could discourage a takeover attempt;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prohibiting cumulative voting in the election of directors, which would limit the ability of less than a majority of stockholders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the ability of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prohibiting stockholder action by written consent and requiring that all stockholder actions be taken at a meeting of our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advance notice requirements for nominations for election to the board of directors or for proposing matters that can be acted upon by stockholders at stockholder meetings.</w:t>
      </w:r>
    </w:p>
    <w:p>
      <w:pPr>
        <w:pStyle w:val="TextBody"/>
        <w:bidi w:val="0"/>
        <w:spacing w:before="200" w:after="283"/>
        <w:jc w:val="left"/>
        <w:rPr>
          <w:rFonts w:ascii="Times New Roman" w:hAnsi="Times New Roman"/>
          <w:sz w:val="20"/>
        </w:rPr>
      </w:pPr>
      <w:r>
        <w:rPr>
          <w:rFonts w:ascii="Times New Roman" w:hAnsi="Times New Roman"/>
          <w:color w:val="000000"/>
          <w:sz w:val="20"/>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hAnsi="Times New Roman"/>
          <w:color w:val="000000"/>
          <w:sz w:val="13"/>
        </w:rPr>
        <w:t>2</w:t>
      </w:r>
      <w:r>
        <w:rPr>
          <w:rFonts w:ascii="Times New Roman" w:hAnsi="Times New Roman"/>
          <w:color w:val="000000"/>
          <w:sz w:val="20"/>
        </w:rPr>
        <w:t>/</w:t>
      </w:r>
      <w:r>
        <w:rPr>
          <w:rFonts w:ascii="Times New Roman" w:hAnsi="Times New Roman"/>
          <w:color w:val="000000"/>
          <w:sz w:val="13"/>
        </w:rPr>
        <w:t>3</w:t>
      </w:r>
      <w:r>
        <w:rPr>
          <w:rFonts w:ascii="Times New Roman" w:hAnsi="Times New Roman"/>
          <w:color w:val="000000"/>
          <w:sz w:val="20"/>
        </w:rPr>
        <w:t>% of the independent stockholders. The existence of these provisions could adversely affect the voting power of holders of common stock and limit the price that investors might be willing to pay in the future for shares of our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noBreakHyphen/>
        <w:t>outstanding under the Credit Facilities, including all accrued but unpaid interest thereon, to be accelerated and immediately due and payable.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Furthermore, if a “fundamental change” (as such term is defined in the applicable indenture of the Notes) occurs, holders of the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noBreakHyphen/>
        <w:t>whole fundamental change” (as such term is defined in the applicable indenture of the Notes), we may also be required to increase the conversion rate applicable to the Notes surrendered for conversion in connection with such make</w:t>
        <w:noBreakHyphen/>
        <w:t>whole fundamental change. A “make</w:t>
        <w:noBreakHyphen/>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Notes.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liquidity could be adversely impacted by adverse conditions in the financial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March 31, 2025, we had $77.8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it make more difficult to raise capital through either debt or equity offerings on commercially reasonable terms or at all.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Unexpected events beyond our control, including as a result of responses to epidemics or pandemics; fires or explosions; natural disasters, such as hurricanes, floods, tornadoes and earthquakes; war or terrorist activities (including the conflicts in Russia-Ukraine and the Middle East); unplanned outages; supply disruptions; and failures of equipment or systems, including telecommunications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pStyle w:val="TextBody"/>
        <w:bidi w:val="0"/>
        <w:jc w:val="left"/>
        <w:rPr>
          <w:rFonts w:ascii="Times New Roman" w:hAnsi="Times New Roman"/>
          <w:color w:val="000000"/>
          <w:sz w:val="20"/>
        </w:rPr>
      </w:pPr>
      <w:r>
        <w:rPr>
          <w:rFonts w:ascii="Times New Roman" w:hAnsi="Times New Roman"/>
          <w:color w:val="000000"/>
          <w:sz w:val="20"/>
        </w:rPr>
        <w:t xml:space="preserve">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 </w:t>
      </w:r>
    </w:p>
    <w:p>
      <w:pPr>
        <w:pStyle w:val="TextBody"/>
        <w:bidi w:val="0"/>
        <w:jc w:val="left"/>
        <w:rPr>
          <w:rFonts w:ascii="Times New Roman" w:hAnsi="Times New Roman"/>
          <w:color w:val="000000"/>
          <w:sz w:val="20"/>
        </w:rPr>
      </w:pPr>
      <w:r>
        <w:rPr>
          <w:rFonts w:ascii="Times New Roman" w:hAnsi="Times New Roman"/>
          <w:color w:val="000000"/>
          <w:sz w:val="20"/>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Although the SEC issued an order implementing a stay of its final climate-related disclosure rules, there have also been substantial legislative and regulatory developments on climate-related issues, including proposed, issued and implemented legislation and rulemakings that would require companies to assess and/or disclose climate metrics, risks, opportunities, policies and practices by both the Securities and Exchange Commission and California. These initiatives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has also been increasing scrutiny and changing expectations from the market and other stakeholders with respect to Environmental, Social, and Governance ("ESG") practices. Opinions, perspectives and expectations on ESG matters may differ among our stakeholders and may evolve over time. We have been and may continue to be subject to conflicting expectations and views on various matters, and legal requirements and interpretations may change.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 If we fail to comply with certain ESG-related laws, our products become non-compliant with such laws, or we fail to meet the expectations of our stakeholders on ESG-related matters, it could result in a loss of market access or a decline in our success in competitive bidding or public tender processes, and we could incur costs or face other sanctions, such as restrictions on our products entering certain jurisdictions, fines, and/or civil or criminal sanctions.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interpretation or application of generally accepted accounting principles may adversely affect our operating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foreseeable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2_unregistered_sales_equity_securit"/>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17" w:name="item_5_or_information"/>
      <w:bookmarkEnd w:id="17"/>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year fiscal 2025,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6_exhibits"/>
      <w:bookmarkEnd w:id="18"/>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146"/>
        <w:gridCol w:w="5512"/>
        <w:gridCol w:w="146"/>
        <w:gridCol w:w="511"/>
        <w:gridCol w:w="146"/>
        <w:gridCol w:w="476"/>
        <w:gridCol w:w="146"/>
        <w:gridCol w:w="631"/>
        <w:gridCol w:w="146"/>
        <w:gridCol w:w="656"/>
        <w:gridCol w:w="146"/>
        <w:gridCol w:w="827"/>
      </w:tblGrid>
      <w:tr>
        <w:trPr/>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r>
      <w:tr>
        <w:trPr/>
        <w:tc>
          <w:tcPr>
            <w:tcW w:w="7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120" w:after="283"/>
              <w:jc w:val="left"/>
              <w:rPr/>
            </w:pPr>
            <w:hyperlink w:anchor="aray-ex10_1.htm">
              <w:r>
                <w:rPr>
                  <w:rStyle w:val="InternetLink"/>
                  <w:rFonts w:ascii="Times New Roman" w:hAnsi="Times New Roman"/>
                  <w:color w:val="0000FF"/>
                  <w:sz w:val="20"/>
                  <w:u w:val="single"/>
                </w:rPr>
                <w:t>Executive Employment Agreement by and between Registrant and Leonel Peralta, dated February 3, 2025.</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7"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120" w:after="283"/>
              <w:jc w:val="left"/>
              <w:rPr/>
            </w:pPr>
            <w:hyperlink w:anchor="aray-ex31_1.htm">
              <w:r>
                <w:rPr>
                  <w:rStyle w:val="InternetLink"/>
                  <w:rFonts w:ascii="Times New Roman" w:hAnsi="Times New Roman"/>
                  <w:color w:val="0000FF"/>
                  <w:sz w:val="20"/>
                  <w:u w:val="single"/>
                </w:rPr>
                <w:t>Certification of Chief Executive Officer Pursuant to Rule 13a-14(a) of the Securities Exchange Act of 1934, as amended.</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7"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hyperlink w:anchor="aray-ex31_2.htm">
              <w:r>
                <w:rPr>
                  <w:rStyle w:val="InternetLink"/>
                  <w:rFonts w:ascii="Times New Roman" w:hAnsi="Times New Roman"/>
                  <w:color w:val="0000FF"/>
                  <w:sz w:val="20"/>
                  <w:u w:val="single"/>
                </w:rPr>
                <w:t>Certification of Chief Financial Officer Pursuant to Rule 13a-14(a) of the Securities Exchange Act of 1934,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hyperlink w:anchor="aray-ex32_1.htm">
              <w:r>
                <w:rPr>
                  <w:rStyle w:val="InternetLink"/>
                  <w:rFonts w:ascii="Times New Roman" w:hAnsi="Times New Roman"/>
                  <w:color w:val="0000FF"/>
                  <w:sz w:val="20"/>
                  <w:u w:val="single"/>
                </w:rPr>
                <w:t>Certification of Chief Executive Officer and Chief Financial Officer Pursuant to Rule 13a-14(b) of the Securities Exchange Act of 1934, as amended, and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not deemed filed with the Securities and Exchange Commission and is not to be incorporated by reference into any filing of Accuray Incorporated under the Securities Act or the Securities Exchange Act of 1934, as amended, whether made before or after the date of this Quarterly Report on Form 10-Q, irrespective of any general incorporation language contained in such filing.</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bookmarkStart w:id="19" w:name="signatures"/>
      <w:bookmarkEnd w:id="19"/>
      <w:r>
        <w:rPr>
          <w:rFonts w:ascii="Times New Roman" w:hAnsi="Times New Roman"/>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033" w:type="dxa"/>
        <w:jc w:val="left"/>
        <w:tblInd w:w="0" w:type="dxa"/>
        <w:tblLayout w:type="fixed"/>
        <w:tblCellMar>
          <w:top w:w="28" w:type="dxa"/>
          <w:left w:w="28" w:type="dxa"/>
          <w:bottom w:w="28" w:type="dxa"/>
          <w:right w:w="28" w:type="dxa"/>
        </w:tblCellMar>
      </w:tblPr>
      <w:tblGrid>
        <w:gridCol w:w="1636"/>
        <w:gridCol w:w="406"/>
        <w:gridCol w:w="399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ACCURAY INCORPORATED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SUZANNE WINTER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Winter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Pervaiz</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&amp; 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bookmarkStart w:id="20" w:name="aray-ex10_1.htm"/>
      <w:bookmarkStart w:id="21" w:name="ksarayex10_1"/>
      <w:bookmarkEnd w:id="20"/>
      <w:bookmarkEnd w:id="21"/>
      <w:r>
        <w:rPr/>
        <w:drawing>
          <wp:inline distT="0" distB="0" distL="0" distR="0">
            <wp:extent cx="200977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238125"/>
                    </a:xfrm>
                    <a:prstGeom prst="rect">
                      <a:avLst/>
                    </a:prstGeom>
                  </pic:spPr>
                </pic:pic>
              </a:graphicData>
            </a:graphic>
          </wp:inline>
        </w:drawing>
      </w:r>
      <w:r>
        <w:rPr>
          <w:color w:val="000000"/>
        </w:rPr>
        <w:t xml:space="preserve"> </w:t>
      </w:r>
      <w:r>
        <w:rPr>
          <w:rFonts w:ascii="Times New Roman" w:hAnsi="Times New Roman"/>
          <w:color w:val="000000"/>
          <w:sz w:val="24"/>
        </w:rPr>
        <w:t>EXHIBIT 10.1</w:t>
      </w:r>
      <w:r>
        <w:rPr>
          <w:rFonts w:ascii="Times New Roman" w:hAnsi="Times New Roman"/>
          <w:color w:val="000000"/>
          <w:sz w:val="20"/>
        </w:rPr>
        <w:t xml:space="preserve"> Page </w:t>
      </w:r>
      <w:r>
        <w:rPr>
          <w:rFonts w:ascii="Times New Roman" w:hAnsi="Times New Roman"/>
          <w:b/>
          <w:color w:val="000000"/>
          <w:sz w:val="20"/>
        </w:rPr>
        <w:t>1</w:t>
      </w:r>
      <w:r>
        <w:rPr>
          <w:rFonts w:ascii="Times New Roman" w:hAnsi="Times New Roman"/>
          <w:color w:val="000000"/>
          <w:sz w:val="20"/>
        </w:rPr>
        <w:t xml:space="preserve"> of </w:t>
      </w:r>
      <w:r>
        <w:rPr>
          <w:rFonts w:ascii="Times New Roman" w:hAnsi="Times New Roman"/>
          <w:b/>
          <w:color w:val="000000"/>
          <w:sz w:val="20"/>
        </w:rPr>
        <w:t>NUMPAGES 34</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Employment Agreement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entered into and effective as of February 3, 2025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by and between Accuray Incorporated,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Leonel Peralta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 The Company is in the business of developing, manufacturing and selling radiation oncology, including radio surgery and radiation therapy, technologies and devices (the “</w:t>
      </w:r>
      <w:r>
        <w:rPr>
          <w:rFonts w:ascii="Times New Roman" w:hAnsi="Times New Roman"/>
          <w:color w:val="000000"/>
          <w:sz w:val="22"/>
          <w:u w:val="single"/>
        </w:rPr>
        <w:t>Business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wishes to employ Executive to serve as Senior Vice President, Chief Operations Officer and Executive desires to serve the Company in such capacity pursuant to the terms and conditions in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C. As of the Effective Date, Executive has commenced full-time employment with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the parties agree as follows:</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Position and Duties.</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240"/>
        <w:jc w:val="both"/>
        <w:rPr/>
      </w:pPr>
      <w:r>
        <w:rPr>
          <w:rFonts w:ascii="Times New Roman" w:hAnsi="Times New Roman"/>
          <w:color w:val="000000"/>
          <w:sz w:val="22"/>
        </w:rPr>
        <w:t>During the term of this Agreement, Executive will be employed by the Company to serve as Senior Vice President, Chief Operations Officer</w:t>
      </w:r>
      <w:r>
        <w:rPr>
          <w:color w:val="000000"/>
        </w:rPr>
        <w:t xml:space="preserve"> </w:t>
      </w:r>
      <w:r>
        <w:rPr>
          <w:rFonts w:ascii="Times New Roman" w:hAnsi="Times New Roman"/>
          <w:color w:val="000000"/>
          <w:sz w:val="22"/>
        </w:rPr>
        <w:t xml:space="preserve">of the Company, reporting to the President and Chief Executive Officer of the Company, subject to the successful completion of the Company’s standard background check process. Executive will be responsible for: (i) performing the duties and responsibilities customarily expected to be performed by such position and (ii) performing such other duties and functions as are reasonably required and/or as may be reasonably prescribed by the Company from time to time.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location of Executive’s employment will be the Company’s headquarters offices, but Executive from time to time may be required to travel to other geographic locations in connection with the performance of his/her duties. Executive shall relocate to the Madison, Wisconsin area within six (6) months of the Effective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 xml:space="preserve">Standards of Performance. </w:t>
      </w:r>
      <w:r>
        <w:rPr>
          <w:rFonts w:ascii="Times New Roman" w:hAnsi="Times New Roman"/>
          <w:color w:val="000000"/>
          <w:sz w:val="22"/>
        </w:rPr>
        <w:t>Executive will at all times faithfully, industriously and to the best of his/her ability, experience and talents perform all of the duties required of and from him/her pursuant to the terms of this Agreement. Executive will devote his/her full business energies and abilities and all of his/her business time to the performance of his/her duties hereunder and will not, without the Company’s prior written consent, render to others any service of any kind (whether or not for compensation) that, in the Company’s sole but reasonable judgment, would conflict with the full performance of his/her duties hereunder. In no event will Executive engage in any activities that could reasonably create a conflict of interest or the appearance of a conflict of interest. Executive shall be subject to the Company’s policies, procedures and approval practices, as generally in effect from time to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 xml:space="preserve">Term.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Term of Agreement</w:t>
      </w:r>
      <w:r>
        <w:rPr>
          <w:rFonts w:ascii="Times New Roman" w:hAnsi="Times New Roman"/>
          <w:color w:val="000000"/>
          <w:sz w:val="22"/>
        </w:rPr>
        <w:t>. This Agreement will have an initial term of three (3) years commencing on the Effective Date (the “</w:t>
      </w:r>
      <w:r>
        <w:rPr>
          <w:rFonts w:ascii="Times New Roman" w:hAnsi="Times New Roman"/>
          <w:color w:val="000000"/>
          <w:sz w:val="22"/>
          <w:u w:val="single"/>
        </w:rPr>
        <w:t>Initial Term</w:t>
      </w:r>
      <w:r>
        <w:rPr>
          <w:color w:val="000000"/>
        </w:rPr>
        <w:t>”</w:t>
      </w:r>
      <w:r>
        <w:rPr>
          <w:rFonts w:ascii="Times New Roman" w:hAnsi="Times New Roman"/>
          <w:color w:val="000000"/>
          <w:sz w:val="22"/>
        </w:rPr>
        <w:t xml:space="preserve">). On the third anniversary of the Effective Date, this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pPr>
      <w:r>
        <w:rPr>
          <w:rFonts w:ascii="Times New Roman" w:hAnsi="Times New Roman"/>
          <w:color w:val="000000"/>
          <w:sz w:val="22"/>
        </w:rPr>
        <w:t>Agreement will renew automatically for additional three (3) year terms (each, an “</w:t>
      </w:r>
      <w:r>
        <w:rPr>
          <w:rFonts w:ascii="Times New Roman" w:hAnsi="Times New Roman"/>
          <w:color w:val="000000"/>
          <w:sz w:val="22"/>
          <w:u w:val="single"/>
        </w:rPr>
        <w:t>Additional Term</w:t>
      </w:r>
      <w:r>
        <w:rPr>
          <w:color w:val="000000"/>
        </w:rPr>
        <w:t xml:space="preserve">” </w:t>
      </w:r>
      <w:r>
        <w:rPr>
          <w:rFonts w:ascii="Times New Roman" w:hAnsi="Times New Roman"/>
          <w:color w:val="000000"/>
          <w:sz w:val="22"/>
        </w:rPr>
        <w:t>and together with the Initial Term, the “</w:t>
      </w:r>
      <w:r>
        <w:rPr>
          <w:rFonts w:ascii="Times New Roman" w:hAnsi="Times New Roman"/>
          <w:color w:val="000000"/>
          <w:sz w:val="22"/>
          <w:u w:val="single"/>
        </w:rPr>
        <w:t>Term</w:t>
      </w:r>
      <w:r>
        <w:rPr>
          <w:color w:val="000000"/>
        </w:rPr>
        <w:t>”</w:t>
      </w:r>
      <w:r>
        <w:rPr>
          <w:rFonts w:ascii="Times New Roman" w:hAnsi="Times New Roman"/>
          <w:color w:val="000000"/>
          <w:sz w:val="22"/>
        </w:rPr>
        <w:t xml:space="preserve">), unless either party provides the other party with written notice of non-renewal at least sixty (60) days prior to the date of automatic renewal; provided, however, that if the Company enters into a definitive agreement to be acquired and the transactions contemplated thereby would result in the occurrence of a Change in Control (as defined below) if consummated, then the Company will no longer be permitted to provide Executive with written notice to not renew this Agreement unless such definitive agreement is terminated without the Change in Control being consummated. If the Change in Control is consummated, the Agreement will continue in effect through the longer of the date that is twenty-four (24) months following the effective date of the Change in Control or the remainder of the Term then in effect (for purposes of clarification, it will be possible for the Term of the Agreement to automatically extend after the Company enters into the definitive agreement, but before the Change in Control is consummated). If the definitive agreement is terminated without the transactions contemplated thereby having been consummated and at the time of such termination there is at least twelve (12) months remaining in the Term, the Agreement will continue in effect for the remainder of the Term then in effect, but if there is less than twelve (12) months remaining in the Term then in effect, the Agreement will automatically extend for an additional three (3) years from the date the definitive agreement is terminated. If Executive becomes entitled to benefits under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during the term of this Agreement, the Agreement will not terminate until all of the obligations of the parties hereto with respect to this Agreement have been satisfied.</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At-Will Employment</w:t>
      </w:r>
      <w:r>
        <w:rPr>
          <w:rFonts w:ascii="Times New Roman" w:hAnsi="Times New Roman"/>
          <w:color w:val="000000"/>
          <w:sz w:val="22"/>
        </w:rPr>
        <w:t xml:space="preserve">. The Company and Executive acknowledge that, notwithstanding the foregoing, Executive’s employment is and will continue to be at-will, as defined under applicable law. As an at-will employee, either the Company or the Executive may terminate the employment relationship and this Agreement at any time, with or without cause; provided, however, that in connection with such termination, the Company will provide Executive with any applicable benefits under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 xml:space="preserve">to which Executive is entitled, all in accordance with the terms and conditions thereof.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Compensation and Benefits.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Base Salary</w:t>
      </w:r>
      <w:r>
        <w:rPr>
          <w:rFonts w:ascii="Times New Roman" w:hAnsi="Times New Roman"/>
          <w:color w:val="000000"/>
          <w:sz w:val="22"/>
        </w:rPr>
        <w:t>. As an annual base salary (“</w:t>
      </w:r>
      <w:r>
        <w:rPr>
          <w:rFonts w:ascii="Times New Roman" w:hAnsi="Times New Roman"/>
          <w:color w:val="000000"/>
          <w:sz w:val="22"/>
          <w:u w:val="single"/>
        </w:rPr>
        <w:t>Base Salary</w:t>
      </w:r>
      <w:r>
        <w:rPr>
          <w:color w:val="000000"/>
        </w:rPr>
        <w:t>”</w:t>
      </w:r>
      <w:r>
        <w:rPr>
          <w:rFonts w:ascii="Times New Roman" w:hAnsi="Times New Roman"/>
          <w:color w:val="000000"/>
          <w:sz w:val="22"/>
        </w:rPr>
        <w:t>) for all services rendered pursuant to this Agreement, Executive will be paid an initial Base Salary in the gross amount of</w:t>
      </w:r>
      <w:r>
        <w:rPr>
          <w:color w:val="000000"/>
        </w:rPr>
        <w:t xml:space="preserve"> </w:t>
      </w:r>
      <w:r>
        <w:rPr>
          <w:rFonts w:ascii="Times New Roman" w:hAnsi="Times New Roman"/>
          <w:color w:val="000000"/>
          <w:sz w:val="22"/>
        </w:rPr>
        <w:t>$450,000</w:t>
      </w:r>
      <w:r>
        <w:rPr>
          <w:color w:val="000000"/>
        </w:rPr>
        <w:t xml:space="preserve"> </w:t>
      </w:r>
      <w:r>
        <w:rPr>
          <w:rFonts w:ascii="Times New Roman" w:hAnsi="Times New Roman"/>
          <w:color w:val="000000"/>
          <w:sz w:val="22"/>
        </w:rPr>
        <w:t xml:space="preserve">calculated on an annualized basis, less necessary withholdings and authorized deductions, and payable pursuant to the Company’s regular payroll practices at the time. The Base Salary will be subject to review and adjustments will be made based upon the Company’s normal performance review practices as determined by the Company in its sole discretion.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Company Bonus Plan</w:t>
      </w:r>
      <w:r>
        <w:rPr>
          <w:rFonts w:ascii="Times New Roman" w:hAnsi="Times New Roman"/>
          <w:color w:val="000000"/>
          <w:sz w:val="22"/>
        </w:rPr>
        <w:t>. During Executive’s employment under this Agreement, Executive will be eligible for an annual bonus, subject to the terms and conditions of the Company’s bonus plan, as in effect from time to time (the “</w:t>
      </w:r>
      <w:r>
        <w:rPr>
          <w:rFonts w:ascii="Times New Roman" w:hAnsi="Times New Roman"/>
          <w:color w:val="000000"/>
          <w:sz w:val="22"/>
          <w:u w:val="single"/>
        </w:rPr>
        <w:t>Bonus Plan</w:t>
      </w:r>
      <w:r>
        <w:rPr>
          <w:color w:val="000000"/>
        </w:rPr>
        <w:t>”</w:t>
      </w:r>
      <w:r>
        <w:rPr>
          <w:rFonts w:ascii="Times New Roman" w:hAnsi="Times New Roman"/>
          <w:color w:val="000000"/>
          <w:sz w:val="22"/>
        </w:rPr>
        <w:t>), which is applicable to senior executives of the Company. The target amount of Executive’s annual bonus is sixty percent (60%)</w:t>
      </w:r>
      <w:r>
        <w:rPr>
          <w:color w:val="000000"/>
        </w:rPr>
        <w:t xml:space="preserve"> </w:t>
      </w:r>
      <w:r>
        <w:rPr>
          <w:rFonts w:ascii="Times New Roman" w:hAnsi="Times New Roman"/>
          <w:color w:val="000000"/>
          <w:sz w:val="22"/>
        </w:rPr>
        <w:t xml:space="preserve">of Executive’s annual Base Salary (as defined in the Company’s Bonus Plan). However, the actual amount of each annual bonus (if any) will be conditioned on the Company’s achievement of corporate performance objectives approved by the Company and, if applicable, Executive’s achievement of individual performance metrics to be established annually and approved by the Company, all as established pursuant to the Company’s Bonus Plan, and the amount of an annual bonus may be zero. For the avoidance of doubt, an annual bonus will be payable only if the corporate and/or individual performance objectives approved by the Company are achieved as determined by the Company, subject to the Company’s right to exercise discretion in determining the amount of the annual bonus to be awarded, if any, as set forth in the Company’s Bonus Plan. To encourage continued tenure with the Company, Executive must be employed by the Company as of the payment date to earn and be eligible for an annual bonus for the year to which the annual bonus relates, unless otherwise provided in </w:t>
      </w:r>
      <w:r>
        <w:rPr>
          <w:rFonts w:ascii="Times New Roman" w:hAnsi="Times New Roman"/>
          <w:color w:val="000000"/>
          <w:sz w:val="22"/>
          <w:u w:val="single"/>
        </w:rPr>
        <w:t>Section 5</w:t>
      </w:r>
      <w:r>
        <w:rPr>
          <w:rFonts w:ascii="Times New Roman" w:hAnsi="Times New Roman"/>
          <w:color w:val="000000"/>
          <w:sz w:val="22"/>
        </w:rPr>
        <w:t>. Bonuses will be paid out according to the terms of the Bonus Plan.</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3</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Sign-on Bonus</w:t>
      </w:r>
      <w:r>
        <w:rPr>
          <w:rFonts w:ascii="Times New Roman" w:hAnsi="Times New Roman"/>
          <w:color w:val="000000"/>
          <w:sz w:val="22"/>
        </w:rPr>
        <w:t>. Executive will be eligible to receive a sign-on bonus of $80,000, less applicable taxes and withholdings (the “</w:t>
      </w:r>
      <w:r>
        <w:rPr>
          <w:rFonts w:ascii="Times New Roman" w:hAnsi="Times New Roman"/>
          <w:color w:val="000000"/>
          <w:sz w:val="22"/>
          <w:u w:val="single"/>
        </w:rPr>
        <w:t>Sign-on Bonus</w:t>
      </w:r>
      <w:r>
        <w:rPr>
          <w:color w:val="000000"/>
        </w:rPr>
        <w:t>”</w:t>
      </w:r>
      <w:r>
        <w:rPr>
          <w:rFonts w:ascii="Times New Roman" w:hAnsi="Times New Roman"/>
          <w:color w:val="000000"/>
          <w:sz w:val="22"/>
        </w:rPr>
        <w:t>). The Sign-on Bonus will be paid in the first regularly scheduled payroll following the Effective Date. If the Executive voluntarily terminates his/her employment (except for Good Reason) or if the Executive is terminated for Cause, in each case within two years of the Effective Date, then Executive shall repay the gross amount of the Sign-on Bonus actually received by Executive to the Company at the time of separation.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Performance Bonus</w:t>
      </w:r>
      <w:r>
        <w:rPr>
          <w:rFonts w:ascii="Times New Roman" w:hAnsi="Times New Roman"/>
          <w:color w:val="000000"/>
          <w:sz w:val="22"/>
        </w:rPr>
        <w:t>. Executive will be eligible to receive a performance bonus if, as of the end of the Company’s fiscal year 2027, the amount of the Company’s total ending inventory (as calculated in dollars by the Company) is at the following levels:</w:t>
      </w:r>
    </w:p>
    <w:tbl>
      <w:tblPr>
        <w:tblW w:w="5552" w:type="dxa"/>
        <w:jc w:val="left"/>
        <w:tblInd w:w="0" w:type="dxa"/>
        <w:tblLayout w:type="fixed"/>
        <w:tblCellMar>
          <w:top w:w="28" w:type="dxa"/>
          <w:left w:w="28" w:type="dxa"/>
          <w:bottom w:w="28" w:type="dxa"/>
          <w:right w:w="28" w:type="dxa"/>
        </w:tblCellMar>
      </w:tblPr>
      <w:tblGrid>
        <w:gridCol w:w="3556"/>
        <w:gridCol w:w="1996"/>
      </w:tblGrid>
      <w:tr>
        <w:trPr/>
        <w:tc>
          <w:tcPr>
            <w:tcW w:w="355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3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FY27 Total Ending Inventory</w:t>
            </w:r>
          </w:p>
        </w:tc>
        <w:tc>
          <w:tcPr>
            <w:tcW w:w="199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Performance Bonus</w:t>
            </w:r>
          </w:p>
        </w:tc>
      </w:tr>
      <w:tr>
        <w:trPr/>
        <w:tc>
          <w:tcPr>
            <w:tcW w:w="3556"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$115,000,000.00 - $104,999,999.99</w:t>
            </w:r>
          </w:p>
        </w:tc>
        <w:tc>
          <w:tcPr>
            <w:tcW w:w="199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$100,000.00</w:t>
            </w:r>
          </w:p>
        </w:tc>
      </w:tr>
      <w:tr>
        <w:trPr/>
        <w:tc>
          <w:tcPr>
            <w:tcW w:w="3556"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$105,000,000.00 - $94,999,999.99</w:t>
            </w:r>
          </w:p>
        </w:tc>
        <w:tc>
          <w:tcPr>
            <w:tcW w:w="199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$200,000.00</w:t>
            </w:r>
          </w:p>
        </w:tc>
      </w:tr>
      <w:tr>
        <w:trPr/>
        <w:tc>
          <w:tcPr>
            <w:tcW w:w="3556"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$95,000,000.00 or less</w:t>
            </w:r>
          </w:p>
        </w:tc>
        <w:tc>
          <w:tcPr>
            <w:tcW w:w="199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$300,000.00</w:t>
            </w:r>
          </w:p>
        </w:tc>
      </w:tr>
    </w:tbl>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such bonus will be paid, less applicable taxes and withholdings, at the same time as the annual bonus is paid for the fiscal year 2027 Bonus Plan. Executive must be employed by the Company as of the payment date to earn and be eligible for the performance bonus.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Equity Incentive Awards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Restricted Stock Units</w:t>
      </w:r>
      <w:r>
        <w:rPr>
          <w:rFonts w:ascii="Times New Roman" w:hAnsi="Times New Roman"/>
          <w:color w:val="000000"/>
          <w:sz w:val="22"/>
        </w:rPr>
        <w:t>. As a material inducement to the Executive, the Company will recommend to the Compensation Committee of the Board of Directors (the “</w:t>
      </w:r>
      <w:r>
        <w:rPr>
          <w:rFonts w:ascii="Times New Roman" w:hAnsi="Times New Roman"/>
          <w:color w:val="000000"/>
          <w:sz w:val="22"/>
          <w:u w:val="single"/>
        </w:rPr>
        <w:t>Compensation Committee</w:t>
      </w:r>
      <w:r>
        <w:rPr>
          <w:color w:val="000000"/>
        </w:rPr>
        <w:t>”</w:t>
      </w:r>
      <w:r>
        <w:rPr>
          <w:rFonts w:ascii="Times New Roman" w:hAnsi="Times New Roman"/>
          <w:color w:val="000000"/>
          <w:sz w:val="22"/>
        </w:rPr>
        <w:t>) or the Board of Directors (the “</w:t>
      </w:r>
      <w:r>
        <w:rPr>
          <w:rFonts w:ascii="Times New Roman" w:hAnsi="Times New Roman"/>
          <w:color w:val="000000"/>
          <w:sz w:val="22"/>
          <w:u w:val="single"/>
        </w:rPr>
        <w:t>Board</w:t>
      </w:r>
      <w:r>
        <w:rPr>
          <w:color w:val="000000"/>
        </w:rPr>
        <w:t>”</w:t>
      </w:r>
      <w:r>
        <w:rPr>
          <w:rFonts w:ascii="Times New Roman" w:hAnsi="Times New Roman"/>
          <w:color w:val="000000"/>
          <w:sz w:val="22"/>
        </w:rPr>
        <w:t>) that the Executive be granted a number of restricted stock units (“</w:t>
      </w:r>
      <w:r>
        <w:rPr>
          <w:rFonts w:ascii="Times New Roman" w:hAnsi="Times New Roman"/>
          <w:color w:val="000000"/>
          <w:sz w:val="22"/>
          <w:u w:val="single"/>
        </w:rPr>
        <w:t>RSUs</w:t>
      </w:r>
      <w:r>
        <w:rPr>
          <w:color w:val="000000"/>
        </w:rPr>
        <w:t>”</w:t>
      </w:r>
      <w:r>
        <w:rPr>
          <w:rFonts w:ascii="Times New Roman" w:hAnsi="Times New Roman"/>
          <w:color w:val="000000"/>
          <w:sz w:val="22"/>
        </w:rPr>
        <w:t>) having an aggregate value of $750,000, which the Company may, at its election, calculate based on the closing stock price of the Company’s common stock on the date of grant or based on the trailing thirty (30) day average of the Company’s stock price as of the close of market on the date of grant. The grant of the RSUs is subject to and conditioned on approval of the grant and its terms by the Compensation Committee or the Board, and will be made following the Effective Date in accordance with the Company’s equity grant guidelines and policies. Subject to the Executive’s continued service as an employee through each applicable vesting date, twenty-five percent (25%) of the RSUs shall vest on the first anniversary of the RSU award’s date of grant and an additional twenty-five percent (25%) of the RSUs shall vest on each of the second, third and fourth anniversaries of the date of grant. At the election of the Compensation Committee or the Board, the RSUs will be subject to the terms and conditions of the Company’s Amended and Restated 2016 Equity Incentive Plan, an inducement plan or an inducement award agreement and any related agreements, in a form prescribed by the Company, which the Executive will be required to sign as a condition to receiving the RSUs (the “</w:t>
      </w:r>
      <w:r>
        <w:rPr>
          <w:rFonts w:ascii="Times New Roman" w:hAnsi="Times New Roman"/>
          <w:color w:val="000000"/>
          <w:sz w:val="22"/>
          <w:u w:val="single"/>
        </w:rPr>
        <w:t>RSU Agreement</w:t>
      </w:r>
      <w:r>
        <w:rPr>
          <w:color w:val="000000"/>
        </w:rPr>
        <w:t>”</w:t>
      </w:r>
      <w:r>
        <w:rPr>
          <w:rFonts w:ascii="Times New Roman" w:hAnsi="Times New Roman"/>
          <w:color w:val="000000"/>
          <w:sz w:val="22"/>
        </w:rPr>
        <w:t>). RSUs that vest in accordance with the RSU Agreement will be settled in whole shares of our common stock as soon as practicable after the applicable vesting date, but in no event later than sixty (60) days after such vesting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u w:val="single"/>
        </w:rPr>
        <w:t>Additional Equity</w:t>
      </w:r>
      <w:r>
        <w:rPr>
          <w:rFonts w:ascii="Times New Roman" w:hAnsi="Times New Roman"/>
          <w:color w:val="000000"/>
          <w:sz w:val="22"/>
        </w:rPr>
        <w:t>. Executive will be eligible to receive awards of stock options, restricted stock units, performance stock units, or other equity awards pursuant to any plans or arrangements the Company may have in effect from time to time. The Board or the Compensation Committee will determine in its discretion whether Executive will be granted any such equity awards and the terms of any such award in accordance with the terms of any applicable plan or arrangement that may be in effect from time to time.</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4</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Flexible Time Off and Benefits</w:t>
      </w:r>
      <w:r>
        <w:rPr>
          <w:rFonts w:ascii="Times New Roman" w:hAnsi="Times New Roman"/>
          <w:color w:val="000000"/>
          <w:sz w:val="22"/>
        </w:rPr>
        <w:t xml:space="preserve">. Executive will be allowed to use flexible time off for vacation, illness and holidays pursuant to the Company’s policies that apply to executive officers of the Company. In addition, Executive will be entitled to participate in any plans regarding benefits of employment, including pension, profit sharing, group health, disability insurance and other employee pension and welfare benefit plans now existing or hereafter established to the extent that Executive is then eligible under the terms of such plans and if the other executive officers of the Company generally are eligible to participate in such plan. The Company may, in its sole discretion and from time to time, establish additional senior management benefit plans as it deems appropriate. Executive understands that any such plans may be modified or eliminated in the Company’s sole discretion in accordance with applicable law, provided that no such plan modification or elimination shall result in Executive becoming unvested, or being required to revest, in any of Executive’s benefits that already are then vested.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Reimbursement of Business Expenses</w:t>
      </w:r>
      <w:r>
        <w:rPr>
          <w:rFonts w:ascii="Times New Roman" w:hAnsi="Times New Roman"/>
          <w:color w:val="000000"/>
          <w:sz w:val="22"/>
        </w:rPr>
        <w:t xml:space="preserve">. The Company will promptly reimburse to Executive his/her reasonable, customary and documented out-of-pocket reasonable and necessary business expenses in connection with the performance of his/her duties under this Agreement, and in accordance with the policies and procedures established by the Company; provided that each reimbursement shall be requested within two (2) months after being incurred.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Sarbanes-Oxley Act Loan Prohibition and Company Compensation-Related Polices</w:t>
      </w:r>
      <w:r>
        <w:rPr>
          <w:rFonts w:ascii="Times New Roman" w:hAnsi="Times New Roman"/>
          <w:color w:val="000000"/>
          <w:sz w:val="22"/>
        </w:rPr>
        <w:t>.</w:t>
      </w:r>
      <w:r>
        <w:rPr>
          <w:color w:val="000000"/>
        </w:rPr>
        <w:t xml:space="preserve"> </w:t>
      </w:r>
      <w:r>
        <w:rPr>
          <w:rFonts w:ascii="Times New Roman" w:hAnsi="Times New Roman"/>
          <w:color w:val="000000"/>
          <w:sz w:val="22"/>
        </w:rPr>
        <w:t>To the extent that any Company benefit, program, practice, arrangement or this Agreement would or might otherwise result in Executive’s receipt of an illegal loan (the “</w:t>
      </w:r>
      <w:r>
        <w:rPr>
          <w:rFonts w:ascii="Times New Roman" w:hAnsi="Times New Roman"/>
          <w:color w:val="000000"/>
          <w:sz w:val="22"/>
          <w:u w:val="single"/>
        </w:rPr>
        <w:t>Loan</w:t>
      </w:r>
      <w:r>
        <w:rPr>
          <w:color w:val="000000"/>
        </w:rPr>
        <w:t>”</w:t>
      </w:r>
      <w:r>
        <w:rPr>
          <w:rFonts w:ascii="Times New Roman" w:hAnsi="Times New Roman"/>
          <w:color w:val="000000"/>
          <w:sz w:val="22"/>
        </w:rPr>
        <w:t>), the Company shall use commercially reasonable efforts to provide Executive with a substitute for the Loan that is lawful and of at least equal value to Executive. If this cannot be done, or if doing so would be significantly more expensive to the Company than making the Loan, in each case as determined by the Company in its sole discretion, the Company need not make the Loan to Executive or provide him/her a substitute for it. Further, Executive acknowledges that any bonus or equity award provided for in this Agreement or otherwise awarded to him/her shall be subject to the Company’s policies regarding recoupment and clawback and, pursuant to the Company’s Compensation Recovery Policy (the “</w:t>
      </w:r>
      <w:r>
        <w:rPr>
          <w:rFonts w:ascii="Times New Roman" w:hAnsi="Times New Roman"/>
          <w:color w:val="000000"/>
          <w:sz w:val="22"/>
          <w:u w:val="single"/>
        </w:rPr>
        <w:t>Clawback Policy</w:t>
      </w:r>
      <w:r>
        <w:rPr>
          <w:color w:val="000000"/>
        </w:rPr>
        <w:t>”</w:t>
      </w:r>
      <w:r>
        <w:rPr>
          <w:rFonts w:ascii="Times New Roman" w:hAnsi="Times New Roman"/>
          <w:color w:val="000000"/>
          <w:sz w:val="22"/>
        </w:rPr>
        <w:t xml:space="preserve">), any of Executive’s “Incentive-Based Compensation” as defined therein shall be subject to the Clawback Policy, in each case as such policies may be amended from time to time, and Executive agrees that he/she will be subject to, and shall comply with, the Company’s stock ownership requirements which are set forth in its Amended and Restated Corporate Governance Guidelines, as such requirements may be amended from time to time, and the Company’s Insider Trading Policy, as amended from time to time.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Termination of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By Company Without Cause</w:t>
      </w:r>
      <w:r>
        <w:rPr>
          <w:rFonts w:ascii="Times New Roman" w:hAnsi="Times New Roman"/>
          <w:color w:val="000000"/>
          <w:sz w:val="22"/>
        </w:rPr>
        <w:t xml:space="preserve">. Subject to the last paragraph of this </w:t>
      </w:r>
      <w:r>
        <w:rPr>
          <w:rFonts w:ascii="Times New Roman" w:hAnsi="Times New Roman"/>
          <w:color w:val="000000"/>
          <w:sz w:val="22"/>
          <w:u w:val="single"/>
        </w:rPr>
        <w:t>Section 5(a)</w:t>
      </w:r>
      <w:r>
        <w:rPr>
          <w:rFonts w:ascii="Times New Roman" w:hAnsi="Times New Roman"/>
          <w:color w:val="000000"/>
          <w:sz w:val="22"/>
        </w:rPr>
        <w:t>, the Company may terminate Executive’s employment without Cause (as defined below) (excluding due to Executive’s death or Incapacity (as defined below)) effective on thirty (30) days’ written notice (such thirty (30)-day period, the “</w:t>
      </w:r>
      <w:r>
        <w:rPr>
          <w:rFonts w:ascii="Times New Roman" w:hAnsi="Times New Roman"/>
          <w:color w:val="000000"/>
          <w:sz w:val="22"/>
          <w:u w:val="single"/>
        </w:rPr>
        <w:t>Notice Period</w:t>
      </w:r>
      <w:r>
        <w:rPr>
          <w:color w:val="000000"/>
        </w:rPr>
        <w:t>”</w:t>
      </w:r>
      <w:r>
        <w:rPr>
          <w:rFonts w:ascii="Times New Roman" w:hAnsi="Times New Roman"/>
          <w:color w:val="000000"/>
          <w:sz w:val="22"/>
        </w:rPr>
        <w:t>, and such notice, the “</w:t>
      </w:r>
      <w:r>
        <w:rPr>
          <w:rFonts w:ascii="Times New Roman" w:hAnsi="Times New Roman"/>
          <w:color w:val="000000"/>
          <w:sz w:val="22"/>
          <w:u w:val="single"/>
        </w:rPr>
        <w:t>Termination Notice</w:t>
      </w:r>
      <w:r>
        <w:rPr>
          <w:color w:val="000000"/>
        </w:rPr>
        <w:t>”</w:t>
      </w:r>
      <w:r>
        <w:rPr>
          <w:rFonts w:ascii="Times New Roman" w:hAnsi="Times New Roman"/>
          <w:color w:val="000000"/>
          <w:sz w:val="22"/>
        </w:rPr>
        <w:t>), during which notice period Executive may be relieved of his/her duties and placed on paid terminal leave. In such event and subject to the other provisions of this Agreement, Executive will be entitled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continued coverage under the Company’s insurance-based benefit plans through the termination date and such other benefits to which he/she may be entitled pursuant to the terms and conditions of the Company’s benefit plans, provided, however, that Executive shall not participate in any severance plan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payment of all earned but unpaid compensation (including any accrued unpaid vacation, as applicable) through the effective date of termination, payable on or before the termination date; and</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5</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reimbursement of expenses incurred on or before the termination date in accordance with </w:t>
      </w:r>
      <w:r>
        <w:rPr>
          <w:rFonts w:ascii="Times New Roman" w:hAnsi="Times New Roman"/>
          <w:color w:val="000000"/>
          <w:sz w:val="22"/>
          <w:u w:val="single"/>
        </w:rPr>
        <w:t>Section 4(g)</w:t>
      </w:r>
      <w:r>
        <w:rPr>
          <w:rFonts w:ascii="Times New Roman" w:hAnsi="Times New Roman"/>
          <w:color w:val="000000"/>
          <w:sz w:val="22"/>
        </w:rPr>
        <w:t>, above, if a request for reimbursement of the expenses was timely submitted to the Company; plus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rPr>
        <w:t>payment of the equivalent of the Base Salary, as then in effect (provided that if there has been any reduction in the Base Salary that would otherwise constitute Good Reason, then the rate in effect prior to such reduction), that he/she would have earned over the next twelve (12) months following the termination date (less necessary withholdings and authorized deductions) (the “</w:t>
      </w:r>
      <w:r>
        <w:rPr>
          <w:rFonts w:ascii="Times New Roman" w:hAnsi="Times New Roman"/>
          <w:color w:val="000000"/>
          <w:sz w:val="22"/>
          <w:u w:val="single"/>
        </w:rPr>
        <w:t>Severance Payment</w:t>
      </w:r>
      <w:r>
        <w:rPr>
          <w:color w:val="000000"/>
        </w:rPr>
        <w:t>”</w:t>
      </w:r>
      <w:r>
        <w:rPr>
          <w:rFonts w:ascii="Times New Roman" w:hAnsi="Times New Roman"/>
          <w:color w:val="000000"/>
          <w:sz w:val="22"/>
        </w:rPr>
        <w:t>), payable in a lump sum on the first regularly scheduled payroll date following the date the Release becomes effective and irrevocable (the “</w:t>
      </w:r>
      <w:r>
        <w:rPr>
          <w:rFonts w:ascii="Times New Roman" w:hAnsi="Times New Roman"/>
          <w:color w:val="000000"/>
          <w:sz w:val="22"/>
          <w:u w:val="single"/>
        </w:rPr>
        <w:t>Release Effective Date</w:t>
      </w:r>
      <w:r>
        <w:rPr>
          <w:color w:val="000000"/>
        </w:rPr>
        <w:t>”</w:t>
      </w:r>
      <w:r>
        <w:rPr>
          <w:rFonts w:ascii="Times New Roman" w:hAnsi="Times New Roman"/>
          <w:color w:val="000000"/>
          <w:sz w:val="22"/>
        </w:rPr>
        <w:t xml:space="preserve">), but (1) in any event within 30 days after the Release Effective Date and (2) subject to </w:t>
      </w:r>
      <w:r>
        <w:rPr>
          <w:rFonts w:ascii="Times New Roman" w:hAnsi="Times New Roman"/>
          <w:color w:val="000000"/>
          <w:sz w:val="22"/>
          <w:u w:val="single"/>
        </w:rPr>
        <w:t>Section 16</w:t>
      </w:r>
      <w:r>
        <w:rPr>
          <w:rFonts w:ascii="Times New Roman" w:hAnsi="Times New Roman"/>
          <w:color w:val="000000"/>
          <w:sz w:val="22"/>
        </w:rPr>
        <w:t xml:space="preserve">, below;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rPr>
        <w:t>either (1) if Executive’s termination date occurs on or following the date on which bonus payments to similarly situated executives are made under the Bonus Plan for the fiscal year prior to the fiscal year in which Executive’s termination occurs (the “</w:t>
      </w:r>
      <w:r>
        <w:rPr>
          <w:rFonts w:ascii="Times New Roman" w:hAnsi="Times New Roman"/>
          <w:color w:val="000000"/>
          <w:sz w:val="22"/>
          <w:u w:val="single"/>
        </w:rPr>
        <w:t>Prior Fiscal Year</w:t>
      </w:r>
      <w:r>
        <w:rPr>
          <w:color w:val="000000"/>
        </w:rPr>
        <w:t>”</w:t>
      </w:r>
      <w:r>
        <w:rPr>
          <w:rFonts w:ascii="Times New Roman" w:hAnsi="Times New Roman"/>
          <w:color w:val="000000"/>
          <w:sz w:val="22"/>
        </w:rPr>
        <w:t>), then payment of a prorated portion of the actual bonus Executive would have otherwise received for the fiscal year during which the termination occurs, as if Executive had remained employed by the Company through the date that would have otherwise been required to earn the bonus, but without the Board or any committee of the Board exercising any negative discretion to reduce the amount of the award, calculated by dividing the number of days from the start of the fiscal year through the termination date by 365 and multiplying the amount of such actual bonus Executive would have otherwise received by this percentage (but not by more than 100%), and paid at the same time as bonuses are paid to other Company executives that are similarly situated to Executive but in any case in the same calendar year in which the performance period ends; provided, however, that if the termination date is after the seventh month of the fiscal year, the actual bonus will not be prorated and Executive will receive 100% of such actual bonus Executive would have otherwise received for that fiscal year (without the Board or any committee of the Board exercising any negative discretion) at the same time as bonuses are paid to other Company executives that are similarly situated to Executive but in any case in the same calendar year in which the performance period ends, or (2) if Executive’s termination date occurs prior to the date on which bonus payments to similarly situated Company executives are made under the Bonus Plan for the Prior Fiscal Year, then payment of the actual bonus Executive would have otherwise received under the Bonus Plan for the Prior Fiscal Year, as if Executive had remained employed by the Company through the date that would have otherwise been required to earn the bonus, but without the Board or any committee of the Board exercising any negative discretion to reduce the amount of the award, paid at the same time as bonuses are paid to other Company executives that are similarly situated to Executive but in any case in the same calendar year in which the applicable fiscal year ends;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pPr>
      <w:r>
        <w:rPr>
          <w:rFonts w:ascii="Times New Roman" w:hAnsi="Times New Roman"/>
          <w:color w:val="000000"/>
          <w:sz w:val="22"/>
        </w:rPr>
        <w:t xml:space="preserve">subject to </w:t>
      </w:r>
      <w:r>
        <w:rPr>
          <w:rFonts w:ascii="Times New Roman" w:hAnsi="Times New Roman"/>
          <w:color w:val="000000"/>
          <w:sz w:val="22"/>
          <w:u w:val="single"/>
        </w:rPr>
        <w:t>Section 5(g)</w:t>
      </w:r>
      <w:r>
        <w:rPr>
          <w:rFonts w:ascii="Times New Roman" w:hAnsi="Times New Roman"/>
          <w:color w:val="000000"/>
          <w:sz w:val="22"/>
        </w:rPr>
        <w:t>, reimbursement of insurance premiums payable to retain group health coverage as of the termination date for himself/herself and his/her eligible dependents pursuant to the Consolidated Omnibus Budget Reconciliation Act of 1986, as amended (“</w:t>
      </w:r>
      <w:r>
        <w:rPr>
          <w:rFonts w:ascii="Times New Roman" w:hAnsi="Times New Roman"/>
          <w:color w:val="000000"/>
          <w:sz w:val="22"/>
          <w:u w:val="single"/>
        </w:rPr>
        <w:t>COBRA</w:t>
      </w:r>
      <w:r>
        <w:rPr>
          <w:color w:val="000000"/>
        </w:rPr>
        <w:t>”</w:t>
      </w:r>
      <w:r>
        <w:rPr>
          <w:rFonts w:ascii="Times New Roman" w:hAnsi="Times New Roman"/>
          <w:color w:val="000000"/>
          <w:sz w:val="22"/>
        </w:rPr>
        <w:t xml:space="preserve">), for twelve (12) months from the date Executive becomes COBRA eligible or the maximum period of COBRA coverage, whichever is less; provided that Executive must submit a reimbursement request in accordance with Company policy within thirty (30) days of paying such insurance premiums. The Company will reimburse Executive within thirty (30) days of receiving a properly submitted request. In addition, if Executive accepts other employment within such twelve (12) months, the Company’s obligation under this </w:t>
      </w:r>
      <w:r>
        <w:rPr>
          <w:rFonts w:ascii="Times New Roman" w:hAnsi="Times New Roman"/>
          <w:color w:val="000000"/>
          <w:sz w:val="22"/>
          <w:u w:val="single"/>
        </w:rPr>
        <w:t>Section 5(a)(vi)</w:t>
      </w:r>
      <w:r>
        <w:rPr>
          <w:color w:val="000000"/>
        </w:rPr>
        <w:t xml:space="preserve"> </w:t>
      </w:r>
      <w:r>
        <w:rPr>
          <w:rFonts w:ascii="Times New Roman" w:hAnsi="Times New Roman"/>
          <w:color w:val="000000"/>
          <w:sz w:val="22"/>
        </w:rPr>
        <w:t>will be extinguished as of the date Executive becomes eligible to be covered under the group health plan of Executive’s new employer;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payment for executive outplacement assistance services with the Company’s then current outplacement services vendor and in accordance with the Company’s then current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6</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pPr>
      <w:r>
        <w:rPr>
          <w:rFonts w:ascii="Times New Roman" w:hAnsi="Times New Roman"/>
          <w:color w:val="000000"/>
          <w:sz w:val="22"/>
        </w:rPr>
        <w:t>policies and practices with respect to outplacement assistance for other executives of the Company for up to twelve (12) months after the termination date.</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payments and benefits set forth in </w:t>
      </w:r>
      <w:r>
        <w:rPr>
          <w:rFonts w:ascii="Times New Roman" w:hAnsi="Times New Roman"/>
          <w:color w:val="000000"/>
          <w:sz w:val="22"/>
          <w:u w:val="single"/>
        </w:rPr>
        <w:t>Sections 5(a)(i)-(iii)</w:t>
      </w:r>
      <w:r>
        <w:rPr>
          <w:rFonts w:ascii="Times New Roman" w:hAnsi="Times New Roman"/>
          <w:color w:val="000000"/>
          <w:sz w:val="20"/>
        </w:rPr>
        <w:t xml:space="preserve"> </w:t>
      </w:r>
      <w:r>
        <w:rPr>
          <w:rFonts w:ascii="Times New Roman" w:hAnsi="Times New Roman"/>
          <w:color w:val="000000"/>
          <w:sz w:val="22"/>
        </w:rPr>
        <w:t>shall be referred to as the “</w:t>
      </w:r>
      <w:r>
        <w:rPr>
          <w:rFonts w:ascii="Times New Roman" w:hAnsi="Times New Roman"/>
          <w:color w:val="000000"/>
          <w:sz w:val="22"/>
          <w:u w:val="single"/>
        </w:rPr>
        <w:t>Accrued Benefits</w:t>
      </w:r>
      <w:r>
        <w:rPr>
          <w:rFonts w:ascii="Times New Roman" w:hAnsi="Times New Roman"/>
          <w:color w:val="000000"/>
          <w:sz w:val="20"/>
        </w:rPr>
        <w:t>”</w:t>
      </w:r>
      <w:r>
        <w:rPr>
          <w:rFonts w:ascii="Times New Roman" w:hAnsi="Times New Roman"/>
          <w:color w:val="000000"/>
          <w:sz w:val="22"/>
        </w:rPr>
        <w:t xml:space="preserve">, and the payments and benefits set forth in </w:t>
      </w:r>
      <w:r>
        <w:rPr>
          <w:rFonts w:ascii="Times New Roman" w:hAnsi="Times New Roman"/>
          <w:color w:val="000000"/>
          <w:sz w:val="22"/>
          <w:u w:val="single"/>
        </w:rPr>
        <w:t>Sections 5(a)(iv)-(vii)</w:t>
      </w:r>
      <w:r>
        <w:rPr>
          <w:rFonts w:ascii="Times New Roman" w:hAnsi="Times New Roman"/>
          <w:color w:val="000000"/>
          <w:sz w:val="20"/>
        </w:rPr>
        <w:t xml:space="preserve"> </w:t>
      </w:r>
      <w:r>
        <w:rPr>
          <w:rFonts w:ascii="Times New Roman" w:hAnsi="Times New Roman"/>
          <w:color w:val="000000"/>
          <w:sz w:val="22"/>
        </w:rPr>
        <w:t>shall be referred to as the “</w:t>
      </w:r>
      <w:r>
        <w:rPr>
          <w:rFonts w:ascii="Times New Roman" w:hAnsi="Times New Roman"/>
          <w:color w:val="000000"/>
          <w:sz w:val="22"/>
          <w:u w:val="single"/>
        </w:rPr>
        <w:t>Severance Benefits</w:t>
      </w:r>
      <w:r>
        <w:rPr>
          <w:rFonts w:ascii="Times New Roman" w:hAnsi="Times New Roman"/>
          <w:color w:val="000000"/>
          <w:sz w:val="20"/>
        </w:rPr>
        <w:t>”</w:t>
      </w:r>
      <w:r>
        <w:rPr>
          <w:rFonts w:ascii="Times New Roman" w:hAnsi="Times New Roman"/>
          <w:color w:val="000000"/>
          <w:sz w:val="22"/>
        </w:rPr>
        <w:t xml:space="preserve">. Executive shall not receive the Severance Benefits, the “Enhanced Severance Benefits” as provided in </w:t>
      </w:r>
      <w:r>
        <w:rPr>
          <w:rFonts w:ascii="Times New Roman" w:hAnsi="Times New Roman"/>
          <w:color w:val="000000"/>
          <w:sz w:val="22"/>
          <w:u w:val="single"/>
        </w:rPr>
        <w:t>Section 5(e)</w:t>
      </w:r>
      <w:r>
        <w:rPr>
          <w:rFonts w:ascii="Times New Roman" w:hAnsi="Times New Roman"/>
          <w:color w:val="000000"/>
          <w:sz w:val="22"/>
        </w:rPr>
        <w:t>, or the Termination Notice Replacement Payment (as defined below) unless Executive executes a separation agreement and general release in a form reasonably acceptable to the Company (the “</w:t>
      </w:r>
      <w:r>
        <w:rPr>
          <w:rFonts w:ascii="Times New Roman" w:hAnsi="Times New Roman"/>
          <w:color w:val="000000"/>
          <w:sz w:val="22"/>
          <w:u w:val="single"/>
        </w:rPr>
        <w:t>Release</w:t>
      </w:r>
      <w:r>
        <w:rPr>
          <w:rFonts w:ascii="Times New Roman" w:hAnsi="Times New Roman"/>
          <w:color w:val="000000"/>
          <w:sz w:val="20"/>
        </w:rPr>
        <w:t>”</w:t>
      </w:r>
      <w:r>
        <w:rPr>
          <w:rFonts w:ascii="Times New Roman" w:hAnsi="Times New Roman"/>
          <w:color w:val="000000"/>
          <w:sz w:val="22"/>
        </w:rPr>
        <w:t xml:space="preserve">), and the same becomes effective and irrevocable pursuant to its terms within the 60-day period following the termination of his/her employment. Notwithstanding the foregoing paragraphs of this </w:t>
      </w:r>
      <w:r>
        <w:rPr>
          <w:rFonts w:ascii="Times New Roman" w:hAnsi="Times New Roman"/>
          <w:color w:val="000000"/>
          <w:sz w:val="22"/>
          <w:u w:val="single"/>
        </w:rPr>
        <w:t>Section 5(a)</w:t>
      </w:r>
      <w:r>
        <w:rPr>
          <w:rFonts w:ascii="Times New Roman" w:hAnsi="Times New Roman"/>
          <w:color w:val="000000"/>
          <w:sz w:val="22"/>
        </w:rPr>
        <w:t>, the Company may terminate Executive’s employment prior to the expiration of the Notice Period, and in the case of such termination, the Company shall pay Executive the equivalent of the Base Salary he/she would have earned over the remainder of the Notice Period (less necessary withholdings and authorized deductions) at his/her then current Base Salary rate (the “</w:t>
      </w:r>
      <w:r>
        <w:rPr>
          <w:rFonts w:ascii="Times New Roman" w:hAnsi="Times New Roman"/>
          <w:color w:val="000000"/>
          <w:sz w:val="22"/>
          <w:u w:val="single"/>
        </w:rPr>
        <w:t>Termination Notice Replacement Payment</w:t>
      </w:r>
      <w:r>
        <w:rPr>
          <w:rFonts w:ascii="Times New Roman" w:hAnsi="Times New Roman"/>
          <w:color w:val="000000"/>
          <w:sz w:val="20"/>
        </w:rPr>
        <w:t>”</w:t>
      </w:r>
      <w:r>
        <w:rPr>
          <w:rFonts w:ascii="Times New Roman" w:hAnsi="Times New Roman"/>
          <w:color w:val="000000"/>
          <w:sz w:val="22"/>
        </w:rPr>
        <w:t>), subject to Executive satisfying the requirements of the previous sentence. Any such Termination Notice Replacement will be paid in a lump sum at the same time as the Severance Payment.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By Company With Cause</w:t>
      </w:r>
      <w:r>
        <w:rPr>
          <w:rFonts w:ascii="Times New Roman" w:hAnsi="Times New Roman"/>
          <w:color w:val="000000"/>
          <w:sz w:val="22"/>
        </w:rPr>
        <w:t>. The Company may terminate Executive’s employment at any time and without prior notice, written or otherwise, for Cause. As used in this Agreement, “</w:t>
      </w:r>
      <w:r>
        <w:rPr>
          <w:rFonts w:ascii="Times New Roman" w:hAnsi="Times New Roman"/>
          <w:color w:val="000000"/>
          <w:sz w:val="22"/>
          <w:u w:val="single"/>
        </w:rPr>
        <w:t>Cause</w:t>
      </w:r>
      <w:r>
        <w:rPr>
          <w:color w:val="000000"/>
        </w:rPr>
        <w:t xml:space="preserve">” </w:t>
      </w:r>
      <w:r>
        <w:rPr>
          <w:rFonts w:ascii="Times New Roman" w:hAnsi="Times New Roman"/>
          <w:color w:val="000000"/>
          <w:sz w:val="22"/>
        </w:rPr>
        <w:t xml:space="preserve">shall mean any of the following conduct by Executive: (i) material breach of this Agreement, or a material violation of a Company policy or of a law, rule or regulation applicable to the Company or its operations; (ii) demonstrated and material neglect of duties, or failure or refusal to perform the material duties of his/her position, or the failure to follow the reasonable and lawful instructions of the Company; (iii) gross misconduct or dishonesty, self-dealing, fraud or similar conduct that the Company reasonably determines has caused, is causing or reasonably is likely to cause harm to the Company; or (iv) conviction of or plea of guilty or </w:t>
      </w:r>
      <w:r>
        <w:rPr>
          <w:rFonts w:ascii="Times New Roman" w:hAnsi="Times New Roman"/>
          <w:i/>
          <w:color w:val="000000"/>
          <w:sz w:val="22"/>
        </w:rPr>
        <w:t>nolo contendere</w:t>
      </w:r>
      <w:r>
        <w:rPr>
          <w:color w:val="000000"/>
        </w:rPr>
        <w:t xml:space="preserve"> </w:t>
      </w:r>
      <w:r>
        <w:rPr>
          <w:rFonts w:ascii="Times New Roman" w:hAnsi="Times New Roman"/>
          <w:color w:val="000000"/>
          <w:sz w:val="22"/>
        </w:rPr>
        <w:t xml:space="preserve">to a felony (other than a traffic offense that is not punishable by a sentence of incarceration) or any crime involving fraud, embezzlement, or any other act of moral turpitude. A termination for Cause pursuant to </w:t>
      </w:r>
      <w:r>
        <w:rPr>
          <w:rFonts w:ascii="Times New Roman" w:hAnsi="Times New Roman"/>
          <w:color w:val="000000"/>
          <w:sz w:val="22"/>
          <w:u w:val="single"/>
        </w:rPr>
        <w:t>Section 5(b)(ii)</w:t>
      </w:r>
      <w:r>
        <w:rPr>
          <w:color w:val="000000"/>
        </w:rPr>
        <w:t xml:space="preserve"> </w:t>
      </w:r>
      <w:r>
        <w:rPr>
          <w:rFonts w:ascii="Times New Roman" w:hAnsi="Times New Roman"/>
          <w:color w:val="000000"/>
          <w:sz w:val="22"/>
        </w:rPr>
        <w:t>shall be effective only if such failure continues after Executive has been given written notice thereof and fifteen (15) business days thereafter in which to present his/her position to the Company or to cure the same, unless the Company reasonably determines that the reason(s) for termination are not capable of being cured. In the event of termination for Cause, Executive will be entitled only to the Accrued Benefits through the termination date, which will be the date on which the notice is given, and the Company will have no further obligation to pay any compensation of any kind (including without limitation any bonus or portion of a bonus that otherwise may have become due and payable to Executive with respect to the year in which such termination date occurs but for Executive’s termination prior to the payment date), or severance payment of any kind nor to make any payment in lieu of notice.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Incapacity or Death</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If Executive becomes unable, due to physical or mental illness or injury, to perform the essential duties of his/her position for more than twelve (12) consecutive weeks in any twelve (12) month period during this Agreement with or without reasonable accommodation (“</w:t>
      </w:r>
      <w:r>
        <w:rPr>
          <w:rFonts w:ascii="Times New Roman" w:hAnsi="Times New Roman"/>
          <w:color w:val="000000"/>
          <w:sz w:val="22"/>
          <w:u w:val="single"/>
        </w:rPr>
        <w:t>Incapacity</w:t>
      </w:r>
      <w:r>
        <w:rPr>
          <w:color w:val="000000"/>
        </w:rPr>
        <w:t>”</w:t>
      </w:r>
      <w:r>
        <w:rPr>
          <w:rFonts w:ascii="Times New Roman" w:hAnsi="Times New Roman"/>
          <w:color w:val="000000"/>
          <w:sz w:val="22"/>
        </w:rPr>
        <w:t xml:space="preserve">), the Company has the right to terminate Executive’s employment on fifteen (15) days’ written notice. Further, Executive’s employment pursuant to this Agreement shall be immediately terminated without notice by the Company upon the death of Executive.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of termination for Incapacity or if Executive dies while actively employed pursuant to this Agreement, (i) Executive will be entitled to receive the Accrued Benefits, (ii) any unvested equity awards previously granted to Executive that are scheduled to vest based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7</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pPr>
      <w:r>
        <w:rPr>
          <w:rFonts w:ascii="Times New Roman" w:hAnsi="Times New Roman"/>
          <w:color w:val="000000"/>
          <w:sz w:val="22"/>
        </w:rPr>
        <w:t>solely on the achievement of service-based conditions (“</w:t>
      </w:r>
      <w:r>
        <w:rPr>
          <w:rFonts w:ascii="Times New Roman" w:hAnsi="Times New Roman"/>
          <w:color w:val="000000"/>
          <w:sz w:val="22"/>
          <w:u w:val="single"/>
        </w:rPr>
        <w:t>Time-based Equity Awards</w:t>
      </w:r>
      <w:r>
        <w:rPr>
          <w:color w:val="000000"/>
        </w:rPr>
        <w:t>”</w:t>
      </w:r>
      <w:r>
        <w:rPr>
          <w:rFonts w:ascii="Times New Roman" w:hAnsi="Times New Roman"/>
          <w:color w:val="000000"/>
          <w:sz w:val="22"/>
        </w:rPr>
        <w:t>) shall become immediately vested to the extent that such Time-based Equity Awards would have vested within six (6) months after the date of termination had such Time-based Equity Awards had vesting schedules that provided for pro-rata vesting on a monthly basis over the entirety of the vesting schedule (and, for clarity, any reference to the vesting date for purposes of settlement timing applicable to any restricted stock units or similar full-value awards that accelerate vesting under this Section 5(c)(ii) refers to the date that such award no longer is subject to a substantial risk of forfeiture), and (iii) with respect to any equity awards that are scheduled to vest based on the achievement of performance-based conditions (which may include additional service-based conditions) (“</w:t>
      </w:r>
      <w:r>
        <w:rPr>
          <w:rFonts w:ascii="Times New Roman" w:hAnsi="Times New Roman"/>
          <w:color w:val="000000"/>
          <w:sz w:val="22"/>
          <w:u w:val="single"/>
        </w:rPr>
        <w:t>Performance-based Equity Awards</w:t>
      </w:r>
      <w:r>
        <w:rPr>
          <w:color w:val="000000"/>
        </w:rPr>
        <w:t>”</w:t>
      </w:r>
      <w:r>
        <w:rPr>
          <w:rFonts w:ascii="Times New Roman" w:hAnsi="Times New Roman"/>
          <w:color w:val="000000"/>
          <w:sz w:val="22"/>
        </w:rPr>
        <w:t>) for which the performance period is scheduled to end within six (6) months after the date of termination, each such Performance-based Equity Award will remain outstanding until the date the Board or Compensation Committee of the Board (the “</w:t>
      </w:r>
      <w:r>
        <w:rPr>
          <w:rFonts w:ascii="Times New Roman" w:hAnsi="Times New Roman"/>
          <w:color w:val="000000"/>
          <w:sz w:val="22"/>
          <w:u w:val="single"/>
        </w:rPr>
        <w:t>Compensation Committee</w:t>
      </w:r>
      <w:r>
        <w:rPr>
          <w:color w:val="000000"/>
        </w:rPr>
        <w:t>”</w:t>
      </w:r>
      <w:r>
        <w:rPr>
          <w:rFonts w:ascii="Times New Roman" w:hAnsi="Times New Roman"/>
          <w:color w:val="000000"/>
          <w:sz w:val="22"/>
        </w:rPr>
        <w:t>) determines whether the applicable performance condition is achieved (provided that in no event will such Performance-based Equity Award remain outstanding beyond the Performance-based Equity Award’s maximum term to expiration), will vest in accordance with its terms to the extent such performance condition is achieved, and will be settled in the same calendar year as the calendar year in which the performance period ends.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Resignation for Good Reason</w:t>
      </w:r>
      <w:r>
        <w:rPr>
          <w:rFonts w:ascii="Times New Roman" w:hAnsi="Times New Roman"/>
          <w:color w:val="000000"/>
          <w:sz w:val="22"/>
        </w:rPr>
        <w:t>. Executive may terminate this Agreement for Good Reason (as defined below) by giving written notice to the Company of such termination, subject to Executive complying with the notice, cure period and other requirements set forth within the definition of Good Reason below. As used in this Agreement, “</w:t>
      </w:r>
      <w:r>
        <w:rPr>
          <w:rFonts w:ascii="Times New Roman" w:hAnsi="Times New Roman"/>
          <w:color w:val="000000"/>
          <w:sz w:val="22"/>
          <w:u w:val="single"/>
        </w:rPr>
        <w:t>Good Reason</w:t>
      </w:r>
      <w:r>
        <w:rPr>
          <w:color w:val="000000"/>
        </w:rPr>
        <w:t xml:space="preserve">” </w:t>
      </w:r>
      <w:r>
        <w:rPr>
          <w:rFonts w:ascii="Times New Roman" w:hAnsi="Times New Roman"/>
          <w:color w:val="000000"/>
          <w:sz w:val="22"/>
        </w:rPr>
        <w:t xml:space="preserve">shall mean the occurrence of any one of the following without Executive’s written consent: (i) a material reduction in Executive’s base compensation (which includes Base Salary, the Executive’s target annual bonus and any other base compensation), (ii) any action or inaction that constitutes a material breach by the Company of this Agreement; (iii) during the Change in Control Period, a material diminution in Executive’s authority, duties or responsibilities such that they are materially inconsistent with Executive’s then position or, outside of the Change in Control Period, a material diminution in Executive’s duties or responsibilities such that they are materially inconsistent with the position for which Executive originally was appointed as Senior Vice President, Chief Operations Officer of the Company; and (iv) a relocation of the Executive’s primary work location to a location that increases Executive’s commute by thirty (30) miles or more following Executive’s move to the Madison, Wisconsin area, provided that no termination for Good Reason shall be effective until Executive has given the Company written notice (pursuant to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 xml:space="preserve">below) within sixty (60) days after Executive becomes aware of the initial occurrence of any of the foregoing specifying the event or condition constituting the Good Reason and the specific reasonable cure requested by Executive, and the Company has failed to cure the occurrence within thirty (30) days of receiving written notice from Executive, and Executive resigns within six (6) months after Executive becomes aware of the initial occurrence. To the extent Executive’s principal work location is not the Company’s offices or facilities due to a shelter-in-place order, quarantine order, or similar work-from-home requirement that applies to Executive, Executive’s principal work location, from which a change in location under the foregoing clause (iv) will be measured, will be considered the Company’s office or facility location where Executive’s employment with the Company primarily was or would have been based immediately prior to the commencement of such shelter-in-place order, quarantine order, or similar work-from-home requirement. In the event of a termination for Good Reason, Executive will be entitled to the Accrued Benefits and the Severance Benefits, on the same conditions, form of payment and timing as set forth in </w:t>
      </w:r>
      <w:r>
        <w:rPr>
          <w:rFonts w:ascii="Times New Roman" w:hAnsi="Times New Roman"/>
          <w:color w:val="000000"/>
          <w:sz w:val="22"/>
          <w:u w:val="single"/>
        </w:rPr>
        <w:t>Section 5(a)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Effect of Change in Control.</w:t>
      </w:r>
      <w:r>
        <w:rPr>
          <w:color w:val="000000"/>
        </w:rPr>
        <w:t xml:space="preserve"> </w:t>
      </w:r>
      <w:r>
        <w:rPr>
          <w:rFonts w:ascii="Times New Roman" w:hAnsi="Times New Roman"/>
          <w:color w:val="000000"/>
          <w:sz w:val="22"/>
        </w:rPr>
        <w:t xml:space="preserve">If the Company terminates Executive’s employment with the Company without Cause (excluding due to Executive’s death or Incapacity) or if Executive resigns from such employment for Good Reason, and, in each case, such termination occurs during the Change in Control Period (as defined below), Executive will be entitled to the Accrued Benefits, and subject to the same conditions set forth in the final paragraph of </w:t>
      </w:r>
      <w:r>
        <w:rPr>
          <w:rFonts w:ascii="Times New Roman" w:hAnsi="Times New Roman"/>
          <w:color w:val="000000"/>
          <w:sz w:val="22"/>
          <w:u w:val="single"/>
        </w:rPr>
        <w:t>Section 5(a)</w:t>
      </w:r>
      <w:r>
        <w:rPr>
          <w:rFonts w:ascii="Times New Roman" w:hAnsi="Times New Roman"/>
          <w:color w:val="000000"/>
          <w:sz w:val="22"/>
        </w:rPr>
        <w:t xml:space="preserve">: (i) two (2) times the Severance Payment set forth in </w:t>
      </w:r>
      <w:r>
        <w:rPr>
          <w:rFonts w:ascii="Times New Roman" w:hAnsi="Times New Roman"/>
          <w:color w:val="000000"/>
          <w:sz w:val="22"/>
          <w:u w:val="single"/>
        </w:rPr>
        <w:t>Section 5(a)(iv)</w:t>
      </w:r>
      <w:r>
        <w:rPr>
          <w:rFonts w:ascii="Times New Roman" w:hAnsi="Times New Roman"/>
          <w:color w:val="000000"/>
          <w:sz w:val="22"/>
        </w:rPr>
        <w:t xml:space="preserve">, paid in the same form (i.e., a lump sum) and at the same time as the Severance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8</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pPr>
      <w:r>
        <w:rPr>
          <w:rFonts w:ascii="Times New Roman" w:hAnsi="Times New Roman"/>
          <w:color w:val="000000"/>
          <w:sz w:val="22"/>
        </w:rPr>
        <w:t xml:space="preserve">Payments set forth in </w:t>
      </w:r>
      <w:r>
        <w:rPr>
          <w:rFonts w:ascii="Times New Roman" w:hAnsi="Times New Roman"/>
          <w:color w:val="000000"/>
          <w:sz w:val="22"/>
          <w:u w:val="single"/>
        </w:rPr>
        <w:t>Section 5(a)(iv)</w:t>
      </w:r>
      <w:r>
        <w:rPr>
          <w:rFonts w:ascii="Times New Roman" w:hAnsi="Times New Roman"/>
          <w:color w:val="000000"/>
          <w:sz w:val="22"/>
        </w:rPr>
        <w:t xml:space="preserve">, (ii) subject to </w:t>
      </w:r>
      <w:r>
        <w:rPr>
          <w:rFonts w:ascii="Times New Roman" w:hAnsi="Times New Roman"/>
          <w:color w:val="000000"/>
          <w:sz w:val="22"/>
          <w:u w:val="single"/>
        </w:rPr>
        <w:t>Section 5(g)</w:t>
      </w:r>
      <w:r>
        <w:rPr>
          <w:rFonts w:ascii="Times New Roman" w:hAnsi="Times New Roman"/>
          <w:color w:val="000000"/>
          <w:sz w:val="22"/>
        </w:rPr>
        <w:t xml:space="preserve">, the reimbursement of health insurance premiums payable to retain group health coverage as of the termination date for Executive and Executive’s eligible dependents for up to twelve (12) months in the same form and at the same time and under the same conditions as provided in </w:t>
      </w:r>
      <w:r>
        <w:rPr>
          <w:rFonts w:ascii="Times New Roman" w:hAnsi="Times New Roman"/>
          <w:color w:val="000000"/>
          <w:sz w:val="22"/>
          <w:u w:val="single"/>
        </w:rPr>
        <w:t>Section 5(a)(vi)</w:t>
      </w:r>
      <w:r>
        <w:rPr>
          <w:rFonts w:ascii="Times New Roman" w:hAnsi="Times New Roman"/>
          <w:color w:val="000000"/>
          <w:sz w:val="22"/>
        </w:rPr>
        <w:t xml:space="preserve">, (iii) a taxable monthly payment (which may be used for any purpose) equal to the actual COBRA reimbursement payment that Executive receives under </w:t>
      </w:r>
      <w:r>
        <w:rPr>
          <w:rFonts w:ascii="Times New Roman" w:hAnsi="Times New Roman"/>
          <w:color w:val="000000"/>
          <w:sz w:val="22"/>
          <w:u w:val="single"/>
        </w:rPr>
        <w:t>Section 5(e)(ii)</w:t>
      </w:r>
      <w:r>
        <w:rPr>
          <w:color w:val="000000"/>
        </w:rPr>
        <w:t xml:space="preserve"> </w:t>
      </w:r>
      <w:r>
        <w:rPr>
          <w:rFonts w:ascii="Times New Roman" w:hAnsi="Times New Roman"/>
          <w:color w:val="000000"/>
          <w:sz w:val="22"/>
        </w:rPr>
        <w:t xml:space="preserve">for any particular month, (iv) two hundred percent (200%) of Executive’s target bonus for the fiscal year during which termination occurs, but no less than two hundred percent (200%) of the target bonus in effect for the fiscal year immediately prior to the Change in Control if the Change in Control occurs within the first three (3) months of the fiscal year, payable at the same time as the payment under clause (i) of this </w:t>
      </w:r>
      <w:r>
        <w:rPr>
          <w:rFonts w:ascii="Times New Roman" w:hAnsi="Times New Roman"/>
          <w:color w:val="000000"/>
          <w:sz w:val="22"/>
          <w:u w:val="single"/>
        </w:rPr>
        <w:t>Section 5(e)</w:t>
      </w:r>
      <w:r>
        <w:rPr>
          <w:rFonts w:ascii="Times New Roman" w:hAnsi="Times New Roman"/>
          <w:color w:val="000000"/>
          <w:sz w:val="22"/>
        </w:rPr>
        <w:t xml:space="preserve">, (v) all outstanding unvested equity awards previously granted to Executive shall become immediately vested, with Performance-based Equity Awards vesting at target unless otherwise specified in the applicable Performance-based Equity Award’s award agreement (and, for clarity, any reference to the vesting date for purposes of settlement timing applicable to any restricted stock units or similar full-value awards that accelerate vesting under this </w:t>
      </w:r>
      <w:r>
        <w:rPr>
          <w:rFonts w:ascii="Times New Roman" w:hAnsi="Times New Roman"/>
          <w:color w:val="000000"/>
          <w:sz w:val="22"/>
          <w:u w:val="single"/>
        </w:rPr>
        <w:t>Section 5(e)(v)</w:t>
      </w:r>
      <w:r>
        <w:rPr>
          <w:color w:val="000000"/>
        </w:rPr>
        <w:t xml:space="preserve"> </w:t>
      </w:r>
      <w:r>
        <w:rPr>
          <w:rFonts w:ascii="Times New Roman" w:hAnsi="Times New Roman"/>
          <w:color w:val="000000"/>
          <w:sz w:val="22"/>
        </w:rPr>
        <w:t xml:space="preserve">refers to the date that such award no longer is subject to a substantial risk of forfeiture) and (vi) payment for executive outplacement assistance services with the Company’s then current outplacement services vendor and in accordance with the Company’s then current policies and practices with respect to outplacement assistance for other executives of the Company for up to twelve (12) months after the termination date (the payments and benefits set forth in </w:t>
      </w:r>
      <w:r>
        <w:rPr>
          <w:rFonts w:ascii="Times New Roman" w:hAnsi="Times New Roman"/>
          <w:color w:val="000000"/>
          <w:sz w:val="22"/>
          <w:u w:val="single"/>
        </w:rPr>
        <w:t>Sections 5(e)(i)-(vi)</w:t>
      </w:r>
      <w:r>
        <w:rPr>
          <w:color w:val="000000"/>
        </w:rPr>
        <w:t xml:space="preserve"> </w:t>
      </w:r>
      <w:r>
        <w:rPr>
          <w:rFonts w:ascii="Times New Roman" w:hAnsi="Times New Roman"/>
          <w:color w:val="000000"/>
          <w:sz w:val="22"/>
        </w:rPr>
        <w:t>shall be referred to as the “</w:t>
      </w:r>
      <w:r>
        <w:rPr>
          <w:rFonts w:ascii="Times New Roman" w:hAnsi="Times New Roman"/>
          <w:color w:val="000000"/>
          <w:sz w:val="22"/>
          <w:u w:val="single"/>
        </w:rPr>
        <w:t>Enhanced Severance Benefits</w:t>
      </w:r>
      <w:r>
        <w:rPr>
          <w:color w:val="000000"/>
        </w:rPr>
        <w:t>”</w:t>
      </w:r>
      <w:r>
        <w:rPr>
          <w:rFonts w:ascii="Times New Roman" w:hAnsi="Times New Roman"/>
          <w:color w:val="000000"/>
          <w:sz w:val="22"/>
        </w:rPr>
        <w:t>).</w:t>
      </w:r>
      <w:r>
        <w:rPr>
          <w:color w:val="00000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For the avoidance of doubt, if Executive’s termination without Cause (excluding due to Executive’s death or Incapacity) or resignation for Good Reason occurs prior to a Change in Control, then any unvested portion of Executive’s outstanding equity awards will remain outstanding until the earlier of (i) the date that is three (3) months following the termination of Executive’s employment or (ii) the date that a Change in Control occurs (provided that in no event will any of Executive’s equity awards remain outstanding beyond the equity award’s maximum term to expiration). In the event that a Change in Control does not occur by the date that is three (3) months following the termination of Executive’s employment, any unvested portion of Executive’s equity awards automatically will be forfeited permanently without having vested. Further, for any Performance-based Equity Awards, the performance-based vesting component of the equity awards shall not be deemed to be automatically achieved as a result of the application of </w:t>
      </w:r>
      <w:r>
        <w:rPr>
          <w:rFonts w:ascii="Times New Roman" w:hAnsi="Times New Roman"/>
          <w:color w:val="000000"/>
          <w:sz w:val="22"/>
          <w:u w:val="single"/>
        </w:rPr>
        <w:t>Section 5(e)(v)</w:t>
      </w:r>
      <w:r>
        <w:rPr>
          <w:rFonts w:ascii="Times New Roman" w:hAnsi="Times New Roman"/>
          <w:color w:val="000000"/>
          <w:sz w:val="20"/>
        </w:rPr>
        <w:t xml:space="preserve"> </w:t>
      </w:r>
      <w:r>
        <w:rPr>
          <w:rFonts w:ascii="Times New Roman" w:hAnsi="Times New Roman"/>
          <w:color w:val="000000"/>
          <w:sz w:val="22"/>
        </w:rPr>
        <w:t>but will remain outstanding during the three (3) month period following Executive’s termination or through the date of the Change in Control, as applicable, to determine whether a Change in Control would have occurred within three (3) months of the termination of Executive’s employment and, if so, the extent to which the performance condition is achieved, such determination to be made in accordance with the procedures set forth in the applicable award agreement. If the performance condition is satisfied and that would cause the award to become eligible to vest based on continued service, then clause (v) of this Section 5(e) will cause the service-based vesting component to be deemed satisfied and the vesting of the equity award will be accelerated as to the portion of the award that became eligible to vest. For clarity, if there is no service-based condition that applies with respect to any portion of such equity award upon such satisfaction of the performance condition, such portion of the equity award will immediately vest upon such satisfaction of the performance condition.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sake of clarity, if any payments or benefits are payable under this </w:t>
      </w:r>
      <w:r>
        <w:rPr>
          <w:rFonts w:ascii="Times New Roman" w:hAnsi="Times New Roman"/>
          <w:color w:val="000000"/>
          <w:sz w:val="22"/>
          <w:u w:val="single"/>
        </w:rPr>
        <w:t>Section 5(e)</w:t>
      </w:r>
      <w:r>
        <w:rPr>
          <w:rFonts w:ascii="Times New Roman" w:hAnsi="Times New Roman"/>
          <w:color w:val="000000"/>
          <w:sz w:val="22"/>
        </w:rPr>
        <w:t xml:space="preserve">, no payments or benefits shall be made under any other subsection of this </w:t>
      </w:r>
      <w:r>
        <w:rPr>
          <w:rFonts w:ascii="Times New Roman" w:hAnsi="Times New Roman"/>
          <w:color w:val="000000"/>
          <w:sz w:val="22"/>
          <w:u w:val="single"/>
        </w:rPr>
        <w:t>Section 5</w:t>
      </w:r>
      <w:r>
        <w:rPr>
          <w:rFonts w:ascii="Times New Roman" w:hAnsi="Times New Roman"/>
          <w:color w:val="000000"/>
          <w:sz w:val="22"/>
        </w:rPr>
        <w:t xml:space="preserve">, including </w:t>
      </w:r>
      <w:r>
        <w:rPr>
          <w:rFonts w:ascii="Times New Roman" w:hAnsi="Times New Roman"/>
          <w:color w:val="000000"/>
          <w:sz w:val="22"/>
          <w:u w:val="single"/>
        </w:rPr>
        <w:t>Section 5(a)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5(d)</w:t>
      </w:r>
      <w:r>
        <w:rPr>
          <w:rFonts w:ascii="Times New Roman" w:hAnsi="Times New Roman"/>
          <w:color w:val="000000"/>
          <w:sz w:val="22"/>
        </w:rPr>
        <w:t>, and any Enhanced Severance Benefits will be reduced by any Severance Benefits that may have been paid or provided with respect to any termination triggering Severance Benefits that occurs during the three-month period prior to a Change in Control (this provision, the “</w:t>
      </w:r>
      <w:r>
        <w:rPr>
          <w:rFonts w:ascii="Times New Roman" w:hAnsi="Times New Roman"/>
          <w:color w:val="000000"/>
          <w:sz w:val="22"/>
          <w:u w:val="single"/>
        </w:rPr>
        <w:t>Non-duplication Provision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2"/>
        </w:rPr>
        <w:t>As used in this Agreement, a “</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shall mean any of the following events:</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9</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A change in the ownership of the Company which occurs on the date that any one person, or more than one person acting as a group (“</w:t>
      </w:r>
      <w:r>
        <w:rPr>
          <w:rFonts w:ascii="Times New Roman" w:hAnsi="Times New Roman"/>
          <w:color w:val="000000"/>
          <w:sz w:val="22"/>
          <w:u w:val="single"/>
        </w:rPr>
        <w:t>Person</w:t>
      </w:r>
      <w:r>
        <w:rPr>
          <w:color w:val="000000"/>
        </w:rPr>
        <w:t>”</w:t>
      </w:r>
      <w:r>
        <w:rPr>
          <w:rFonts w:ascii="Times New Roman" w:hAnsi="Times New Roman"/>
          <w:color w:val="000000"/>
          <w:sz w:val="22"/>
        </w:rPr>
        <w:t>), acquires ownership of the stock of the Company that, together with the stock held by such Person, constitutes more than fifty percent (50%) of the total voting power of the stock of the Company; provided, however, that for purposes of this clause (i),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change in the effective control of the Company which occurs on the date that a majority of members of the Board is replaced during any twelve (12)-month period by members of the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clause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clause (iii)(B)(3). For purposes of this clause (iii), gross fair market value means the value of the assets of the Company, or the value of the assets being disposed of, determined without regard to any liabilities associated with such assets.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before="0" w:after="240"/>
        <w:jc w:val="both"/>
        <w:rPr>
          <w:rFonts w:ascii="Times New Roman" w:hAnsi="Times New Roman"/>
          <w:sz w:val="20"/>
        </w:rPr>
      </w:pPr>
      <w:r>
        <w:rPr>
          <w:rFonts w:ascii="Times New Roman" w:hAnsi="Times New Roman"/>
          <w:color w:val="000000"/>
          <w:sz w:val="22"/>
        </w:rPr>
        <w:t>Further and for the avoidance of doubt, a transaction will not constitute a Change in Control if: (i) its sole purpose is to change the state of the Company’s incorporation, or (ii) its sole purpose is to create a holding</w:t>
      </w:r>
      <w:r>
        <w:rPr>
          <w:rFonts w:ascii="Times New Roman" w:hAnsi="Times New Roman"/>
          <w:color w:val="000000"/>
          <w:sz w:val="20"/>
        </w:rPr>
        <w:t xml:space="preserve">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10</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that will be owned in substantially the same proportions by the persons who held the Company’s securities immediately before such transaction.</w:t>
      </w:r>
    </w:p>
    <w:p>
      <w:pPr>
        <w:pStyle w:val="TextBody"/>
        <w:bidi w:val="0"/>
        <w:spacing w:before="0" w:after="240"/>
        <w:jc w:val="both"/>
        <w:rPr>
          <w:rFonts w:ascii="Times New Roman" w:hAnsi="Times New Roman"/>
          <w:sz w:val="20"/>
        </w:rPr>
      </w:pPr>
      <w:r>
        <w:rPr>
          <w:rFonts w:ascii="Times New Roman" w:hAnsi="Times New Roman"/>
          <w:color w:val="000000"/>
          <w:sz w:val="22"/>
        </w:rPr>
        <w:t>As used in this Agreement, a “</w:t>
      </w:r>
      <w:r>
        <w:rPr>
          <w:rFonts w:ascii="Times New Roman" w:hAnsi="Times New Roman"/>
          <w:color w:val="000000"/>
          <w:sz w:val="22"/>
          <w:u w:val="single"/>
        </w:rPr>
        <w:t>Change in Control Period</w:t>
      </w:r>
      <w:r>
        <w:rPr>
          <w:rFonts w:ascii="Times New Roman" w:hAnsi="Times New Roman"/>
          <w:color w:val="000000"/>
          <w:sz w:val="20"/>
        </w:rPr>
        <w:t xml:space="preserve">” </w:t>
      </w:r>
      <w:r>
        <w:rPr>
          <w:rFonts w:ascii="Times New Roman" w:hAnsi="Times New Roman"/>
          <w:color w:val="000000"/>
          <w:sz w:val="22"/>
        </w:rPr>
        <w:t>shall mean the period beginning three (3) months prior to, and ending twenty-four (24) months following, a Change in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Voluntary Resignation without Good Reason</w:t>
      </w:r>
      <w:r>
        <w:rPr>
          <w:rFonts w:ascii="Times New Roman" w:hAnsi="Times New Roman"/>
          <w:color w:val="000000"/>
          <w:sz w:val="22"/>
        </w:rPr>
        <w:t xml:space="preserve">. Executive may terminate this Agreement without Good Reason effective on sixty (60) day’s written notice, unless the Company in its sole discretion accepts the resignation earlier. In the event that Executive resigns without Good Reason as defined above in </w:t>
      </w:r>
      <w:r>
        <w:rPr>
          <w:rFonts w:ascii="Times New Roman" w:hAnsi="Times New Roman"/>
          <w:color w:val="000000"/>
          <w:sz w:val="22"/>
          <w:u w:val="single"/>
        </w:rPr>
        <w:t>Section 5(d)</w:t>
      </w:r>
      <w:r>
        <w:rPr>
          <w:rFonts w:ascii="Times New Roman" w:hAnsi="Times New Roman"/>
          <w:color w:val="000000"/>
          <w:sz w:val="22"/>
        </w:rPr>
        <w:t xml:space="preserve">, Executive will be entitled only to the Accrued Benefits through the termination date. The Company will have no further obligation to pay any compensation of any kind (including without limitation any bonus or portion of a bonus that otherwise may have become due and payable to Executive with respect to the year in which such termination date occurs unless he/she remains employed with the Company as of the date bonuses are paid to other senior executives of the Company), or severance payments of any kind.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 xml:space="preserve">If the Company determines in its sole discretion that it cannot make the COBRA reimbursements under </w:t>
      </w:r>
      <w:r>
        <w:rPr>
          <w:rFonts w:ascii="Times New Roman" w:hAnsi="Times New Roman"/>
          <w:color w:val="000000"/>
          <w:sz w:val="22"/>
          <w:u w:val="single"/>
        </w:rPr>
        <w:t>Section 5(a)(vi)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5(e)(ii)</w:t>
      </w:r>
      <w:r>
        <w:rPr>
          <w:color w:val="000000"/>
        </w:rPr>
        <w:t xml:space="preserve"> </w:t>
      </w:r>
      <w:r>
        <w:rPr>
          <w:rFonts w:ascii="Times New Roman" w:hAnsi="Times New Roman"/>
          <w:color w:val="000000"/>
          <w:sz w:val="22"/>
        </w:rPr>
        <w:t>(the “</w:t>
      </w:r>
      <w:r>
        <w:rPr>
          <w:rFonts w:ascii="Times New Roman" w:hAnsi="Times New Roman"/>
          <w:color w:val="000000"/>
          <w:sz w:val="22"/>
          <w:u w:val="single"/>
        </w:rPr>
        <w:t>COBRA Reimbursements</w:t>
      </w:r>
      <w:r>
        <w:rPr>
          <w:color w:val="000000"/>
        </w:rPr>
        <w:t>”</w:t>
      </w:r>
      <w:r>
        <w:rPr>
          <w:rFonts w:ascii="Times New Roman" w:hAnsi="Times New Roman"/>
          <w:color w:val="000000"/>
          <w:sz w:val="22"/>
        </w:rPr>
        <w:t>) without potentially violating applicable law (including, without limitation, Section 2716 of the Public Health Service Act), the Company will in lieu thereof provide to Executive a taxable monthly payment, payable on the last day of a given month, in an amount equal to the monthly COBRA premium that the Executive would be required to pay to continue the Executive’s group health coverage in effect on the termination of employment date (which amount will be based on the premium for the first month of COBRA continuation coverage), which payments will be made regardless of whether the Executive elects COBRA continuation coverage and will commence on the month following the Executive’s termination of employment and will end on the earlier of (x) the date upon which the Executive obtains other employment or (y) the date the Company has paid an amount equal to 12 payments. For the avoidance of doubt, such taxable payments in lieu of COBRA Reimbursements (the “</w:t>
      </w:r>
      <w:r>
        <w:rPr>
          <w:rFonts w:ascii="Times New Roman" w:hAnsi="Times New Roman"/>
          <w:color w:val="000000"/>
          <w:sz w:val="22"/>
          <w:u w:val="single"/>
        </w:rPr>
        <w:t>COBRA Substitute Payments</w:t>
      </w:r>
      <w:r>
        <w:rPr>
          <w:color w:val="000000"/>
        </w:rPr>
        <w:t>”</w:t>
      </w:r>
      <w:r>
        <w:rPr>
          <w:rFonts w:ascii="Times New Roman" w:hAnsi="Times New Roman"/>
          <w:color w:val="000000"/>
          <w:sz w:val="22"/>
        </w:rPr>
        <w:t xml:space="preserve">) may be used for any purpose, including, but not limited to continuation coverage under COBRA, and will be subject to all applicable tax withholding. Notwithstanding anything to the contrary under this Agreement, if at any time the Company determines in its sole discretion that it cannot provide the COBRA Substitute Payments without violating applicable law (including, without limitation, Section 2716 of the Public Health Service Act), Executive will not receive the COBRA Substitute Payments or any further COBRA Reimbursements.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Proprietary Information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Proprietary Information and Confidentiality</w:t>
      </w:r>
      <w:r>
        <w:rPr>
          <w:rFonts w:ascii="Times New Roman" w:hAnsi="Times New Roman"/>
          <w:color w:val="000000"/>
          <w:sz w:val="22"/>
        </w:rPr>
        <w:t>. Both before and during the term of Executive’s employment, Executive will have access to and become acquainted with Company confidential and proprietary information (together “</w:t>
      </w:r>
      <w:r>
        <w:rPr>
          <w:rFonts w:ascii="Times New Roman" w:hAnsi="Times New Roman"/>
          <w:color w:val="000000"/>
          <w:sz w:val="22"/>
          <w:u w:val="single"/>
        </w:rPr>
        <w:t>Proprietary Information</w:t>
      </w:r>
      <w:r>
        <w:rPr>
          <w:color w:val="000000"/>
        </w:rPr>
        <w:t>”</w:t>
      </w:r>
      <w:r>
        <w:rPr>
          <w:rFonts w:ascii="Times New Roman" w:hAnsi="Times New Roman"/>
          <w:color w:val="000000"/>
          <w:sz w:val="22"/>
        </w:rPr>
        <w:t xml:space="preserve">), including but not limited to information or plans concerning the Company’s products and technologies; customer relationships; sales, marketing and financial operations and methods; trade secrets; formulae and secret developments and inventions; processes; and other compilations of information, records, and specifications. Executive will not disclose any of the Proprietary Information directly or indirectly, or use it in any way, either during his/her employment pursuant to this Agreement or at any time thereafter, except as reasonably required in the course of his/her employment with the Company or as authorized in writing by the Company. Notwithstanding the foregoing, Proprietary Information does not include information that is otherwise publicly known or available, provided it has not become public as a result of a breach of this Agreement or any other agreement Executive has to keep information confidential. Proprietary Information does not include general knowledge, skill, and experience Executive acquires during the course of or in connection with Executive’s employment with the Company or a former employer. It is not a breach of this Agreement for Executive to disclose Proprietary Information (i) pursuant to an order of a court or other governmental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11</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pPr>
      <w:r>
        <w:rPr>
          <w:rFonts w:ascii="Times New Roman" w:hAnsi="Times New Roman"/>
          <w:color w:val="000000"/>
          <w:sz w:val="22"/>
        </w:rPr>
        <w:t>or legal body or (ii) in connection with Protected Activity (as defined below). Executive understands that nothing in this Agreement shall in any way limit or prohibit Executive from engaging in any Protected Activity. For purposes of this Agreement, “</w:t>
      </w:r>
      <w:r>
        <w:rPr>
          <w:rFonts w:ascii="Times New Roman" w:hAnsi="Times New Roman"/>
          <w:color w:val="000000"/>
          <w:sz w:val="22"/>
          <w:u w:val="single"/>
        </w:rPr>
        <w:t>Protected Activity</w:t>
      </w:r>
      <w:r>
        <w:rPr>
          <w:color w:val="000000"/>
        </w:rPr>
        <w:t xml:space="preserve">” </w:t>
      </w:r>
      <w:r>
        <w:rPr>
          <w:rFonts w:ascii="Times New Roman" w:hAnsi="Times New Roman"/>
          <w:color w:val="000000"/>
          <w:sz w:val="22"/>
        </w:rPr>
        <w:t>includes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color w:val="000000"/>
          <w:sz w:val="22"/>
          <w:u w:val="single"/>
        </w:rPr>
        <w:t>Government Agencies</w:t>
      </w:r>
      <w:r>
        <w:rPr>
          <w:color w:val="000000"/>
        </w:rPr>
        <w:t>”</w:t>
      </w:r>
      <w:r>
        <w:rPr>
          <w:rFonts w:ascii="Times New Roman" w:hAnsi="Times New Roman"/>
          <w:color w:val="000000"/>
          <w:sz w:val="22"/>
        </w:rPr>
        <w:t>), including disclosing documents or other information as permitted by law. In addition, nothing in this Agreement, including its definition of Proprietary Information,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understands that Executive is not permitted to disclose the Company’s attorney-client privileged communications or attorney work product. In addition, I hereby acknowledge that the Company has provided me with notice in compliance with the Defend Trade Secrets Act of 2016 regarding immunity from liability for limited disclosures of trade secrets. The full text of the notice is attached in Exhibit A. Finally, Executive understands that nothing in this Agreement, including its definition of Proprietary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Inventions Agreement and Assignment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Executive hereby agrees to disclose promptly to the Company (or any persons designated by it) all developments, designs, creations, improvements, original works of authorship, formulas, processes, know-how, techniques and/or inventions (collectively, the “</w:t>
      </w:r>
      <w:r>
        <w:rPr>
          <w:rFonts w:ascii="Times New Roman" w:hAnsi="Times New Roman"/>
          <w:color w:val="000000"/>
          <w:sz w:val="22"/>
          <w:u w:val="single"/>
        </w:rPr>
        <w:t>Inventions</w:t>
      </w:r>
      <w:r>
        <w:rPr>
          <w:color w:val="000000"/>
        </w:rPr>
        <w:t>”</w:t>
      </w:r>
      <w:r>
        <w:rPr>
          <w:rFonts w:ascii="Times New Roman" w:hAnsi="Times New Roman"/>
          <w:color w:val="000000"/>
          <w:sz w:val="22"/>
        </w:rPr>
        <w:t>) (A) which are made or conceived or reduced to practice by Executive, either alone or jointly with others, in performing his/her duties during the period of Executive’s employment by the Company, that relate to or are useful in the business of the Company; or (B) which result from tasks assigned to Executive by the Company, or from Executive’s use of the premises or other resources owned, leased or contracted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Executive agrees that all such Inventions which the Company in its discretion determines to be related to or useful in its business or its research or development, or which result from work performed by Executive for the Company, will be the sole and exclusive property of the Company and its assigns, and the Company and its assigns will have the right to use and/or to apply for patents, copyrights or other statutory or common law protections for such Inventions in any and all countries. Executive further agrees to assist the Company in every reasonable way (but at the Company’s expense) to obtain and from time to time enforce patents, copyrights and other statutory or common law protections for such Inventions in any and all countries. To that end, Executive will execute all documents for use in applying for and obtaining such patents, copyrights and other statutory or common law protections therefor and enforcing the same, as the Company may desire, together with any assignments thereof to the Company or to persons or entities designated by the Company. Should the Company be unable to secure Executive’s signature on any document necessary to apply for, prosecute, obtain, or enforce any patent, copyright or other right or protection relating to any Invention, whether due to his/her mental or physical incapacity or any other cause, Executive hereby irrevocably designates and appoints the Company and each of its duly authorized officers and agents as Executive’s agent and attorney-in-fact, to act for and in his/her behalf and stead, to execute and file any such document, and to do all other lawfully permitted acts to further the prosecution, issuance, and enforcement of patents, copyrights or other rights or protections with the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12</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pPr>
      <w:r>
        <w:rPr>
          <w:rFonts w:ascii="Times New Roman" w:hAnsi="Times New Roman"/>
          <w:color w:val="000000"/>
          <w:sz w:val="22"/>
        </w:rPr>
        <w:t xml:space="preserve">same force and effect as if executed and delivered by Executive. Executive’s obligations under this </w:t>
      </w:r>
      <w:r>
        <w:rPr>
          <w:rFonts w:ascii="Times New Roman" w:hAnsi="Times New Roman"/>
          <w:color w:val="000000"/>
          <w:sz w:val="22"/>
          <w:u w:val="single"/>
        </w:rPr>
        <w:t>Section 6(b)(ii)</w:t>
      </w:r>
      <w:r>
        <w:rPr>
          <w:color w:val="000000"/>
        </w:rPr>
        <w:t xml:space="preserve"> </w:t>
      </w:r>
      <w:r>
        <w:rPr>
          <w:rFonts w:ascii="Times New Roman" w:hAnsi="Times New Roman"/>
          <w:color w:val="000000"/>
          <w:sz w:val="22"/>
        </w:rPr>
        <w:t>will continue beyond the termination of Executive’s employment with the Company, but the Company will compensate Executive at a reasonable rate after such termination for time actually spent by Executive at the Company’s request in providing such assistance.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 hereby acknowledges that all original works of authorship which are made by Executive (solely or jointly with others) within the scope of Executive’s employment which are protectable by copyright are “works for hire,” as that term is defined in the United States Copyright Act (17 USCA, Section 101).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provision in this Agreement requiring Executive to assign Executive’s rights in any Invention to the Company will not apply to any invention that is exempt under the provisions of California Labor Code section 2870, which provides:</w:t>
      </w:r>
    </w:p>
    <w:p>
      <w:pPr>
        <w:pStyle w:val="TextBody"/>
        <w:bidi w:val="0"/>
        <w:spacing w:before="0" w:after="120"/>
        <w:jc w:val="both"/>
        <w:rPr>
          <w:color w:val="000000"/>
        </w:rPr>
      </w:pPr>
      <w:r>
        <w:rPr>
          <w:color w:val="000000"/>
        </w:rPr>
        <w:t>“</w:t>
      </w:r>
      <w:r>
        <w:rPr>
          <w:rFonts w:ascii="Times New Roman" w:hAnsi="Times New Roman"/>
          <w:color w:val="000000"/>
          <w:sz w:val="22"/>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Non-Solicitation of Customers and Other Business Partners</w:t>
      </w:r>
      <w:r>
        <w:rPr>
          <w:rFonts w:ascii="Times New Roman" w:hAnsi="Times New Roman"/>
          <w:color w:val="000000"/>
          <w:sz w:val="22"/>
        </w:rPr>
        <w:t xml:space="preserve">. Executive recognizes that by virtue of his/her employment with the Company, he/she will be introduced to and involved in the solicitation and servicing of existing customers and other business partners of the Company and new customers and business partners obtained by the Company during his/her employment. Executive understands and agrees that all efforts expended in soliciting and servicing such customers and business partners shall be for the benefit of the Company. Executive further agrees that during his/her employment with the Company he/she will not engage in any conduct which could in any way jeopardize or disturb any of the customer and business partner relationships of the Company. In addition, to the extent permitted under applicable law, Executive agrees that, for a period beginning on the Effective Date and ending twelve (12) months after termination of Executive’s employment with the Company, regardless of the reason for such termination, Executive </w:t>
      </w:r>
      <w:r>
        <w:rPr>
          <w:rFonts w:ascii="Times New Roman" w:hAnsi="Times New Roman"/>
          <w:b/>
          <w:color w:val="000000"/>
          <w:sz w:val="22"/>
        </w:rPr>
        <w:t>shall not use any Proprietary Information to</w:t>
      </w:r>
      <w:r>
        <w:rPr>
          <w:rFonts w:ascii="Times New Roman" w:hAnsi="Times New Roman"/>
          <w:color w:val="000000"/>
          <w:sz w:val="22"/>
        </w:rPr>
        <w:t>, directly or indirectly, solicit, direct, interfere with, or entice away from the Company any existing customer, licensee, licensor, vendor, contractor or distributor of the Company or for the customer or other business partner to expand its business with a competitor, without the prior written consent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Non-Solicitation of Employees</w:t>
      </w:r>
      <w:r>
        <w:rPr>
          <w:rFonts w:ascii="Times New Roman" w:hAnsi="Times New Roman"/>
          <w:color w:val="000000"/>
          <w:sz w:val="22"/>
        </w:rPr>
        <w:t xml:space="preserve">. Executive recognizes the substantial expenditure of time and effort which the Company devotes to the recruitment, hiring, orientation, training and retention of its employees. Accordingly, Executive agrees that, for a period beginning on the Effective Date and ending twelve (12) months after termination of Executive’s employment with the Company, regardless of the reason for such termination, Executive </w:t>
      </w:r>
      <w:r>
        <w:rPr>
          <w:rFonts w:ascii="Times New Roman" w:hAnsi="Times New Roman"/>
          <w:b/>
          <w:color w:val="000000"/>
          <w:sz w:val="22"/>
        </w:rPr>
        <w:t>shall not use any Proprietary Information to</w:t>
      </w:r>
      <w:r>
        <w:rPr>
          <w:rFonts w:ascii="Times New Roman" w:hAnsi="Times New Roman"/>
          <w:color w:val="000000"/>
          <w:sz w:val="22"/>
        </w:rPr>
        <w:t xml:space="preserve">, directly or indirectly, for himself or on behalf of any other person or entity, solicit, offer employment to, hire or otherwise retain the services of any employee of the Company in a position classified as exempt from overtime pay requirements. For purposes of the foregoing, “employee of the Company” shall include any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13</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person who was an employee of the Company at any time within six (6) months prior to the prohibited conduct.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Company Property and Materials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files, records, documents, computer-recorded or electronic information, drawings, specifications, equipment, and similar items relating to Company business, whether prepared by Executive or otherwise coming into his/her possession, will remain the Company’s exclusive property and will not be removed from Company premises under any circumstances whatsoever without the Company’s prior written consent, except when, and only for the period, necessary to carry out Executive’s duties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termination of Executive’s employment for any reason, Executive will promptly deliver to the Company all Company equipment (including, without limitation, any cellular phones, beeper/pagers, computer hardware and software, fax machines and other tools of the trade) and all originals and copies of all documents, including without limitation, all books, customer lists, forms, documents supplied by customers, records, product lists, writings, manuals, reports, financial documents and other documents or property in Executive’s possession or control, which relate to the Company’s business in any way whatsoever, and in particular to customers of the Company, or which may be considered to constitute or contain Proprietary Information as defined above, and Executive will neither retain, reproduce, nor distribute copies thereof (other than copies of Executive’s electronic or hardcopy address and telephone contact data base or directories). Notwithstanding the foregoing, Executive shall be allowed to retain a copy of the Employee Handbook and personnel records relating to Executive’s employment.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Remedies for Breach</w:t>
      </w:r>
      <w:r>
        <w:rPr>
          <w:rFonts w:ascii="Times New Roman" w:hAnsi="Times New Roman"/>
          <w:color w:val="000000"/>
          <w:sz w:val="22"/>
        </w:rPr>
        <w:t xml:space="preserve">. Executive acknowledges that any breach by Executive of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would cause the Company irreparable injury and damage for which monetary damages are inadequate. Accordingly, in the event of a breach or a threatened breach of this </w:t>
      </w:r>
      <w:r>
        <w:rPr>
          <w:rFonts w:ascii="Times New Roman" w:hAnsi="Times New Roman"/>
          <w:color w:val="000000"/>
          <w:sz w:val="22"/>
          <w:u w:val="single"/>
        </w:rPr>
        <w:t>Section 6</w:t>
      </w:r>
      <w:r>
        <w:rPr>
          <w:rFonts w:ascii="Times New Roman" w:hAnsi="Times New Roman"/>
          <w:color w:val="000000"/>
          <w:sz w:val="22"/>
        </w:rPr>
        <w:t xml:space="preserve">, the Company will be entitled to seek an injunction restraining such breach. In addition, in the event of a breach of this </w:t>
      </w:r>
      <w:r>
        <w:rPr>
          <w:rFonts w:ascii="Times New Roman" w:hAnsi="Times New Roman"/>
          <w:color w:val="000000"/>
          <w:sz w:val="22"/>
          <w:u w:val="single"/>
        </w:rPr>
        <w:t>Section 6</w:t>
      </w:r>
      <w:r>
        <w:rPr>
          <w:rFonts w:ascii="Times New Roman" w:hAnsi="Times New Roman"/>
          <w:color w:val="000000"/>
          <w:sz w:val="22"/>
        </w:rPr>
        <w:t xml:space="preserve">, the Company’s obligation to pay any unpaid portion of the Severance Benefits, the Enhanced Severance Benefits, or the Termination Notice Replacement Payments of this Agreement will be extinguished. Nothing contained herein will be construed as prohibiting the Company from pursuing any other remedy available to the Company for such breach or such threatened breach. Executive has carefully read and considered these restrictions and agrees they are fair and reasonable restrictions on Executive and are reasonably required for the protection of the interests of the Company. Executive agrees not to circumvent the spirit of these restrictions by attempting to accomplish indirectly what Executive is otherwise restricted from doing directly. Executive agrees that the restrictions in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are reasonable and necessary to protect the Company’s Proprietary Information, and they do not prevent Executive from working in the medical device industry. Executive agrees that the covenants and agreements by Executive contained in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shall be in addition to any other agreements and covenants Executive may have agreed to in any other employee proprietary information, confidentiality, non-disclosure or other similar agreement and that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shall not be deemed to limit such other covenants and agreements, all of which shall continue to survive the termination of this Agreement in accordance with their respective terms. A breach by Executive of the terms of such other agreements and covenants shall be deemed to be a breach by Executive of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and of this Agreement. To the extent any of the provisions in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are held to be overly broad or otherwise unenforceable at the time enforcement is sought, Executive agrees that the provision shall be reformed and enforced to the greatest extent permissible by law. Executive further agrees that if any portion of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is held to be unenforceable, the remaining provisions of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shall be enforced as written.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14</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 xml:space="preserve">Interpretation, Governing Law and Exclusive Forum. </w:t>
      </w:r>
      <w:r>
        <w:rPr>
          <w:rFonts w:ascii="Times New Roman" w:hAnsi="Times New Roman"/>
          <w:color w:val="000000"/>
          <w:sz w:val="22"/>
        </w:rPr>
        <w:t>The validity, interpretation, construction, and performance of this Agreement shall be governed by the laws of the State of California (excluding any that mandate the use of another jurisdiction’s laws). Any arbitration (unless otherwise mutually agreed), litigation or similar proceeding with respect to such matters only may be brought within Santa Clara County, California, and all parties to this Agreement consent to California’s jurisdiction.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 xml:space="preserve">Entire Agreement. </w:t>
      </w:r>
      <w:r>
        <w:rPr>
          <w:rFonts w:ascii="Times New Roman" w:hAnsi="Times New Roman"/>
          <w:color w:val="000000"/>
          <w:sz w:val="22"/>
        </w:rPr>
        <w:t xml:space="preserve">All oral or written agreements or representations, express or implied, with respect to the subject matter of this Agreement are set forth in this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 xml:space="preserve">Severability. </w:t>
      </w:r>
      <w:r>
        <w:rPr>
          <w:rFonts w:ascii="Times New Roman" w:hAnsi="Times New Roman"/>
          <w:color w:val="000000"/>
          <w:sz w:val="22"/>
        </w:rPr>
        <w:t>In the event that one or more of the provisions contained in this Agreement are held to be invalid, illegal or unenforceable in any respect by a court of competent jurisdiction, such holding shall not impair the validity, legality or enforceability of the remaining provisions herein.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 xml:space="preserve">Successors and Assigns. </w:t>
      </w:r>
      <w:r>
        <w:rPr>
          <w:rFonts w:ascii="Times New Roman" w:hAnsi="Times New Roman"/>
          <w:color w:val="000000"/>
          <w:sz w:val="22"/>
        </w:rPr>
        <w:t xml:space="preserve">This Agreement shall be binding upon, and shall inure to the benefit of, Executive and his/her estate, but Executive may not assign or pledge this Agreement or any rights arising under it, except to the extent permitted under the terms of the benefit plans in which he/she participates. No rights or obligations of the Company under this Agreement may be assigned or transferred except that the Company shall require any successor (whether direct or indirect, by purchase, merger, reorganization, sale, transfer of stock, consideration or otherwise) to all or substantially all of the business and/or assets of the Company to expressly assume and agree to perform this Agreement in the same manner and to the same extent that the Company would be required to perform it if no succession had taken place. As used in this Agreement, “Company” means the Company as hereinbefore defined and any successor to its business and/or assets (by merger, purchase or otherwise as provided in this </w:t>
      </w:r>
      <w:r>
        <w:rPr>
          <w:rFonts w:ascii="Times New Roman" w:hAnsi="Times New Roman"/>
          <w:color w:val="000000"/>
          <w:sz w:val="22"/>
          <w:u w:val="single"/>
        </w:rPr>
        <w:t>Section 10</w:t>
      </w:r>
      <w:r>
        <w:rPr>
          <w:rFonts w:ascii="Times New Roman" w:hAnsi="Times New Roman"/>
          <w:color w:val="000000"/>
          <w:sz w:val="22"/>
        </w:rPr>
        <w:t xml:space="preserve">) which executes and delivers the agreement provided for in this </w:t>
      </w:r>
      <w:r>
        <w:rPr>
          <w:rFonts w:ascii="Times New Roman" w:hAnsi="Times New Roman"/>
          <w:color w:val="000000"/>
          <w:sz w:val="22"/>
          <w:u w:val="single"/>
        </w:rPr>
        <w:t>Section 10</w:t>
      </w:r>
      <w:r>
        <w:rPr>
          <w:color w:val="000000"/>
        </w:rPr>
        <w:t xml:space="preserve"> </w:t>
      </w:r>
      <w:r>
        <w:rPr>
          <w:rFonts w:ascii="Times New Roman" w:hAnsi="Times New Roman"/>
          <w:color w:val="000000"/>
          <w:sz w:val="22"/>
        </w:rPr>
        <w:t>or which otherwise becomes bound by all the terms and provisions of this Agreement by operation of law. In the event that any successor refuses to assume the obligations hereunder, the Company as hereinbefore defined shall remain fully responsible for all obligations hereunder.</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120"/>
        <w:jc w:val="both"/>
        <w:rPr/>
      </w:pPr>
      <w:r>
        <w:rPr>
          <w:rFonts w:ascii="Times New Roman" w:hAnsi="Times New Roman"/>
          <w:b/>
          <w:color w:val="000000"/>
          <w:sz w:val="22"/>
        </w:rPr>
        <w:t xml:space="preserve">Notices. </w:t>
      </w:r>
      <w:r>
        <w:rPr>
          <w:rFonts w:ascii="Times New Roman" w:hAnsi="Times New Roman"/>
          <w:color w:val="000000"/>
          <w:sz w:val="22"/>
        </w:rPr>
        <w:t xml:space="preserve">All notices, requests, demands and other communications hereunder shall be in writing and shall be given by hand delivery, electronic mail, facsimile, telecopy, overnight courier service, or by United States certified or registered mail, return receipt requested. Each such notice, request, demand or other communication shall be effective (i) if delivered by hand or by overnight courier service, when delivered at the address specified in this </w:t>
      </w:r>
      <w:r>
        <w:rPr>
          <w:rFonts w:ascii="Times New Roman" w:hAnsi="Times New Roman"/>
          <w:color w:val="000000"/>
          <w:sz w:val="22"/>
          <w:u w:val="single"/>
        </w:rPr>
        <w:t>Section 11</w:t>
      </w:r>
      <w:r>
        <w:rPr>
          <w:rFonts w:ascii="Times New Roman" w:hAnsi="Times New Roman"/>
          <w:color w:val="000000"/>
          <w:sz w:val="22"/>
        </w:rPr>
        <w:t xml:space="preserve">; (ii) if given by electronic mail, facsimile or telecopy, when such electronic mail, facsimile or telecopy is transmitted to the electronic mail address or facsimile or telecopy number specified in this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and confirmation is received if during normal business hours on a business day, and otherwise, on the next business day; and (iii) if given by certified or registered mail, three (3) days after the mailing thereof. Notices shall be addressed to the parties as follows (or at such other address, email address or fax number as either party may from time to time specify in writing by giving notice as provided herein):</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If to the Company: Accuray Incorporated</w:t>
        <w:br/>
        <w:t>3979 Freedom Circle, Suite 700</w:t>
        <w:br/>
        <w:t xml:space="preserve">Santa Clara, CA 95054 </w:t>
        <w:br/>
        <w:t>Attn: Chief Legal Officer</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 xml:space="preserve">If to Executive: Leonel Peralta </w:t>
        <w:br/>
        <w:t>Address: most recent on file with the Company</w:t>
        <w:br/>
        <w:t>Email: most recent on file with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rFonts w:ascii="Times New Roman" w:hAnsi="Times New Roman"/>
          <w:b/>
          <w:color w:val="000000"/>
          <w:sz w:val="22"/>
        </w:rPr>
        <w:t>Indemnification</w:t>
      </w:r>
      <w:r>
        <w:rPr>
          <w:rFonts w:ascii="Times New Roman" w:hAnsi="Times New Roman"/>
          <w:color w:val="000000"/>
          <w:sz w:val="22"/>
        </w:rPr>
        <w:t xml:space="preserve">. As soon as reasonably practicable after the due execution of this Agreement by each of the parties hereto, the Company and Executive will enter into the Company’s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15</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pPr>
      <w:r>
        <w:rPr>
          <w:rFonts w:ascii="Times New Roman" w:hAnsi="Times New Roman"/>
          <w:color w:val="000000"/>
          <w:sz w:val="22"/>
        </w:rPr>
        <w:t>standard form of indemnification agreement utilized by the Company for its directors and executive officers unless such an agreement is already in effect.</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rFonts w:ascii="Times New Roman" w:hAnsi="Times New Roman"/>
          <w:b/>
          <w:color w:val="000000"/>
          <w:sz w:val="22"/>
        </w:rPr>
        <w:t xml:space="preserve">Dispute Resolution. </w:t>
      </w:r>
      <w:r>
        <w:rPr>
          <w:rFonts w:ascii="Times New Roman" w:hAnsi="Times New Roman"/>
          <w:color w:val="000000"/>
          <w:sz w:val="22"/>
        </w:rPr>
        <w:t>The parties agree that all disputes, claims or controversies between them and between Executive and any of the Company’s affiliated entities and the successor of all such entities, including any dispute, claim or controversy arising from or otherwise in connection with this Agreement and/or Executive’s employment with the Company, will be resolved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initiating any other proceeding, the complaining party will provide the other party with a written statement of the claim identifying any supporting witnesses or documents and the requested relief. The responding party shall within forty-five (45) days furnish a statement of the relief, if any, that it is willing to provide, and identify supporting witnesses or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matter is not resolved by the exchange of statements of claim and statements of response as provided herein, the parties shall submit the dispute to non-binding mediation, the cost of the mediator to be paid by the Company, before a mediator and/or service to be jointly selected by the parties. Each party will bear his/her or its own attorney’s fees and witness fees.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If the parties cannot agree on a mediator and/or if the matter is not otherwise resolved by mediation, any controversy or claim between Executive and the Company and any of its current or former directors, officers and employees, including any arising out of or relating to this Agreement or breach thereof, shall be settled by final and binding arbitration pursuant to the Federal Arbitration Act (9 U.S.C. Sec. 1 Et Seq.) (the “</w:t>
      </w:r>
      <w:r>
        <w:rPr>
          <w:rFonts w:ascii="Times New Roman" w:hAnsi="Times New Roman"/>
          <w:color w:val="000000"/>
          <w:sz w:val="22"/>
          <w:u w:val="single"/>
        </w:rPr>
        <w:t>FAA</w:t>
      </w:r>
      <w:r>
        <w:rPr>
          <w:color w:val="000000"/>
        </w:rPr>
        <w:t>”</w:t>
      </w:r>
      <w:r>
        <w:rPr>
          <w:rFonts w:ascii="Times New Roman" w:hAnsi="Times New Roman"/>
          <w:color w:val="000000"/>
          <w:sz w:val="22"/>
        </w:rPr>
        <w:t>), which shall take place in Santa Clara County, California, or elsewhere as mutually agreed by the parties, before a single, neutral, arbitrator pursuant to the Employment Dispute Rules of Judicial Arbitration and Mediation Services, Inc. (“</w:t>
      </w:r>
      <w:r>
        <w:rPr>
          <w:rFonts w:ascii="Times New Roman" w:hAnsi="Times New Roman"/>
          <w:color w:val="000000"/>
          <w:sz w:val="22"/>
          <w:u w:val="single"/>
        </w:rPr>
        <w:t>JAMS</w:t>
      </w:r>
      <w:r>
        <w:rPr>
          <w:color w:val="000000"/>
        </w:rPr>
        <w:t>”</w:t>
      </w:r>
      <w:r>
        <w:rPr>
          <w:rFonts w:ascii="Times New Roman" w:hAnsi="Times New Roman"/>
          <w:color w:val="000000"/>
          <w:sz w:val="22"/>
        </w:rPr>
        <w:t xml:space="preserve">), unless the parties to the dispute agree to another arbitration service or independent arbitrator. The parties may conduct discovery to the extent permitted in a court of law; the arbitrator will render an award together with a written opinion indicating the bases for such opinion; and the arbitrator will have full authority to award all remedies that would be available in court. Judgment upon the award rendered by the arbitrator may be entered in any court having jurisdiction thereof. Each party shall bear its own attorney’s fees and costs, unless the claim is based on a statute that provides otherwise. The Company will pay the arbitrator’s fees and any administrative charges of the arbitration service, except that if Executive initiates the claim, he/she will pay a portion of the administrative charges equal to the amount he/she would have paid to initiate the claim in a court of general jurisdiction.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EXECUTIVE AND THE COMPANY FURTHER AGREE THAT, TO THE FULLEST EXTENT PERMITTED BY LAW, EXECUTIVE MAY BRING ANY ARBITRATION PROCEEDING ONLY IN EXECUTIVE’S INDIVIDUAL CAPACITY, AND NOT AS A PLAINTIFF, REPRESENTATIVE, OR CLASS MEMBER IN ANY PURPORTED CLASS OR COLLECTIVE ACTION, LAWSUIT OR PROCEEDING. EXECUTIVE AGREES THAT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PERSONS. EXECUTIVE AND THE COMPANY AGREE THAT THIS ARBITRATION PROCEDURE WILL BE THE EXCLUSIVE MEANS OF REDRESS FOR ANY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16</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DISPUTES RELATING TO OR ARISING FROM EXECUTIVE’S EMPLOYMENT WITH THE COMPANY OR TERMINATION THEREFROM, INCLUDING DISPUTES OVER UNPAID WAGES, BREACH OF CONTRACT OR TORT, VIOLATION OF PUBLIC POLICY, RIGHTS PROVIDED BY FEDERAL, STATE OR LOCAL STATUTES, REGULATIONS, ORDINANCES, AND COMMON LAW, LAWS THAT PROHIBIT DISCRIMINATION BASED ON ANY PROTECTED CLASSIFICATION, AND ANY OTHER STATUTES OR LAWS RELATING TO AN EXECUTIVE’S RELATIONSHIP WITH THE COMPANY. THE FOREGOING NOTWITHSTANDING, CLAIMS FOR WORKERS’ COMPENSATION BENEFITS OR UNEMPLOYMENT INSURANCE, OR ANY OTHER CLAIMS WHERE MANDATORY ARBITRATION IS PROHIBITED BY LAW, ARE NOT COVERED BY THIS ARBITRATION PROVISION. THE PARTIES EXPRESSLY WAIVE THE RIGHT TO A JURY TRIAL, AND AGREE THAT THE ARBITRATOR’S AWARD SHALL BE FINAL AND BINDING ON BOTH PARTIES. THIS ARBITRATION PROVISION IS TO BE CONSTRUED AS BROADLY AS IS PERMISSIBLE UNDER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 xml:space="preserve">Representations. </w:t>
      </w:r>
      <w:r>
        <w:rPr>
          <w:rFonts w:ascii="Times New Roman" w:hAnsi="Times New Roman"/>
          <w:color w:val="000000"/>
          <w:sz w:val="22"/>
        </w:rPr>
        <w:t xml:space="preserve">Each person executing this Agreement hereby represents and warrants on behalf of himself/herself and of the entity/individual on whose behalf he/she is executing the Agreement that he/she is authorized to represent and bind the entity/individual on whose behalf he/she is executing the Agreement. Executive specifically represents and warrants to the Company that he/she reasonably believes (a) he/she is not under any contractual or other obligations that would prevent, limit or impair Executive’s performance of his/her obligations under this Agreement and (b) that entering into this Agreement will not result in a breach of any other agreement to which he/she is a party. Executive acknowledges that Executive has been given the opportunity to consult with legal counsel and seek such advice and consultation as Executive deems appropriate or necessary.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15.</w:t>
      </w:r>
    </w:p>
    <w:p>
      <w:pPr>
        <w:pStyle w:val="TextBody"/>
        <w:bidi w:val="0"/>
        <w:spacing w:before="0" w:after="120"/>
        <w:jc w:val="both"/>
        <w:rPr/>
      </w:pPr>
      <w:r>
        <w:rPr>
          <w:rFonts w:ascii="Times New Roman" w:hAnsi="Times New Roman"/>
          <w:b/>
          <w:color w:val="000000"/>
          <w:sz w:val="22"/>
        </w:rPr>
        <w:t xml:space="preserve">Amendments and Waivers. </w:t>
      </w:r>
      <w:r>
        <w:rPr>
          <w:rFonts w:ascii="Times New Roman" w:hAnsi="Times New Roman"/>
          <w:color w:val="000000"/>
          <w:sz w:val="22"/>
        </w:rPr>
        <w:t>No provisions of this Agreement may be modified, waived, or discharged except by a written document signed by Executive and a duly authorized Company officer. Thus, for example, promotions, commendations, and/or bonuses shall not, by themselves, modify, amend, or extend this Agreement. A waiver of any conditions or provisions of this Agreement in a given instance shall not be deemed a waiver of such conditions or provisions at any other time.</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16.</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 xml:space="preserve">Taxes.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pPr>
      <w:r>
        <w:rPr>
          <w:rFonts w:ascii="Times New Roman" w:hAnsi="Times New Roman"/>
          <w:color w:val="000000"/>
          <w:sz w:val="22"/>
          <w:u w:val="single"/>
        </w:rPr>
        <w:t>Withholdings</w:t>
      </w:r>
      <w:r>
        <w:rPr>
          <w:rFonts w:ascii="Times New Roman" w:hAnsi="Times New Roman"/>
          <w:color w:val="000000"/>
          <w:sz w:val="22"/>
        </w:rPr>
        <w:t xml:space="preserve">. The Company may withhold from any compensation and benefits payable under this Agreement all federal, state, city and other taxes or amounts as shall be determined by the Company to be required to be withheld pursuant to applicable laws, or governmental regulations or rulings. Executive shall be solely responsible for the satisfaction of any taxes (including employment taxes imposed on employees and penalty taxes on nonqualified deferred compensation).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color w:val="000000"/>
          <w:sz w:val="22"/>
          <w:u w:val="single"/>
        </w:rPr>
        <w:t>Net Proceeds Maximization</w:t>
      </w:r>
      <w:r>
        <w:rPr>
          <w:rFonts w:ascii="Times New Roman" w:hAnsi="Times New Roman"/>
          <w:color w:val="000000"/>
          <w:sz w:val="22"/>
        </w:rPr>
        <w:t>. Notwithstanding any provision of this Agreement to the contrary, if all or any portion of the payments or benefits received or realized by Executive pursuant to this Agreement either alone or together with other payments or benefits that Executive receives or realizes or is then entitled to receive or realize from the Company or any of its affiliates (“</w:t>
      </w:r>
      <w:r>
        <w:rPr>
          <w:rFonts w:ascii="Times New Roman" w:hAnsi="Times New Roman"/>
          <w:color w:val="000000"/>
          <w:sz w:val="22"/>
          <w:u w:val="single"/>
        </w:rPr>
        <w:t>Potential Parachute Payments</w:t>
      </w:r>
      <w:r>
        <w:rPr>
          <w:color w:val="000000"/>
        </w:rPr>
        <w:t>”</w:t>
      </w:r>
      <w:r>
        <w:rPr>
          <w:rFonts w:ascii="Times New Roman" w:hAnsi="Times New Roman"/>
          <w:color w:val="000000"/>
          <w:sz w:val="22"/>
        </w:rPr>
        <w:t>) would constitute a “parachute payment” within the meaning of section 280G of the Internal Revenue Code of 1986, as amended (the “</w:t>
      </w:r>
      <w:r>
        <w:rPr>
          <w:rFonts w:ascii="Times New Roman" w:hAnsi="Times New Roman"/>
          <w:color w:val="000000"/>
          <w:sz w:val="22"/>
          <w:u w:val="single"/>
        </w:rPr>
        <w:t>Code</w:t>
      </w:r>
      <w:r>
        <w:rPr>
          <w:color w:val="000000"/>
        </w:rPr>
        <w:t>”</w:t>
      </w:r>
      <w:r>
        <w:rPr>
          <w:rFonts w:ascii="Times New Roman" w:hAnsi="Times New Roman"/>
          <w:color w:val="000000"/>
          <w:sz w:val="22"/>
        </w:rPr>
        <w:t>), and/or any corresponding and applicable state law provision, the Potential Parachute Payments will be reduced by reducing the amount of the Potential Parachute Payments to the extent necessary so</w:t>
      </w:r>
      <w:r>
        <w:rPr>
          <w:color w:val="000000"/>
        </w:rPr>
        <w:t xml:space="preserve"> </w:t>
      </w:r>
      <w:r>
        <w:rPr>
          <w:rFonts w:ascii="Times New Roman" w:hAnsi="Times New Roman"/>
          <w:color w:val="000000"/>
          <w:sz w:val="22"/>
        </w:rPr>
        <w:t xml:space="preserve">that no portion of the Potential Parachute Payments will be subject to the excise tax imposed by section 4999 of the Code and any corresponding and/or applicable state law provision. A reduction will be made under the previous sentence only if, by reason of that reduction, Executive's net after tax benefit exceeds the net after tax benefit he/she would realize if the reduction were not made. For purposes of this paragraph, “net after tax benefit” means the sum of (i) the total amount received or realized by Executive pursuant to this Agreement that would constitute a “parachute payment” within the meaning of section 280G of the Code and any corresponding and applicable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17</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120"/>
        <w:jc w:val="both"/>
        <w:rPr/>
      </w:pPr>
      <w:r>
        <w:rPr>
          <w:rFonts w:ascii="Times New Roman" w:hAnsi="Times New Roman"/>
          <w:color w:val="000000"/>
          <w:sz w:val="22"/>
        </w:rPr>
        <w:t>state law provision, plus (ii) all other payments or benefits that Executive receives or realizes or is then entitled to receive or realize from the Company and any of its affiliates that would constitute a “parachute payment” within the meaning of Section 280G of the Code and any corresponding and applicable state law provision, less (iii) the amount of federal or state income taxes payable with respect to the payments or benefits described in (i) and (ii) above calculated at the maximum marginal individual income tax rate for each year in which payments or benefits are realized by Executive (based upon the rate in effect for that year as set forth in the Code at the time of the first receipt or realization of the foregoing), less (iv) the amount of excise taxes imposed with respect to the payments or benefits described in (i) and (ii) above by section 4999 of the Code and any corresponding and applicable state law provision. All determinations and calculations made in this paragraph shall be made by an independent accounting firm selected by the Company prior to the Change in Control (the “</w:t>
      </w:r>
      <w:r>
        <w:rPr>
          <w:rFonts w:ascii="Times New Roman" w:hAnsi="Times New Roman"/>
          <w:color w:val="000000"/>
          <w:sz w:val="22"/>
          <w:u w:val="single"/>
        </w:rPr>
        <w:t>Accounting Firm</w:t>
      </w:r>
      <w:r>
        <w:rPr>
          <w:color w:val="000000"/>
        </w:rPr>
        <w:t>”</w:t>
      </w:r>
      <w:r>
        <w:rPr>
          <w:rFonts w:ascii="Times New Roman" w:hAnsi="Times New Roman"/>
          <w:color w:val="000000"/>
          <w:sz w:val="22"/>
        </w:rPr>
        <w:t xml:space="preserve">) and the Company will bear all costs and expenses incurred by the Accounting Firm in connection with its determination. The Accounting Firm shall be a nationally recognized United States public accounting firm which has not, during the two (2) years preceding the date of its selection, acted in any way on behalf of (x) the Company or any affiliate thereof or (y) Executive. If any payments or benefits are reduced pursuant to this </w:t>
      </w:r>
      <w:r>
        <w:rPr>
          <w:rFonts w:ascii="Times New Roman" w:hAnsi="Times New Roman"/>
          <w:color w:val="000000"/>
          <w:sz w:val="22"/>
          <w:u w:val="single"/>
        </w:rPr>
        <w:t>Section 16(b)</w:t>
      </w:r>
      <w:r>
        <w:rPr>
          <w:rFonts w:ascii="Times New Roman" w:hAnsi="Times New Roman"/>
          <w:color w:val="000000"/>
          <w:sz w:val="22"/>
        </w:rPr>
        <w:t>, they shall be reduced in the following order: First all payments and benefits that do not constitute “nonqualified deferred compensation” within the meaning of Section 409A or that are exempt from Section 409A (with the payments or benefits being reduced in reverse order of when they otherwise would be made or provided); second, all payments or benefits that constitute “nonqualified deferred compensation” within the meaning of Section 409A that are not exempt from Section 409A that were granted to Executive in the 12-month period of time preceding the applicable Change in Control, in the order such benefits were granted to Executive; and third, all remaining payments and benefits shall be reduced pro-rata. Notwithstanding the foregoing, if (i) reducing payments or benefits in the order described above would result in the imposition on Executive of an additional tax under Section 409A, (ii) Executive so notifies the Company before such reductions and payments are made and benefits provided, and (iii) reducing the payments or benefits in another order would not result in the imposition on Executive of an additional tax under Section 409A , payments and benefits shall instead be reduced in such other order.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color w:val="000000"/>
          <w:sz w:val="22"/>
          <w:u w:val="single"/>
        </w:rPr>
        <w:t>Section 409A Compliance</w:t>
      </w:r>
      <w:r>
        <w:rPr>
          <w:rFonts w:ascii="Times New Roman" w:hAnsi="Times New Roman"/>
          <w:color w:val="000000"/>
          <w:sz w:val="22"/>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With respect to any reimbursement of expenses or any provision of in-kind benefits to Executive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arrangements providing for the reimbursement of expenses referred to in section 105(b) of the Code; (2) the reimbursement of an eligible expense shall be made no later than the end of the year following the year in which such expense was incurred; and (3) the right to reimbursement or in-kind benefits shall not be subject to liquidation or exchange for another benefit. To the extent any bonus that becomes payable to Executive under the Bonus Plan constitutes “deferred compensation” within the meaning of Section 409A of the Code, then notwithstanding any payment timing provisions in the Bonus Plan to the contrary, such payment will be made in the calendar year in which the applicable performance period ends.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termination of employment shall not be deemed to have occurred for purposes of any provision of this Agreement providing for the payment of any amounts or benefits considered “deferred compensation” (as defined under Treasury Regulation section 1.409A-1(b)(1), after giving effect to the exemptions in Treasury Regulation sections 1.409A-1(b)(3) through (b)(12))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within the meaning of Section 409A.</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18</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20"/>
        <w:jc w:val="both"/>
        <w:rPr/>
      </w:pPr>
      <w:r>
        <w:rPr>
          <w:rFonts w:ascii="Times New Roman" w:hAnsi="Times New Roman"/>
          <w:color w:val="000000"/>
          <w:sz w:val="22"/>
        </w:rPr>
        <w:t>Notwithstanding anything in this Agreement to the contrary, if a payment obligation arises on account of Executive’s separation from service while Executive is a “specified employee” as described in Section 409A of the Code and any final regulations and guidance thereunder and any applicable state or local law equivalent, as each may be amended or promulgated from time to time (collectively, “</w:t>
      </w:r>
      <w:r>
        <w:rPr>
          <w:rFonts w:ascii="Times New Roman" w:hAnsi="Times New Roman"/>
          <w:color w:val="000000"/>
          <w:sz w:val="22"/>
          <w:u w:val="single"/>
        </w:rPr>
        <w:t>Section 409A</w:t>
      </w:r>
      <w:r>
        <w:rPr>
          <w:color w:val="000000"/>
        </w:rPr>
        <w:t>”</w:t>
      </w:r>
      <w:r>
        <w:rPr>
          <w:rFonts w:ascii="Times New Roman" w:hAnsi="Times New Roman"/>
          <w:color w:val="000000"/>
          <w:sz w:val="22"/>
        </w:rPr>
        <w:t>), and as determined by Company in accordance with its procedures, by which determination Executive is bound, any payment of “deferred compensation” (as defined under Treasury Regulation section 1.409A-1(b)(1), after giving effect to the exemptions in Treasury Regulation sections 1.409A-1(b)(3) through (b)(12)) shall be made on the first business day of the seventh month following the date of Executive’s separation from service (or, if earlier, within fifteen (15) days after the appointment of the personal representative or executor of Executive’s estate following Executive’s death) together with interest on them for the period of delay at a rate equal to the average prime interest rate published in the Wall Street Journal on any day chosen by the Company during that period. Thereafter, Executive shall receive any remaining payments as if there had not been an earlier delay.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Notwithstanding anything to the contrary contained in this Agreement, (i) the Executive shall have no legally-enforceable right to, and the Company shall have no obligation to make, any payment or provide any benefit to Executive if having such a right or obligation would result in the imposition of additional taxes under Section 409A, and (ii) any provision that would cause any payment or benefit to fail to satisfy Section 409A will have no force and effect until amended to comply therewith (which amendment may be retroactive to the extent permitted by Section 409A and may be accomplished by the Company without the Executive’s consent). Each payment made under this Agreement is intended to be a separate payment for the purposes of section 409A of the Code.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The Company does not guarantee any particular tax effect to Executive under this Agreement. Company shall not be liable to Executive for reporting in good faith any payment made under this Agreement as an amount includible in gross income under Section 409A. In no event will the Company or any of its affiliates have any obligation, liability or responsibility to reimburse or indemnify Executive or hold Executive harmless for any taxes imposed, or other costs incurred, as a result of Section 409A. The parties intend this Agreement to be exempt from, or comply with, the requirements of Section 409A so that none of the payments and benefits to be provided hereunder will be subject to the additional tax imposed by Section 409A. Any ambiguities or ambiguous terms shall be interpreted to so be exempt or comply, and this Agreement shall be administered in accordance with such intent.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17.</w:t>
      </w:r>
    </w:p>
    <w:p>
      <w:pPr>
        <w:pStyle w:val="TextBody"/>
        <w:bidi w:val="0"/>
        <w:spacing w:before="0" w:after="120"/>
        <w:jc w:val="both"/>
        <w:rPr/>
      </w:pPr>
      <w:r>
        <w:rPr>
          <w:rFonts w:ascii="Times New Roman" w:hAnsi="Times New Roman"/>
          <w:b/>
          <w:color w:val="000000"/>
          <w:sz w:val="22"/>
        </w:rPr>
        <w:t xml:space="preserve">U.S. Citizenship and Immigration Services; Confidentiality and Inventions Agreement. </w:t>
      </w:r>
      <w:r>
        <w:rPr>
          <w:rFonts w:ascii="Times New Roman" w:hAnsi="Times New Roman"/>
          <w:color w:val="000000"/>
          <w:sz w:val="22"/>
        </w:rPr>
        <w:t xml:space="preserve">Executive agrees to timely file all documents required by the Department of Homeland Security to verify his/her identity and lawful employment in the United States. In addition, as a condition to Executive’s employment with the Company, Executive is required to complete, sign, return, and abide by the Company’s Employee Confidentiality and Inventions Agreement.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18.</w:t>
      </w:r>
    </w:p>
    <w:p>
      <w:pPr>
        <w:pStyle w:val="TextBody"/>
        <w:bidi w:val="0"/>
        <w:spacing w:before="0" w:after="120"/>
        <w:jc w:val="both"/>
        <w:rPr/>
      </w:pPr>
      <w:r>
        <w:rPr>
          <w:rFonts w:ascii="Times New Roman" w:hAnsi="Times New Roman"/>
          <w:b/>
          <w:color w:val="000000"/>
          <w:sz w:val="22"/>
        </w:rPr>
        <w:t xml:space="preserve">Counterparts. </w:t>
      </w:r>
      <w:r>
        <w:rPr>
          <w:rFonts w:ascii="Times New Roman" w:hAnsi="Times New Roman"/>
          <w:color w:val="000000"/>
          <w:sz w:val="22"/>
        </w:rPr>
        <w:t>This Agreement may be executed in one or more counterparts, each of which shall be deemed to be an original but all of which together shall constitute the same instrument.</w:t>
      </w:r>
    </w:p>
    <w:p>
      <w:pPr>
        <w:pStyle w:val="TextBody"/>
        <w:bidi w:val="0"/>
        <w:spacing w:before="0" w:after="120"/>
        <w:jc w:val="both"/>
        <w:rPr>
          <w:rFonts w:ascii="Times New Roman" w:hAnsi="Times New Roman"/>
          <w:sz w:val="20"/>
        </w:rPr>
      </w:pPr>
      <w:r>
        <w:rPr>
          <w:rFonts w:ascii="Times New Roman" w:hAnsi="Times New Roman"/>
          <w:b/>
          <w:color w:val="000000"/>
          <w:sz w:val="22"/>
        </w:rPr>
        <w:t>19.</w:t>
      </w:r>
      <w:r>
        <w:rPr>
          <w:rFonts w:ascii="Times New Roman" w:hAnsi="Times New Roman"/>
          <w:color w:val="000000"/>
          <w:sz w:val="20"/>
        </w:rPr>
        <w:t xml:space="preserve"> </w:t>
      </w:r>
      <w:r>
        <w:rPr>
          <w:rFonts w:ascii="Times New Roman" w:hAnsi="Times New Roman"/>
          <w:b/>
          <w:color w:val="000000"/>
          <w:sz w:val="22"/>
        </w:rPr>
        <w:t>Resignation from Positions.</w:t>
      </w:r>
      <w:r>
        <w:rPr>
          <w:rFonts w:ascii="Times New Roman" w:hAnsi="Times New Roman"/>
          <w:color w:val="000000"/>
          <w:sz w:val="20"/>
        </w:rPr>
        <w:t xml:space="preserve"> </w:t>
      </w:r>
      <w:r>
        <w:rPr>
          <w:rFonts w:ascii="Times New Roman" w:hAnsi="Times New Roman"/>
          <w:color w:val="000000"/>
          <w:sz w:val="22"/>
        </w:rPr>
        <w:t>Upon Executive’s cessation of employment with the Company for any reason, Executive agrees that Executive shall be deemed to have resigned as an officer and as a director (if applicable) from the Company and every subsidiary of the Company on which Executive is then serving as an officer or director, and from any other entity or company on which Executive is then serving as a director or officer at the request of the Company, in each case effective as of the date of Executive’s cessation of employment. In the event of Executive’s cessation of employment, Executive agrees to execute a general resignation resigning from all positions then held by Executive on every subsidiary of the Company and other entity or company on which Executive is then serving as a director or officer at the request of the Company. Executive hereby grants the corporate secretary of the Company an irrevocable power of attorney to execute on behalf of Executive all such resignations, documents and</w:t>
      </w:r>
      <w:r>
        <w:rPr>
          <w:rFonts w:ascii="Times New Roman" w:hAnsi="Times New Roman"/>
          <w:color w:val="000000"/>
          <w:sz w:val="20"/>
        </w:rPr>
        <w:t xml:space="preserve">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19</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120"/>
        <w:jc w:val="both"/>
        <w:rPr>
          <w:rFonts w:ascii="Times New Roman" w:hAnsi="Times New Roman"/>
          <w:sz w:val="20"/>
        </w:rPr>
      </w:pPr>
      <w:r>
        <w:rPr>
          <w:rFonts w:ascii="Times New Roman" w:hAnsi="Times New Roman"/>
          <w:color w:val="000000"/>
          <w:sz w:val="22"/>
        </w:rPr>
        <w:t xml:space="preserve">instruments and to take all such other actions as reasonably necessary to carry out the intention of this </w:t>
      </w:r>
      <w:r>
        <w:rPr>
          <w:rFonts w:ascii="Times New Roman" w:hAnsi="Times New Roman"/>
          <w:color w:val="000000"/>
          <w:sz w:val="22"/>
          <w:u w:val="single"/>
        </w:rPr>
        <w:t>Section 19</w:t>
      </w:r>
      <w:r>
        <w:rPr>
          <w:rFonts w:ascii="Times New Roman" w:hAnsi="Times New Roman"/>
          <w:color w:val="000000"/>
          <w:sz w:val="22"/>
        </w:rPr>
        <w:t>.</w:t>
      </w:r>
    </w:p>
    <w:p>
      <w:pPr>
        <w:pStyle w:val="TextBody"/>
        <w:bidi w:val="0"/>
        <w:spacing w:before="0" w:after="120"/>
        <w:jc w:val="both"/>
        <w:rPr>
          <w:rFonts w:ascii="Times New Roman" w:hAnsi="Times New Roman"/>
          <w:sz w:val="20"/>
        </w:rPr>
      </w:pPr>
      <w:r>
        <w:rPr>
          <w:rFonts w:ascii="Times New Roman" w:hAnsi="Times New Roman"/>
          <w:b/>
          <w:color w:val="000000"/>
          <w:sz w:val="22"/>
        </w:rPr>
        <w:t>20.</w:t>
      </w:r>
      <w:r>
        <w:rPr>
          <w:rFonts w:ascii="Times New Roman" w:hAnsi="Times New Roman"/>
          <w:color w:val="000000"/>
          <w:sz w:val="20"/>
        </w:rPr>
        <w:t xml:space="preserve"> </w:t>
      </w:r>
      <w:r>
        <w:rPr>
          <w:rFonts w:ascii="Times New Roman" w:hAnsi="Times New Roman"/>
          <w:b/>
          <w:color w:val="000000"/>
          <w:sz w:val="22"/>
        </w:rPr>
        <w:t xml:space="preserve">Executive’s Commencement of Employment. </w:t>
      </w:r>
      <w:r>
        <w:rPr>
          <w:rFonts w:ascii="Times New Roman" w:hAnsi="Times New Roman"/>
          <w:color w:val="000000"/>
          <w:sz w:val="22"/>
        </w:rPr>
        <w:t>It is a condition precedent to the effectiveness of this Agreement that Executive commences working full-time for the Company. If Executive does not commence such full-time employment on the Effective Date, then this Agreement shall be null and void and the Company shall have no obligations hereunder or otherwise to Executive.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22"/>
        </w:rPr>
        <w:t>21. Executive’s Acknowledgement.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EXECUTIVE ACKNOWLEDGES THAT ALL UNDERSTANDINGS AND AGREEMENTS BETWEEN THE COMPANY AND HIM/HER RELATING TO THE SUBJECTS COVERED IN THIS AGREEMENT ARE CONTAINED IN IT (INCLUDING THE AGREEMENTS SET FORTH AS EXHIBITS) AND THAT HE/SHE HAS ENTERED INTO THIS AGREEMENT VOLUNTARILY AND NOT IN RELIANCE ON ANY PROMISES OR REPRESENTATIONS BY THE COMPANY OTHER THAN THOSE CONTAINED IN THIS AGREEMENT.</w:t>
            </w:r>
          </w:p>
          <w:p>
            <w:pPr>
              <w:pStyle w:val="TableContents"/>
              <w:bidi w:val="0"/>
              <w:jc w:val="both"/>
              <w:rPr/>
            </w:pPr>
            <w:r>
              <w:rPr/>
              <w:t> </w:t>
            </w:r>
          </w:p>
          <w:p>
            <w:pPr>
              <w:pStyle w:val="TableContents"/>
              <w:bidi w:val="0"/>
              <w:spacing w:before="0" w:after="57"/>
              <w:jc w:val="both"/>
              <w:rPr>
                <w:rFonts w:ascii="Times New Roman" w:hAnsi="Times New Roman"/>
                <w:sz w:val="22"/>
              </w:rPr>
            </w:pPr>
            <w:r>
              <w:rPr>
                <w:rFonts w:ascii="Times New Roman" w:hAnsi="Times New Roman"/>
                <w:caps/>
                <w:color w:val="000000"/>
                <w:sz w:val="22"/>
              </w:rPr>
              <w:t xml:space="preserve">Executive </w:t>
            </w:r>
            <w:r>
              <w:rPr>
                <w:rFonts w:ascii="Times New Roman" w:hAnsi="Times New Roman"/>
                <w:color w:val="000000"/>
                <w:sz w:val="22"/>
              </w:rPr>
              <w:t>FURTHER ACKNOWLEDGES THAT HE/SHE HAS CAREFULLY READ THIS AGREEMENT (INCLUDING THE AGREEMENTS SET FORTH AS EXHIBITS), THAT HE/SHE UNDERSTANDS ALL OF SUCH AGREEMENTS, AND THAT HE/SHE HAS BEEN GIVEN THE OPPORTUNITY TO DISCUSS SUCH AGREEMENTS WITH HIS/HER PRIVATE LEGAL COUNSEL AND HAS AVAILED HIMSELF/HERSELF OF THAT OPPORTUNITY TO THE EXTENT HE/SHE WISHED TO DO SO. EXECUTIVE UNDERSTANDS THAT THE DISPUTE RESOLUTION PROVISIONS OF THIS AGREEMENT GIVE UP THE RIGHT TO A JURY TRIAL ON MATTERS COVERED BY THEM.</w:t>
            </w:r>
          </w:p>
        </w:tc>
      </w:tr>
    </w:tbl>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follows.]</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20</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have executed this Agreement as of the date first written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smallCaps/>
          <w:color w:val="000000"/>
          <w:sz w:val="22"/>
        </w:rPr>
        <w:t>Accuray Incorporated</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 Delaware Corporation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Jesse Chew </w:t>
      </w:r>
    </w:p>
    <w:p>
      <w:pPr>
        <w:pStyle w:val="TextBody"/>
        <w:bidi w:val="0"/>
        <w:jc w:val="both"/>
        <w:rPr>
          <w:rFonts w:ascii="Times New Roman" w:hAnsi="Times New Roman"/>
          <w:color w:val="000000"/>
          <w:sz w:val="22"/>
        </w:rPr>
      </w:pPr>
      <w:r>
        <w:rPr>
          <w:rFonts w:ascii="Times New Roman" w:hAnsi="Times New Roman"/>
          <w:color w:val="000000"/>
          <w:sz w:val="22"/>
        </w:rPr>
        <w:t>Name: Jesse Chew</w:t>
      </w:r>
    </w:p>
    <w:p>
      <w:pPr>
        <w:pStyle w:val="TextBody"/>
        <w:bidi w:val="0"/>
        <w:jc w:val="both"/>
        <w:rPr>
          <w:rFonts w:ascii="Times New Roman" w:hAnsi="Times New Roman"/>
          <w:color w:val="000000"/>
          <w:sz w:val="22"/>
        </w:rPr>
      </w:pPr>
      <w:r>
        <w:rPr>
          <w:rFonts w:ascii="Times New Roman" w:hAnsi="Times New Roman"/>
          <w:color w:val="000000"/>
          <w:sz w:val="22"/>
        </w:rPr>
        <w:t>Title: Chief Legal Officer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Accepted and Agreed,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Leonel Peralta: </w:t>
      </w:r>
      <w:r>
        <w:rPr>
          <w:rFonts w:ascii="Times New Roman" w:hAnsi="Times New Roman"/>
          <w:color w:val="000000"/>
          <w:sz w:val="22"/>
          <w:u w:val="single"/>
        </w:rPr>
        <w:t xml:space="preserve">/s/ Leonel Peralta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Signed on: </w:t>
      </w:r>
      <w:r>
        <w:rPr>
          <w:rFonts w:ascii="Times New Roman" w:hAnsi="Times New Roman"/>
          <w:color w:val="000000"/>
          <w:sz w:val="22"/>
          <w:u w:val="single"/>
        </w:rPr>
        <w:t xml:space="preserve">December 31, 2024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0"/>
        </w:rPr>
        <w:t xml:space="preserve">Page </w:t>
      </w:r>
      <w:r>
        <w:rPr>
          <w:rFonts w:ascii="Times New Roman" w:hAnsi="Times New Roman"/>
          <w:b/>
          <w:color w:val="000000"/>
          <w:sz w:val="20"/>
        </w:rPr>
        <w:t>21</w:t>
      </w:r>
      <w:r>
        <w:rPr>
          <w:rFonts w:ascii="Times New Roman" w:hAnsi="Times New Roman"/>
          <w:color w:val="000000"/>
          <w:sz w:val="20"/>
        </w:rPr>
        <w:t xml:space="preserve"> of </w:t>
      </w:r>
      <w:r>
        <w:rPr>
          <w:rFonts w:ascii="Times New Roman" w:hAnsi="Times New Roman"/>
          <w:b/>
          <w:color w:val="000000"/>
          <w:sz w:val="20"/>
        </w:rPr>
        <w:t>NUMPAGES \* Arabic \* MERGEFORMAT 31</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Heading1"/>
        <w:bidi w:val="0"/>
        <w:spacing w:before="0" w:after="480"/>
        <w:jc w:val="center"/>
        <w:rPr>
          <w:rFonts w:ascii="Times New Roman" w:hAnsi="Times New Roman"/>
          <w:b/>
          <w:color w:val="000000"/>
          <w:sz w:val="22"/>
        </w:rPr>
      </w:pPr>
      <w:r>
        <w:rPr>
          <w:rFonts w:ascii="Times New Roman" w:hAnsi="Times New Roman"/>
          <w:b/>
          <w:color w:val="000000"/>
          <w:sz w:val="22"/>
        </w:rPr>
        <w:t>SECTION 7 OF THE DEFEND TRADE SECRETS ACT OF 2016</w:t>
      </w:r>
    </w:p>
    <w:p>
      <w:pPr>
        <w:pStyle w:val="TextBody"/>
        <w:bidi w:val="0"/>
        <w:jc w:val="both"/>
        <w:rPr/>
      </w:pPr>
      <w:r>
        <w:rPr>
          <w:color w:val="000000"/>
        </w:rPr>
        <w:t xml:space="preserve">“ </w:t>
      </w:r>
      <w:r>
        <w:rPr>
          <w:rFonts w:ascii="Times New Roman" w:hAnsi="Times New Roman"/>
          <w:color w:val="000000"/>
          <w:sz w:val="22"/>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12" w:space="1" w:color="000000"/>
        </w:pBdr>
        <w:bidi w:val="0"/>
        <w:jc w:val="left"/>
        <w:rPr/>
      </w:pPr>
      <w:r>
        <w:rPr/>
        <w:t> </w:t>
      </w:r>
    </w:p>
    <w:p>
      <w:pPr>
        <w:pStyle w:val="TextBody"/>
        <w:bidi w:val="0"/>
        <w:jc w:val="left"/>
        <w:rPr>
          <w:rFonts w:ascii="Times New Roman" w:hAnsi="Times New Roman"/>
          <w:b/>
          <w:smallCaps/>
          <w:color w:val="000000"/>
          <w:sz w:val="18"/>
        </w:rPr>
      </w:pPr>
      <w:r>
        <w:rPr>
          <w:rFonts w:ascii="Times New Roman" w:hAnsi="Times New Roman"/>
          <w:b/>
          <w:smallCaps/>
          <w:color w:val="000000"/>
          <w:sz w:val="18"/>
        </w:rPr>
        <w:t>Executive Employment Agmt Std 11.1.24 Accuray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aray-ex31_1.htm"/>
      <w:bookmarkStart w:id="23" w:name="ksarayex31_1"/>
      <w:bookmarkEnd w:id="22"/>
      <w:bookmarkEnd w:id="23"/>
      <w:r>
        <w:rPr/>
        <w:t> </w:t>
      </w:r>
      <w:r>
        <w:br w:type="page"/>
      </w:r>
    </w:p>
    <w:p>
      <w:pPr>
        <w:pStyle w:val="TextBody"/>
        <w:bidi w:val="0"/>
        <w:jc w:val="right"/>
        <w:rPr>
          <w:rFonts w:ascii="Times New Roman" w:hAnsi="Times New Roman"/>
          <w:b/>
          <w:color w:val="000000"/>
          <w:sz w:val="20"/>
        </w:rPr>
      </w:pPr>
      <w:bookmarkStart w:id="24" w:name="exhibit31_1_105719"/>
      <w:bookmarkEnd w:id="24"/>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Suzanne Winter,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Accuray Incorporated, a Delaware corporation;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center"/>
        <w:rPr/>
      </w:pPr>
      <w:r>
        <w:rPr/>
        <w:t> </w:t>
      </w:r>
    </w:p>
    <w:tbl>
      <w:tblPr>
        <w:tblW w:w="4258" w:type="dxa"/>
        <w:jc w:val="left"/>
        <w:tblInd w:w="0" w:type="dxa"/>
        <w:tblLayout w:type="fixed"/>
        <w:tblCellMar>
          <w:top w:w="28" w:type="dxa"/>
          <w:left w:w="28" w:type="dxa"/>
          <w:bottom w:w="28" w:type="dxa"/>
          <w:right w:w="28" w:type="dxa"/>
        </w:tblCellMar>
      </w:tblPr>
      <w:tblGrid>
        <w:gridCol w:w="163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SUZANNE WINTER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Winter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ray-ex31_2.htm"/>
      <w:bookmarkStart w:id="26" w:name="ksarayex31_2"/>
      <w:bookmarkEnd w:id="25"/>
      <w:bookmarkEnd w:id="26"/>
      <w:r>
        <w:rPr/>
        <w:t> </w:t>
      </w:r>
      <w:r>
        <w:br w:type="page"/>
      </w:r>
    </w:p>
    <w:p>
      <w:pPr>
        <w:pStyle w:val="TextBody"/>
        <w:bidi w:val="0"/>
        <w:jc w:val="right"/>
        <w:rPr>
          <w:rFonts w:ascii="Times New Roman" w:hAnsi="Times New Roman"/>
          <w:b/>
          <w:color w:val="000000"/>
          <w:sz w:val="20"/>
        </w:rPr>
      </w:pPr>
      <w:bookmarkStart w:id="27" w:name="exhibit31_2_105935"/>
      <w:bookmarkEnd w:id="27"/>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 Pervaiz,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Accuray Incorporated, a Delaware corporation;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1636"/>
        <w:gridCol w:w="146"/>
        <w:gridCol w:w="414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Pervaiz</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exhibit32_1_110101"/>
      <w:bookmarkStart w:id="29" w:name="aray-ex32_1.htm"/>
      <w:bookmarkStart w:id="30" w:name="ksarayex32_1"/>
      <w:bookmarkEnd w:id="28"/>
      <w:bookmarkEnd w:id="29"/>
      <w:bookmarkEnd w:id="30"/>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officers of Accuray Incorporated, a Delaware corporation (the “</w:t>
      </w:r>
      <w:r>
        <w:rPr>
          <w:rFonts w:ascii="Times New Roman" w:hAnsi="Times New Roman"/>
          <w:i/>
          <w:color w:val="000000"/>
          <w:sz w:val="20"/>
        </w:rPr>
        <w:t>Company</w:t>
      </w:r>
      <w:r>
        <w:rPr>
          <w:rFonts w:ascii="Times New Roman" w:hAnsi="Times New Roman"/>
          <w:color w:val="000000"/>
          <w:sz w:val="20"/>
        </w:rPr>
        <w:t>”) hereby certify, to such officers’ knowledge, that: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 the accompanying Quarterly Report on Form 10-Q of the Company for the quarter ended March 31, 2025 (the “</w:t>
      </w:r>
      <w:r>
        <w:rPr>
          <w:rFonts w:ascii="Times New Roman" w:hAnsi="Times New Roman"/>
          <w:i/>
          <w:color w:val="000000"/>
          <w:sz w:val="20"/>
        </w:rPr>
        <w:t>Report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the information contained in the Report fairly presents, in all material respects, the financial condition and results of operations of the Company.</w:t>
      </w:r>
    </w:p>
    <w:p>
      <w:pPr>
        <w:pStyle w:val="TextBody"/>
        <w:bidi w:val="0"/>
        <w:jc w:val="center"/>
        <w:rPr/>
      </w:pPr>
      <w:r>
        <w:rPr/>
        <w:t> </w:t>
      </w:r>
    </w:p>
    <w:tbl>
      <w:tblPr>
        <w:tblW w:w="6177" w:type="dxa"/>
        <w:jc w:val="left"/>
        <w:tblInd w:w="0" w:type="dxa"/>
        <w:tblLayout w:type="fixed"/>
        <w:tblCellMar>
          <w:top w:w="28" w:type="dxa"/>
          <w:left w:w="28" w:type="dxa"/>
          <w:bottom w:w="28" w:type="dxa"/>
          <w:right w:w="28" w:type="dxa"/>
        </w:tblCellMar>
      </w:tblPr>
      <w:tblGrid>
        <w:gridCol w:w="1836"/>
        <w:gridCol w:w="4341"/>
      </w:tblGrid>
      <w:tr>
        <w:trPr/>
        <w:tc>
          <w:tcPr>
            <w:tcW w:w="1836" w:type="dxa"/>
            <w:tcBorders/>
            <w:vAlign w:val="center"/>
          </w:tcPr>
          <w:p>
            <w:pPr>
              <w:pStyle w:val="TableContents"/>
              <w:bidi w:val="0"/>
              <w:spacing w:before="0" w:after="283"/>
              <w:jc w:val="left"/>
              <w:rPr>
                <w:sz w:val="4"/>
                <w:szCs w:val="4"/>
              </w:rPr>
            </w:pPr>
            <w:r>
              <w:rPr>
                <w:sz w:val="4"/>
                <w:szCs w:val="4"/>
              </w:rPr>
            </w:r>
          </w:p>
        </w:tc>
        <w:tc>
          <w:tcPr>
            <w:tcW w:w="434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Date: May 2, 2025</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SUZANNE WINTER</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Suzanne Winter</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Chief Executive Officer</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Executive Officer)</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Ali Pervaiz</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83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65570</Words>
  <Characters>359126</Characters>
  <CharactersWithSpaces>425623</CharactersWithSpaces>
  <Paragraphs>7799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