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4062.xml.htm"/>
      <w:bookmarkStart w:id="1" w:name="ksmarketforms7406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Pervaiz Ali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1240 DEMING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MADISON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53717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ACCURAY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68"/>
        <w:gridCol w:w="902"/>
        <w:gridCol w:w="772"/>
        <w:gridCol w:w="599"/>
        <w:gridCol w:w="344"/>
        <w:gridCol w:w="963"/>
        <w:gridCol w:w="443"/>
        <w:gridCol w:w="836"/>
        <w:gridCol w:w="1177"/>
        <w:gridCol w:w="984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375,174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8,915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0.2255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366,259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acquired in connection with the achievement of certain performance-related measures.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2,500 shares acquired on May 29, 2026 under the Accuray Employee Stock Purchase Plan in transactions that were exempt under Rule 16b-3(c).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of Common Stock that were withheld by the issuer to satisfy its tax withholding and remittance obligations in connection with the net settlement of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Stetler, Power of Attorney for Ali Pervaiz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7594" TargetMode="External"/><Relationship Id="rId5" Type="http://schemas.openxmlformats.org/officeDocument/2006/relationships/hyperlink" Target="http://www.sec.gov/cgi-bin/browse-edgar?action=getcompany&amp;CIK=00011387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3494</Characters>
  <CharactersWithSpaces>4057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