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ray20261005_8k.htm"/>
      <w:bookmarkStart w:id="1" w:name="ksaray20261005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5420"/>
      </w:tblGrid>
      <w:tr>
        <w:trPr/>
        <w:tc>
          <w:tcPr>
            <w:tcW w:w="54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October 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28" w:type="dxa"/>
        <w:jc w:val="left"/>
        <w:tblInd w:w="0" w:type="dxa"/>
        <w:tblLayout w:type="fixed"/>
        <w:tblCellMar>
          <w:top w:w="0" w:type="dxa"/>
          <w:left w:w="0" w:type="dxa"/>
          <w:bottom w:w="0" w:type="dxa"/>
          <w:right w:w="0" w:type="dxa"/>
        </w:tblCellMar>
      </w:tblPr>
      <w:tblGrid>
        <w:gridCol w:w="1121"/>
        <w:gridCol w:w="1121"/>
        <w:gridCol w:w="1136"/>
        <w:gridCol w:w="2300"/>
        <w:gridCol w:w="1550"/>
      </w:tblGrid>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001-33301</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20-8370041</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1121"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1240 Deming Way</w:t>
            </w:r>
          </w:p>
        </w:tc>
        <w:tc>
          <w:tcPr>
            <w:tcW w:w="3850" w:type="dxa"/>
            <w:gridSpan w:val="2"/>
            <w:tcBorders/>
            <w:vAlign w:val="center"/>
          </w:tcPr>
          <w:p>
            <w:pPr>
              <w:pStyle w:val="TableContents"/>
              <w:bidi w:val="0"/>
              <w:spacing w:before="0" w:after="283"/>
              <w:jc w:val="left"/>
              <w:rPr/>
            </w:pPr>
            <w:r>
              <w:rPr/>
              <w:t> </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Madison, Wisconsin</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53717-1954</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608</w:t>
            </w:r>
            <w:r>
              <w:rPr>
                <w:rFonts w:ascii="Times New Roman" w:hAnsi="Times New Roman"/>
                <w:caps w:val="false"/>
                <w:smallCaps w:val="false"/>
                <w:sz w:val="20"/>
              </w:rPr>
              <w:t> </w:t>
            </w:r>
            <w:r>
              <w:rPr>
                <w:rFonts w:ascii="Times New Roman" w:hAnsi="Times New Roman"/>
                <w:b/>
                <w:caps w:val="false"/>
                <w:smallCaps w:val="false"/>
                <w:sz w:val="20"/>
              </w:rPr>
              <w:t>824-2800</w:t>
            </w:r>
          </w:p>
        </w:tc>
      </w:tr>
    </w:tbl>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175" w:type="dxa"/>
        <w:jc w:val="left"/>
        <w:tblInd w:w="0" w:type="dxa"/>
        <w:tblLayout w:type="fixed"/>
        <w:tblCellMar>
          <w:top w:w="0" w:type="dxa"/>
          <w:left w:w="0" w:type="dxa"/>
          <w:bottom w:w="28" w:type="dxa"/>
          <w:right w:w="0" w:type="dxa"/>
        </w:tblCellMar>
      </w:tblPr>
      <w:tblGrid>
        <w:gridCol w:w="3500"/>
        <w:gridCol w:w="60"/>
        <w:gridCol w:w="860"/>
        <w:gridCol w:w="60"/>
        <w:gridCol w:w="369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ARAY</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On October 5, 2026, the Board of Directors (the “Board”) of Accuray Incorporated (the “Company”) appointed Richard A. Meier to the Board as a Class II director, with a term expiring at the Company’s 2026 annual meeting of stockholders.  Mr. Meier is expected to stand for re-election by the Company's stockholders at such 2026 annual meeting of stockholders. Mr. Meier was also appointed to the Compensation Committee of the Board on the same date. In connection with his appointment, Mr. Meier will receive the same cash and equity compensation for service on the Board that was approved by the Board for fiscal 2027. Cash compensation for his Board service is an annual cash retainer of $30,000 and no additional cash compensation is provided for membership on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Meier’s equity compensation is as follows: (1) in connection with his initial appointment to the Board, a restricted stock unit (“RSU”) grant for 75,000 shares of the Company’s common stock with one-third of the aggregate number of shares subject to the award vesting on the first, second and third anniversary of October 5, 2026, the grant date of the RSU, and a stock option grant for 75,000 shares of the Company’s common stock, with an exercise price of $0.30 per share, which was the closing price of the Company’s common stock on October 5, 2026, the date of grant, and will vest as to one-third of the aggregate number of shares subject to the option on the first, second and third anniversary of the date of grant, both subject to Mr. Meier’s continued service through each such date; and (2) annually, on the last day of the month in which the Company’s Annual Meeting of Stockholders is held, an RSU grant for 50,000 shares of the Company’s common stock, with full vesting on the one-year anniversary of the Annual Meeting of Stockholders to which the grant relates and a stock option grant for 50,000 shares of the Company’s common stock, with an exercise price being the closing price of the Company’s common stock on the date of grant and will vest as to 100% of the aggregate number of shares subject to the option on the first anniversary of the date of grant, both subject to Mr. Meier’s continued service through each such date. Vesting of all RSUs and options subject to the grants thereafter will accelerate in full in the event of a change in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arrangements or understandings between Mr. Meier and any other persons pursuant to which Mr. Meier was selected as 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In addition, there are no related party transactions involving the Company and Mr. Meier that are reportable pursuant to Item 404(a)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2026 Special Meeting of Stockholders of the Company held on October 6, 2026 (the “2026 Special Meeting”), the Company’s stockholders voted on three proposals as set forth below, at which a quorum was present. Stockholders considered three proposals outlined below at the 2026 Special Meeting, each of which is described in more detail in the Company’s definitive proxy statement for the Special Meeting filed with the Securities and Exchange Commission (the “SEC”) on August 24, 2026, as supplemented by additional definitive proxy soliciting materials filed with the SEC on September 18, 2026 . The final voting results with respect to each of the proposals acted upon at the 2026 Special Meeting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Proposal No. 1: Approval of Nasdaq Stock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issuance of shares of the Company’s Common Stock, subject to certain conditions, in accordance with Nasdaq Listing Rule 5635, upon the conversion of the Series A Preferred Stock to be issued in connection with the closing of the transactions contemplated by the Securities Purchase Agreement with certain of the Company’s existing investors, pursuant to the terms of the Certificate of Designations, Preferences and Rights of Series A Convertible Preferred Stock, governing the Series A Preferred Stock, and the exercise of the Warrants to purchase Warrant Shares at potentially less than the “minimum price” under Nasdaq Listing Rule 5635(d), and which may be deemed a “change of control” under Nasdaq Listing Rule 5635(b), and the deemed issuance of equity compensation to one of the Company’s directors upon conversion of the Series A Preferred Stock and the exercise of the Warrants to purchase Warrant Shares at less than market value under Nasdaq Listing Rule 5635(c) was approved based on the following:</w:t>
      </w:r>
    </w:p>
    <w:p>
      <w:pPr>
        <w:pStyle w:val="TextBody"/>
        <w:bidi w:val="0"/>
        <w:spacing w:before="0" w:after="0"/>
        <w:ind w:left="0" w:right="0" w:hanging="0"/>
        <w:jc w:val="left"/>
        <w:rPr>
          <w:caps w:val="false"/>
          <w:smallCaps w:val="false"/>
        </w:rPr>
      </w:pPr>
      <w:r>
        <w:rPr>
          <w:caps w:val="false"/>
          <w:smallCaps w:val="false"/>
        </w:rPr>
        <w:t> </w:t>
      </w:r>
    </w:p>
    <w:tbl>
      <w:tblPr>
        <w:tblW w:w="4430" w:type="dxa"/>
        <w:jc w:val="left"/>
        <w:tblInd w:w="0" w:type="dxa"/>
        <w:tblLayout w:type="fixed"/>
        <w:tblCellMar>
          <w:top w:w="0" w:type="dxa"/>
          <w:left w:w="0" w:type="dxa"/>
          <w:bottom w:w="28" w:type="dxa"/>
          <w:right w:w="0" w:type="dxa"/>
        </w:tblCellMar>
      </w:tblPr>
      <w:tblGrid>
        <w:gridCol w:w="1100"/>
        <w:gridCol w:w="980"/>
        <w:gridCol w:w="800"/>
        <w:gridCol w:w="1550"/>
      </w:tblGrid>
      <w:tr>
        <w:trPr/>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8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100" w:type="dxa"/>
            <w:tcBorders>
              <w:bottom w:val="single" w:sz="2" w:space="0" w:color="000000"/>
            </w:tcBorders>
            <w:vAlign w:val="center"/>
          </w:tcPr>
          <w:p>
            <w:pPr>
              <w:pStyle w:val="TableContents"/>
              <w:bidi w:val="0"/>
              <w:spacing w:before="0" w:after="283"/>
              <w:jc w:val="right"/>
              <w:rPr/>
            </w:pPr>
            <w:r>
              <w:rPr/>
              <w:t>44,411,409</w:t>
            </w:r>
          </w:p>
        </w:tc>
        <w:tc>
          <w:tcPr>
            <w:tcW w:w="980" w:type="dxa"/>
            <w:tcBorders>
              <w:bottom w:val="single" w:sz="2" w:space="0" w:color="000000"/>
            </w:tcBorders>
            <w:vAlign w:val="center"/>
          </w:tcPr>
          <w:p>
            <w:pPr>
              <w:pStyle w:val="TableContents"/>
              <w:bidi w:val="0"/>
              <w:spacing w:before="0" w:after="283"/>
              <w:jc w:val="right"/>
              <w:rPr/>
            </w:pPr>
            <w:r>
              <w:rPr/>
              <w:t>3,910,714</w:t>
            </w:r>
          </w:p>
        </w:tc>
        <w:tc>
          <w:tcPr>
            <w:tcW w:w="800" w:type="dxa"/>
            <w:tcBorders>
              <w:bottom w:val="single" w:sz="2" w:space="0" w:color="000000"/>
            </w:tcBorders>
            <w:vAlign w:val="center"/>
          </w:tcPr>
          <w:p>
            <w:pPr>
              <w:pStyle w:val="TableContents"/>
              <w:bidi w:val="0"/>
              <w:spacing w:before="0" w:after="283"/>
              <w:jc w:val="right"/>
              <w:rPr/>
            </w:pPr>
            <w:r>
              <w:rPr/>
              <w:t>188,917</w:t>
            </w:r>
          </w:p>
        </w:tc>
        <w:tc>
          <w:tcPr>
            <w:tcW w:w="1550" w:type="dxa"/>
            <w:tcBorders>
              <w:bottom w:val="single" w:sz="2" w:space="0" w:color="000000"/>
            </w:tcBorders>
            <w:vAlign w:val="center"/>
          </w:tcPr>
          <w:p>
            <w:pPr>
              <w:pStyle w:val="TableContents"/>
              <w:bidi w:val="0"/>
              <w:spacing w:before="0" w:after="283"/>
              <w:jc w:val="right"/>
              <w:rPr/>
            </w:pPr>
            <w:r>
              <w:rPr/>
              <w:t>30,977,714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Proposal No. 2:</w:t>
      </w:r>
      <w:r>
        <w:rPr>
          <w:rFonts w:ascii="Times New Roman" w:hAnsi="Times New Roman"/>
          <w:caps w:val="false"/>
          <w:smallCaps w:val="false"/>
          <w:sz w:val="20"/>
        </w:rPr>
        <w:t> </w:t>
      </w:r>
      <w:r>
        <w:rPr>
          <w:rFonts w:ascii="Times New Roman" w:hAnsi="Times New Roman"/>
          <w:b/>
          <w:i/>
          <w:caps w:val="false"/>
          <w:smallCaps w:val="false"/>
          <w:sz w:val="20"/>
        </w:rPr>
        <w:t>Approval of Authorized Shares Increase Proposal</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amendment of the Company’s Amended and Restated Certificate of Incorporation (as amended, the “Certificate of Incorporation”) to increase the number of authorized shares of Common Stock from 200,000,000 to 400,000,000 in order to provide a sufficient number of authorized shares to issue the Common Stock issuable upon the conversion of the Series A Preferred Stock was approved based upon the following:</w:t>
      </w:r>
    </w:p>
    <w:p>
      <w:pPr>
        <w:pStyle w:val="TextBody"/>
        <w:bidi w:val="0"/>
        <w:spacing w:before="0" w:after="0"/>
        <w:ind w:left="0" w:right="0" w:hanging="0"/>
        <w:jc w:val="left"/>
        <w:rPr>
          <w:caps w:val="false"/>
          <w:smallCaps w:val="false"/>
        </w:rPr>
      </w:pPr>
      <w:r>
        <w:rPr>
          <w:caps w:val="false"/>
          <w:smallCaps w:val="false"/>
        </w:rPr>
        <w:t> </w:t>
      </w:r>
    </w:p>
    <w:tbl>
      <w:tblPr>
        <w:tblW w:w="4430" w:type="dxa"/>
        <w:jc w:val="left"/>
        <w:tblInd w:w="0" w:type="dxa"/>
        <w:tblLayout w:type="fixed"/>
        <w:tblCellMar>
          <w:top w:w="0" w:type="dxa"/>
          <w:left w:w="0" w:type="dxa"/>
          <w:bottom w:w="28" w:type="dxa"/>
          <w:right w:w="0" w:type="dxa"/>
        </w:tblCellMar>
      </w:tblPr>
      <w:tblGrid>
        <w:gridCol w:w="1100"/>
        <w:gridCol w:w="980"/>
        <w:gridCol w:w="800"/>
        <w:gridCol w:w="1550"/>
      </w:tblGrid>
      <w:tr>
        <w:trPr/>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8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100" w:type="dxa"/>
            <w:tcBorders>
              <w:bottom w:val="single" w:sz="2" w:space="0" w:color="000000"/>
            </w:tcBorders>
            <w:vAlign w:val="center"/>
          </w:tcPr>
          <w:p>
            <w:pPr>
              <w:pStyle w:val="TableContents"/>
              <w:bidi w:val="0"/>
              <w:spacing w:before="0" w:after="283"/>
              <w:jc w:val="right"/>
              <w:rPr/>
            </w:pPr>
            <w:r>
              <w:rPr/>
              <w:t>44,625,028</w:t>
            </w:r>
          </w:p>
        </w:tc>
        <w:tc>
          <w:tcPr>
            <w:tcW w:w="980" w:type="dxa"/>
            <w:tcBorders>
              <w:bottom w:val="single" w:sz="2" w:space="0" w:color="000000"/>
            </w:tcBorders>
            <w:vAlign w:val="center"/>
          </w:tcPr>
          <w:p>
            <w:pPr>
              <w:pStyle w:val="TableContents"/>
              <w:bidi w:val="0"/>
              <w:spacing w:before="0" w:after="283"/>
              <w:jc w:val="right"/>
              <w:rPr/>
            </w:pPr>
            <w:r>
              <w:rPr/>
              <w:t>3,699,084</w:t>
            </w:r>
          </w:p>
        </w:tc>
        <w:tc>
          <w:tcPr>
            <w:tcW w:w="800" w:type="dxa"/>
            <w:tcBorders>
              <w:bottom w:val="single" w:sz="2" w:space="0" w:color="000000"/>
            </w:tcBorders>
            <w:vAlign w:val="center"/>
          </w:tcPr>
          <w:p>
            <w:pPr>
              <w:pStyle w:val="TableContents"/>
              <w:bidi w:val="0"/>
              <w:spacing w:before="0" w:after="283"/>
              <w:jc w:val="right"/>
              <w:rPr/>
            </w:pPr>
            <w:r>
              <w:rPr/>
              <w:t>186,928</w:t>
            </w:r>
          </w:p>
        </w:tc>
        <w:tc>
          <w:tcPr>
            <w:tcW w:w="1550" w:type="dxa"/>
            <w:tcBorders>
              <w:bottom w:val="single" w:sz="2" w:space="0" w:color="000000"/>
            </w:tcBorders>
            <w:vAlign w:val="center"/>
          </w:tcPr>
          <w:p>
            <w:pPr>
              <w:pStyle w:val="TableContents"/>
              <w:bidi w:val="0"/>
              <w:spacing w:before="0" w:after="283"/>
              <w:jc w:val="right"/>
              <w:rPr/>
            </w:pPr>
            <w:r>
              <w:rPr/>
              <w:t>30,977,714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Proposal No. 3:</w:t>
      </w:r>
      <w:r>
        <w:rPr>
          <w:rFonts w:ascii="Times New Roman" w:hAnsi="Times New Roman"/>
          <w:caps w:val="false"/>
          <w:smallCaps w:val="false"/>
          <w:sz w:val="20"/>
        </w:rPr>
        <w:t> </w:t>
      </w:r>
      <w:r>
        <w:rPr>
          <w:rFonts w:ascii="Times New Roman" w:hAnsi="Times New Roman"/>
          <w:b/>
          <w:i/>
          <w:caps w:val="false"/>
          <w:smallCaps w:val="false"/>
          <w:sz w:val="20"/>
        </w:rPr>
        <w:t>Approval of the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amendment to the Certificate of Incorporation to effect a reverse stock split of the Common Stock, at a ratio ranging from any whole number between 1-for-15 and 1-for-40, as determined by the Board in its discretion, to allow the Company to regain compliance with Nasdaq listing requirements for the bid price of the Common Stock, to be effected in the sole discretion of the Board at any time within one year of the date of the Special Meeting without further approval or authorization from the Company’s stockholders was approved based upon the following:</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1100"/>
        <w:gridCol w:w="980"/>
        <w:gridCol w:w="800"/>
        <w:gridCol w:w="1895"/>
      </w:tblGrid>
      <w:tr>
        <w:trPr/>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8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1895" w:type="dxa"/>
            <w:tcBorders>
              <w:bottom w:val="single" w:sz="2" w:space="0" w:color="000000"/>
            </w:tcBorders>
            <w:vAlign w:val="center"/>
          </w:tcPr>
          <w:p>
            <w:pPr>
              <w:pStyle w:val="TableContents"/>
              <w:bidi w:val="0"/>
              <w:spacing w:before="0" w:after="283"/>
              <w:jc w:val="center"/>
              <w:rPr>
                <w:b/>
              </w:rPr>
            </w:pPr>
            <w:r>
              <w:rPr>
                <w:b/>
              </w:rPr>
              <w:t>Broker Non-Votes</w:t>
            </w:r>
          </w:p>
        </w:tc>
      </w:tr>
      <w:tr>
        <w:trPr/>
        <w:tc>
          <w:tcPr>
            <w:tcW w:w="1100" w:type="dxa"/>
            <w:tcBorders>
              <w:bottom w:val="single" w:sz="2" w:space="0" w:color="000000"/>
            </w:tcBorders>
            <w:vAlign w:val="center"/>
          </w:tcPr>
          <w:p>
            <w:pPr>
              <w:pStyle w:val="TableContents"/>
              <w:bidi w:val="0"/>
              <w:spacing w:before="0" w:after="283"/>
              <w:jc w:val="right"/>
              <w:rPr/>
            </w:pPr>
            <w:r>
              <w:rPr/>
              <w:t>74,331,147</w:t>
            </w:r>
          </w:p>
        </w:tc>
        <w:tc>
          <w:tcPr>
            <w:tcW w:w="980" w:type="dxa"/>
            <w:tcBorders>
              <w:bottom w:val="single" w:sz="2" w:space="0" w:color="000000"/>
            </w:tcBorders>
            <w:vAlign w:val="center"/>
          </w:tcPr>
          <w:p>
            <w:pPr>
              <w:pStyle w:val="TableContents"/>
              <w:bidi w:val="0"/>
              <w:spacing w:before="0" w:after="283"/>
              <w:jc w:val="right"/>
              <w:rPr/>
            </w:pPr>
            <w:r>
              <w:rPr/>
              <w:t>4,664,788</w:t>
            </w:r>
          </w:p>
        </w:tc>
        <w:tc>
          <w:tcPr>
            <w:tcW w:w="800" w:type="dxa"/>
            <w:tcBorders>
              <w:bottom w:val="single" w:sz="2" w:space="0" w:color="000000"/>
            </w:tcBorders>
            <w:vAlign w:val="center"/>
          </w:tcPr>
          <w:p>
            <w:pPr>
              <w:pStyle w:val="TableContents"/>
              <w:bidi w:val="0"/>
              <w:spacing w:before="0" w:after="283"/>
              <w:jc w:val="right"/>
              <w:rPr/>
            </w:pPr>
            <w:r>
              <w:rPr/>
              <w:t>492,819</w:t>
            </w:r>
          </w:p>
        </w:tc>
        <w:tc>
          <w:tcPr>
            <w:tcW w:w="1895" w:type="dxa"/>
            <w:tcBorders>
              <w:bottom w:val="single" w:sz="2" w:space="0" w:color="000000"/>
            </w:tcBorders>
            <w:vAlign w:val="center"/>
          </w:tcPr>
          <w:p>
            <w:pPr>
              <w:pStyle w:val="TableContents"/>
              <w:bidi w:val="0"/>
              <w:spacing w:before="0" w:after="283"/>
              <w:jc w:val="right"/>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Proposal No. 4: Approval of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there were sufficient votes to approve Proposals 1 through 3, the proposal to approve one or more adjournments of the Special Meeting, if necessary, in the reasonable discretion of the Board, the Chairman of the Board, the President or the Corporate Secretary of the Company, to solicit additional proxies if there are insufficient votes at the time of the Special Meeting to approve Proposal Nos. 1, 2, or 3 was rendered moot and was not presented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w:t>
      </w:r>
      <w:r>
        <w:rPr>
          <w:rFonts w:ascii="Times New Roman" w:hAnsi="Times New Roman"/>
          <w:b/>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6, 2026, the Company issued a press release (the “Press Release”) announcing the appointment of Mr. Meier and the results of the 2026 Special Meeting.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4"/>
        <w:gridCol w:w="60"/>
        <w:gridCol w:w="9291"/>
      </w:tblGrid>
      <w:tr>
        <w:trPr/>
        <w:tc>
          <w:tcPr>
            <w:tcW w:w="854"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929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85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291" w:type="dxa"/>
            <w:tcBorders/>
            <w:tcMar>
              <w:bottom w:w="0" w:type="dxa"/>
            </w:tcMar>
            <w:vAlign w:val="center"/>
          </w:tcPr>
          <w:p>
            <w:pPr>
              <w:pStyle w:val="TableContents"/>
              <w:bidi w:val="0"/>
              <w:spacing w:before="0" w:after="0"/>
              <w:ind w:left="0" w:right="0" w:hanging="0"/>
              <w:jc w:val="left"/>
              <w:rPr/>
            </w:pPr>
            <w:hyperlink w:anchor="ex_1022893.htm">
              <w:r>
                <w:rPr>
                  <w:rStyle w:val="InternetLink"/>
                  <w:rFonts w:ascii="Times New Roman" w:hAnsi="Times New Roman"/>
                  <w:caps w:val="false"/>
                  <w:smallCaps w:val="false"/>
                  <w:sz w:val="20"/>
                </w:rPr>
                <w:t>Press Release dated October 6, 2026, titled “Accuray Announces Stockholder Approval of Key Financing-Related Proposals and Appointment of New Independent Director” </w:t>
              </w:r>
            </w:hyperlink>
          </w:p>
        </w:tc>
      </w:tr>
      <w:tr>
        <w:trPr/>
        <w:tc>
          <w:tcPr>
            <w:tcW w:w="85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2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80" w:type="dxa"/>
        <w:jc w:val="left"/>
        <w:tblInd w:w="0" w:type="dxa"/>
        <w:tblLayout w:type="fixed"/>
        <w:tblCellMar>
          <w:top w:w="0" w:type="dxa"/>
          <w:left w:w="0" w:type="dxa"/>
          <w:bottom w:w="0" w:type="dxa"/>
          <w:right w:w="0" w:type="dxa"/>
        </w:tblCellMar>
      </w:tblPr>
      <w:tblGrid>
        <w:gridCol w:w="395"/>
        <w:gridCol w:w="1325"/>
        <w:gridCol w:w="320"/>
        <w:gridCol w:w="5540"/>
      </w:tblGrid>
      <w:tr>
        <w:trPr/>
        <w:tc>
          <w:tcPr>
            <w:tcW w:w="39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r>
      <w:tr>
        <w:trPr/>
        <w:tc>
          <w:tcPr>
            <w:tcW w:w="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6, 2026</w:t>
            </w:r>
          </w:p>
        </w:tc>
        <w:tc>
          <w:tcPr>
            <w:tcW w:w="32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Shin</w:t>
            </w:r>
          </w:p>
        </w:tc>
      </w:tr>
      <w:tr>
        <w:trPr/>
        <w:tc>
          <w:tcPr>
            <w:tcW w:w="39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Shin</w:t>
              <w:br/>
            </w:r>
            <w:r>
              <w:rPr>
                <w:rFonts w:ascii="Times New Roman" w:hAnsi="Times New Roman"/>
                <w:i/>
                <w:caps w:val="false"/>
                <w:smallCaps w:val="false"/>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 w:name="ex_1022893.htm"/>
      <w:bookmarkStart w:id="3" w:name="ksex_1022893"/>
      <w:bookmarkEnd w:id="2"/>
      <w:bookmarkEnd w:id="3"/>
      <w:r>
        <w:rPr>
          <w:rFonts w:ascii="Times New Roman" w:hAnsi="Times New Roman"/>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Announces Stockholder Approval of Key Financing-Related Proposals and Appointment of New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MADISON, Wis., October 6, 2026 -- Accuray Incorporated (Nasdaq: ARAY) today announced that stockholders approved all proposals presented at the company’s Special Meeting of Stockholders held on October 6, 2026, enabling Accuray to complete its previously announced transactions with TCW Asset Management Company LLC, the company’s primary lender and largest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2026, Accuray announced a comprehensive plan to strengthen its financial position and support long-term value creation, including definitive agreements with TCW Asset Management Company LLC intended to improve the company's balance sheet, provide additional liquidity, and enhance financial flexibility. The transaction includes the exchange of $40 million of term loan debt for convertible preferred stock, a $15 million equity investment by TCW, access to a delayed draw term loan of up to $5 million, covenant relief through December 31, 2027, governance enhancements, and a reverse stock split, providing Accuray with additional runway to execute its strategic priorities, accelerate innovation, and advance its ongoing transformation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approved proposals will enable Accuray to complete the previously announced TCW financing transaction. The approved proposals included (i) the issuance of shares of common stock in accordance with Nasdaq Listing Rule 5635 in connection with the company's previously announced financing transaction, (ii) an increase in the number of authorized shares of common stock, and (iii) a reverse stock split of the company's common stock, at a ratio ranging from any whole number between 1-for-15 and 1-for-40 determined by Accuray’s board of directors in its discretion. The board of directors maintains the discretion to select any whole number ratio within the approved range and the exact timing of the reverse stock split. The board of directors is evaluating market conditions and other relevant factors in determining the appropriate ratio and timing for the 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Final voting results from the Special Meeting will be reported in a Current Report on Form 8-K to be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Board and Governance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also announced that Richard A. (“Randy”) Meier has been appointed as a member of Accuray’s board of directors, effective immediately, and will serve on the company's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Meier brings more than 30 years of executive leadership experience across the healthcare and medical technology sectors. His prior leadership roles include Chief Executive Officer and director of TwinMed, LLC; Chief Executive Officer and director of Rockley Photonics Holdings Limited; Chief Financial Officer of IntersectENT; President-International and Chief Financial Officer of Owens &amp; Minor; Chairman of the Board of BioMarin Pharmaceutical Inc.; Director of Staar Surgical, Inc., and President, Chief Operating Officer, and Chief Financial Officer of Advanced Medical Optics, Inc. Throughout his career, he has led numerous transformational growth initiatives, strategic acquisitions, operational restructurings, and successful value-creation programs across global healthcare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Accuray’s board of directors believes that Mr. Meier 's professional and leadership experience will be a valuable addition to the board as Accuray continues to execute its transformational, strategic, and operational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appreciate our stockholder’s support of these proposals, which will enable us to move ahead with our previously announced transactions and further strengthen our financial position," said Steve La Neve, president and chief executive officer of Accuray. "We are pleased to welcome Randy to the Board. His strategic perspective and track record of driving organizational performance will be valuable as we advance our priorities and deliver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"Randy's combination of executive leadership, financial expertise, and operational experience will be a strong addition to our Board," said Joe Whitters, chairman of the Accuray Board of Directors "His experience across a range of healthcare organizations and public companies will bring valuable perspective to the Board as we support management's strategic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Accuray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is committed to expanding the potential of radiation therapy to improve as many lives as possible. The company develops unique, market-changing solutions designed to deliver radiation treatments for even the most complex cases, while making commonly treatable cases easier, helping to meet the full spectrum of patient needs. Accuray is dedicated to continuous innovation in radiation therapy for oncology, neuro-radiosurgery and beyond. Through collaboration with clinicians and administrators, the company aims to empower healthcare professionals to help patients return to their lives faster. Accuray is headquartered in Madison, Wisconsin, USA, and has facilities worldwide. For more information, please visit http://www.accuray.com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Forward-Looking Statements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press release that are not statements of historical fact are forward-looking statements and are subject to the "safe harbor" provisions of the Private Securities Litigation Reform Act of 1995. Forward-looking statements in this press release relate to, but are not limited to, expectations regarding the Company's previously announced transactions with TCW Asset Management Company LLC; the Company's ability to complete such transactions; the implementation, timing and effects of any reverse stock split; the Company's capital structure, liquidity and financial flexibility; the contributions of the Company's newly appointed director; the Company's transformation plan and strategic initiatives; and the Company's ability to execute its strategic and operational priorities and create long-term shareholder value.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forward-looking statements involve risks and uncertainties. If any of these risks or uncertainties materialize, or if any of the company's assumptions prove incorrect, actual results could differ materially from the results expressed or implied by these forward-looking statements. These risks and uncertainties include, but are not limited to, the ability of the company to execute upon its transformation plan; the effect of the global macroeconomic environment on the operations of the company and those of its customers and suppliers; the company's ability to achieve widespread market acceptance of its products; substantial outstanding indebtedness and its ability to maintain compliance with financial covenants related to its debt; the company's ability to realize the expected benefits of the China joint venture and other partnerships; risks inherent in international operations; the company's ability to maintain or increase its gross margins on product sales and services; the company's ability to convert backlog to revenue; and such other risks identified under the heading "Risk Factors" in the company's Annual Report on Form 10-K, filed with the Securities and Exchange Commission (the "SEC") on August 27, 2026, and as updated periodically with the company's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 speak only as of the date the statements are made and are based on information available to the company at the time those statements are made and/or management's good faith belief as of that time with respect to future events. The company assumes no obligation to update forward-looking statements to reflect actual performance or results, changes in assumptions or changes in other factors affecting forward-looking information, except to the extent required by applicable securities laws. Accordingly, investors should not put undue reliance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Accuray Media Contact</w:t>
      </w:r>
      <w:r>
        <w:rPr>
          <w:rFonts w:ascii="Times New Roman" w:hAnsi="Times New Roman"/>
          <w:caps w:val="false"/>
          <w:smallCaps w:val="false"/>
          <w:sz w:val="20"/>
        </w:rPr>
        <w:br/>
        <w:t>Taylor Bould</w:t>
        <w:br/>
        <w:t>Communications Specialist, Accuray</w:t>
        <w:br/>
        <w:t>+1 (608) 830-3604</w:t>
        <w:br/>
        <w:t>tbould@accuray.com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2654</Words>
  <Characters>14892</Characters>
  <CharactersWithSpaces>17550</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