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30, 2026</w:t>
      </w:r>
    </w:p>
    <w:p>
      <w:pPr>
        <w:spacing w:after="0" w:line="30" w:lineRule="exact"/>
        <w:rPr>
          <w:sz w:val="24"/>
          <w:szCs w:val="24"/>
          <w:color w:val="auto"/>
        </w:rPr>
      </w:pPr>
    </w:p>
    <w:p>
      <w:pPr>
        <w:ind w:left="8640"/>
        <w:spacing w:after="0"/>
        <w:rPr>
          <w:sz w:val="20"/>
          <w:szCs w:val="20"/>
          <w:color w:val="auto"/>
        </w:rPr>
      </w:pPr>
      <w:r>
        <w:rPr>
          <w:rFonts w:ascii="Times New Roman" w:cs="Times New Roman" w:eastAsia="Times New Roman" w:hAnsi="Times New Roman"/>
          <w:sz w:val="18"/>
          <w:szCs w:val="18"/>
          <w:b w:val="1"/>
          <w:bCs w:val="1"/>
          <w:color w:val="auto"/>
        </w:rPr>
        <w:t>Registration No. 333-______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38100</wp:posOffset>
            </wp:positionV>
            <wp:extent cx="713359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97155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67" w:lineRule="exact"/>
        <w:rPr>
          <w:sz w:val="24"/>
          <w:szCs w:val="24"/>
          <w:color w:val="auto"/>
        </w:rPr>
      </w:pPr>
    </w:p>
    <w:tbl>
      <w:tblPr>
        <w:tblLayout w:type="fixed"/>
        <w:tblInd w:w="780" w:type="dxa"/>
        <w:tblCellMar>
          <w:top w:w="0" w:type="dxa"/>
          <w:left w:w="0" w:type="dxa"/>
          <w:bottom w:w="0" w:type="dxa"/>
          <w:right w:w="0" w:type="dxa"/>
        </w:tblCellMar>
      </w:tblPr>
      <w:tr>
        <w:trPr>
          <w:trHeight w:val="241"/>
        </w:trPr>
        <w:tc>
          <w:tcPr>
            <w:tcW w:w="2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960" w:type="dxa"/>
            <w:vAlign w:val="bottom"/>
            <w:gridSpan w:val="2"/>
          </w:tcPr>
          <w:p>
            <w:pPr>
              <w:jc w:val="center"/>
              <w:ind w:right="3071"/>
              <w:spacing w:after="0"/>
              <w:rPr>
                <w:sz w:val="20"/>
                <w:szCs w:val="20"/>
                <w:color w:val="auto"/>
              </w:rPr>
            </w:pPr>
            <w:r>
              <w:rPr>
                <w:rFonts w:ascii="Times New Roman" w:cs="Times New Roman" w:eastAsia="Times New Roman" w:hAnsi="Times New Roman"/>
                <w:sz w:val="21"/>
                <w:szCs w:val="21"/>
                <w:b w:val="1"/>
                <w:bCs w:val="1"/>
                <w:color w:val="auto"/>
              </w:rPr>
              <w:t>UNITED STATES</w:t>
            </w:r>
          </w:p>
        </w:tc>
      </w:tr>
      <w:tr>
        <w:trPr>
          <w:trHeight w:val="240"/>
        </w:trPr>
        <w:tc>
          <w:tcPr>
            <w:tcW w:w="2200" w:type="dxa"/>
            <w:vAlign w:val="bottom"/>
          </w:tcPr>
          <w:p>
            <w:pPr>
              <w:spacing w:after="0"/>
              <w:rPr>
                <w:sz w:val="20"/>
                <w:szCs w:val="20"/>
                <w:color w:val="auto"/>
              </w:rPr>
            </w:pPr>
          </w:p>
        </w:tc>
        <w:tc>
          <w:tcPr>
            <w:tcW w:w="7200" w:type="dxa"/>
            <w:vAlign w:val="bottom"/>
            <w:gridSpan w:val="3"/>
          </w:tcPr>
          <w:p>
            <w:pPr>
              <w:jc w:val="center"/>
              <w:ind w:right="1831"/>
              <w:spacing w:after="0" w:line="240" w:lineRule="exact"/>
              <w:rPr>
                <w:sz w:val="20"/>
                <w:szCs w:val="20"/>
                <w:color w:val="auto"/>
              </w:rPr>
            </w:pPr>
            <w:r>
              <w:rPr>
                <w:rFonts w:ascii="Times New Roman" w:cs="Times New Roman" w:eastAsia="Times New Roman" w:hAnsi="Times New Roman"/>
                <w:sz w:val="21"/>
                <w:szCs w:val="21"/>
                <w:b w:val="1"/>
                <w:bCs w:val="1"/>
                <w:color w:val="auto"/>
              </w:rPr>
              <w:t>SECURITIES AND EXCHANGE COMMISSION</w:t>
            </w:r>
          </w:p>
        </w:tc>
      </w:tr>
      <w:tr>
        <w:trPr>
          <w:trHeight w:val="282"/>
        </w:trPr>
        <w:tc>
          <w:tcPr>
            <w:tcW w:w="2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960" w:type="dxa"/>
            <w:vAlign w:val="bottom"/>
            <w:gridSpan w:val="2"/>
          </w:tcPr>
          <w:p>
            <w:pPr>
              <w:jc w:val="center"/>
              <w:ind w:right="3071"/>
              <w:spacing w:after="0"/>
              <w:rPr>
                <w:sz w:val="20"/>
                <w:szCs w:val="20"/>
                <w:color w:val="auto"/>
              </w:rPr>
            </w:pPr>
            <w:r>
              <w:rPr>
                <w:rFonts w:ascii="Times New Roman" w:cs="Times New Roman" w:eastAsia="Times New Roman" w:hAnsi="Times New Roman"/>
                <w:sz w:val="21"/>
                <w:szCs w:val="21"/>
                <w:b w:val="1"/>
                <w:bCs w:val="1"/>
                <w:color w:val="auto"/>
              </w:rPr>
              <w:t>WASHINGTON, D.C. 20549</w:t>
            </w:r>
          </w:p>
        </w:tc>
      </w:tr>
      <w:tr>
        <w:trPr>
          <w:trHeight w:val="43"/>
        </w:trPr>
        <w:tc>
          <w:tcPr>
            <w:tcW w:w="2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3140" w:type="dxa"/>
            <w:vAlign w:val="bottom"/>
          </w:tcPr>
          <w:p>
            <w:pPr>
              <w:spacing w:after="0"/>
              <w:rPr>
                <w:sz w:val="3"/>
                <w:szCs w:val="3"/>
                <w:color w:val="auto"/>
              </w:rPr>
            </w:pPr>
          </w:p>
        </w:tc>
      </w:tr>
      <w:tr>
        <w:trPr>
          <w:trHeight w:val="314"/>
        </w:trPr>
        <w:tc>
          <w:tcPr>
            <w:tcW w:w="2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960" w:type="dxa"/>
            <w:vAlign w:val="bottom"/>
            <w:gridSpan w:val="2"/>
          </w:tcPr>
          <w:p>
            <w:pPr>
              <w:jc w:val="center"/>
              <w:ind w:right="3071"/>
              <w:spacing w:after="0"/>
              <w:rPr>
                <w:sz w:val="20"/>
                <w:szCs w:val="20"/>
                <w:color w:val="auto"/>
              </w:rPr>
            </w:pPr>
            <w:r>
              <w:rPr>
                <w:rFonts w:ascii="Times New Roman" w:cs="Times New Roman" w:eastAsia="Times New Roman" w:hAnsi="Times New Roman"/>
                <w:sz w:val="25"/>
                <w:szCs w:val="25"/>
                <w:b w:val="1"/>
                <w:bCs w:val="1"/>
                <w:color w:val="auto"/>
                <w:w w:val="98"/>
              </w:rPr>
              <w:t>FORM S-8</w:t>
            </w:r>
          </w:p>
        </w:tc>
      </w:tr>
      <w:tr>
        <w:trPr>
          <w:trHeight w:val="294"/>
        </w:trPr>
        <w:tc>
          <w:tcPr>
            <w:tcW w:w="2200" w:type="dxa"/>
            <w:vAlign w:val="bottom"/>
          </w:tcPr>
          <w:p>
            <w:pPr>
              <w:spacing w:after="0"/>
              <w:rPr>
                <w:sz w:val="24"/>
                <w:szCs w:val="24"/>
                <w:color w:val="auto"/>
              </w:rPr>
            </w:pPr>
          </w:p>
        </w:tc>
        <w:tc>
          <w:tcPr>
            <w:tcW w:w="7200" w:type="dxa"/>
            <w:vAlign w:val="bottom"/>
            <w:gridSpan w:val="3"/>
          </w:tcPr>
          <w:p>
            <w:pPr>
              <w:jc w:val="center"/>
              <w:ind w:right="1831"/>
              <w:spacing w:after="0"/>
              <w:rPr>
                <w:sz w:val="20"/>
                <w:szCs w:val="20"/>
                <w:color w:val="auto"/>
              </w:rPr>
            </w:pPr>
            <w:r>
              <w:rPr>
                <w:rFonts w:ascii="Times New Roman" w:cs="Times New Roman" w:eastAsia="Times New Roman" w:hAnsi="Times New Roman"/>
                <w:sz w:val="25"/>
                <w:szCs w:val="25"/>
                <w:b w:val="1"/>
                <w:bCs w:val="1"/>
                <w:color w:val="auto"/>
                <w:w w:val="98"/>
              </w:rPr>
              <w:t>REGISTRATION STATEMENT</w:t>
            </w:r>
          </w:p>
        </w:tc>
      </w:tr>
      <w:tr>
        <w:trPr>
          <w:trHeight w:val="294"/>
        </w:trPr>
        <w:tc>
          <w:tcPr>
            <w:tcW w:w="2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960" w:type="dxa"/>
            <w:vAlign w:val="bottom"/>
            <w:gridSpan w:val="2"/>
          </w:tcPr>
          <w:p>
            <w:pPr>
              <w:jc w:val="center"/>
              <w:ind w:right="3071"/>
              <w:spacing w:after="0"/>
              <w:rPr>
                <w:sz w:val="20"/>
                <w:szCs w:val="20"/>
                <w:color w:val="auto"/>
              </w:rPr>
            </w:pPr>
            <w:r>
              <w:rPr>
                <w:rFonts w:ascii="Times New Roman" w:cs="Times New Roman" w:eastAsia="Times New Roman" w:hAnsi="Times New Roman"/>
                <w:sz w:val="25"/>
                <w:szCs w:val="25"/>
                <w:b w:val="1"/>
                <w:bCs w:val="1"/>
                <w:color w:val="auto"/>
                <w:w w:val="98"/>
              </w:rPr>
              <w:t>UNDER</w:t>
            </w:r>
          </w:p>
        </w:tc>
      </w:tr>
      <w:tr>
        <w:trPr>
          <w:trHeight w:val="330"/>
        </w:trPr>
        <w:tc>
          <w:tcPr>
            <w:tcW w:w="2200" w:type="dxa"/>
            <w:vAlign w:val="bottom"/>
          </w:tcPr>
          <w:p>
            <w:pPr>
              <w:spacing w:after="0"/>
              <w:rPr>
                <w:sz w:val="24"/>
                <w:szCs w:val="24"/>
                <w:color w:val="auto"/>
              </w:rPr>
            </w:pPr>
          </w:p>
        </w:tc>
        <w:tc>
          <w:tcPr>
            <w:tcW w:w="7200" w:type="dxa"/>
            <w:vAlign w:val="bottom"/>
            <w:gridSpan w:val="3"/>
          </w:tcPr>
          <w:p>
            <w:pPr>
              <w:jc w:val="center"/>
              <w:ind w:right="1811"/>
              <w:spacing w:after="0"/>
              <w:rPr>
                <w:sz w:val="20"/>
                <w:szCs w:val="20"/>
                <w:color w:val="auto"/>
              </w:rPr>
            </w:pPr>
            <w:r>
              <w:rPr>
                <w:rFonts w:ascii="Times New Roman" w:cs="Times New Roman" w:eastAsia="Times New Roman" w:hAnsi="Times New Roman"/>
                <w:sz w:val="25"/>
                <w:szCs w:val="25"/>
                <w:b w:val="1"/>
                <w:bCs w:val="1"/>
                <w:color w:val="auto"/>
                <w:w w:val="99"/>
              </w:rPr>
              <w:t>THE SECURITIES ACT OF 1933</w:t>
            </w:r>
          </w:p>
        </w:tc>
      </w:tr>
      <w:tr>
        <w:trPr>
          <w:trHeight w:val="627"/>
        </w:trPr>
        <w:tc>
          <w:tcPr>
            <w:tcW w:w="2200" w:type="dxa"/>
            <w:vAlign w:val="bottom"/>
          </w:tcPr>
          <w:p>
            <w:pPr>
              <w:spacing w:after="0"/>
              <w:rPr>
                <w:sz w:val="24"/>
                <w:szCs w:val="24"/>
                <w:color w:val="auto"/>
              </w:rPr>
            </w:pPr>
          </w:p>
        </w:tc>
        <w:tc>
          <w:tcPr>
            <w:tcW w:w="7200" w:type="dxa"/>
            <w:vAlign w:val="bottom"/>
            <w:gridSpan w:val="3"/>
          </w:tcPr>
          <w:p>
            <w:pPr>
              <w:jc w:val="center"/>
              <w:ind w:right="1831"/>
              <w:spacing w:after="0"/>
              <w:rPr>
                <w:sz w:val="20"/>
                <w:szCs w:val="20"/>
                <w:color w:val="auto"/>
              </w:rPr>
            </w:pPr>
            <w:r>
              <w:rPr>
                <w:rFonts w:ascii="Times New Roman" w:cs="Times New Roman" w:eastAsia="Times New Roman" w:hAnsi="Times New Roman"/>
                <w:sz w:val="39"/>
                <w:szCs w:val="39"/>
                <w:b w:val="1"/>
                <w:bCs w:val="1"/>
                <w:color w:val="auto"/>
                <w:w w:val="99"/>
              </w:rPr>
              <w:t>ACCURAY INCORPORATED</w:t>
            </w:r>
          </w:p>
        </w:tc>
      </w:tr>
      <w:tr>
        <w:trPr>
          <w:trHeight w:val="233"/>
        </w:trPr>
        <w:tc>
          <w:tcPr>
            <w:tcW w:w="2200" w:type="dxa"/>
            <w:vAlign w:val="bottom"/>
          </w:tcPr>
          <w:p>
            <w:pPr>
              <w:spacing w:after="0"/>
              <w:rPr>
                <w:sz w:val="20"/>
                <w:szCs w:val="20"/>
                <w:color w:val="auto"/>
              </w:rPr>
            </w:pPr>
          </w:p>
        </w:tc>
        <w:tc>
          <w:tcPr>
            <w:tcW w:w="7200" w:type="dxa"/>
            <w:vAlign w:val="bottom"/>
            <w:gridSpan w:val="3"/>
          </w:tcPr>
          <w:p>
            <w:pPr>
              <w:jc w:val="center"/>
              <w:ind w:right="1831"/>
              <w:spacing w:after="0"/>
              <w:rPr>
                <w:sz w:val="20"/>
                <w:szCs w:val="20"/>
                <w:color w:val="auto"/>
              </w:rPr>
            </w:pPr>
            <w:r>
              <w:rPr>
                <w:rFonts w:ascii="Times New Roman" w:cs="Times New Roman" w:eastAsia="Times New Roman" w:hAnsi="Times New Roman"/>
                <w:sz w:val="18"/>
                <w:szCs w:val="18"/>
                <w:color w:val="auto"/>
                <w:w w:val="98"/>
              </w:rPr>
              <w:t>(Exact name of registrant as specified in its charter)</w:t>
            </w:r>
          </w:p>
        </w:tc>
      </w:tr>
      <w:tr>
        <w:trPr>
          <w:trHeight w:val="622"/>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200" w:type="dxa"/>
            <w:vAlign w:val="bottom"/>
            <w:gridSpan w:val="3"/>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20-8370041</w:t>
            </w:r>
          </w:p>
        </w:tc>
      </w:tr>
      <w:tr>
        <w:trPr>
          <w:trHeight w:val="214"/>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(State or Other Jurisdiction of</w:t>
            </w:r>
          </w:p>
        </w:tc>
        <w:tc>
          <w:tcPr>
            <w:tcW w:w="12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140" w:type="dxa"/>
            <w:vAlign w:val="bottom"/>
          </w:tcPr>
          <w:p>
            <w:pPr>
              <w:jc w:val="center"/>
              <w:ind w:left="1471"/>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3"/>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2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140" w:type="dxa"/>
            <w:vAlign w:val="bottom"/>
          </w:tcPr>
          <w:p>
            <w:pPr>
              <w:jc w:val="center"/>
              <w:ind w:left="1411"/>
              <w:spacing w:after="0"/>
              <w:rPr>
                <w:sz w:val="20"/>
                <w:szCs w:val="20"/>
                <w:color w:val="auto"/>
              </w:rPr>
            </w:pPr>
            <w:r>
              <w:rPr>
                <w:rFonts w:ascii="Times New Roman" w:cs="Times New Roman" w:eastAsia="Times New Roman" w:hAnsi="Times New Roman"/>
                <w:sz w:val="18"/>
                <w:szCs w:val="18"/>
                <w:color w:val="auto"/>
                <w:w w:val="98"/>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169545</wp:posOffset>
            </wp:positionV>
            <wp:extent cx="1790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1240 Deming Way</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Madison, Wisconsin 53717</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173355</wp:posOffset>
            </wp:positionV>
            <wp:extent cx="17900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289" w:lineRule="exact"/>
        <w:rPr>
          <w:sz w:val="24"/>
          <w:szCs w:val="24"/>
          <w:color w:val="auto"/>
        </w:rPr>
      </w:pPr>
    </w:p>
    <w:p>
      <w:pPr>
        <w:jc w:val="center"/>
        <w:spacing w:after="0" w:line="255" w:lineRule="auto"/>
        <w:rPr>
          <w:sz w:val="20"/>
          <w:szCs w:val="20"/>
          <w:color w:val="auto"/>
        </w:rPr>
      </w:pPr>
      <w:r>
        <w:rPr>
          <w:rFonts w:ascii="Times New Roman" w:cs="Times New Roman" w:eastAsia="Times New Roman" w:hAnsi="Times New Roman"/>
          <w:sz w:val="21"/>
          <w:szCs w:val="21"/>
          <w:b w:val="1"/>
          <w:bCs w:val="1"/>
          <w:color w:val="auto"/>
        </w:rPr>
        <w:t>Accuray Incorporated Stand-Alone Inducement Restricted Stock Unit Agreement for Sofiane Laoussadi Accuray Incorporated Stand-Alone Inducement Performance Unit Agreement for Sofiane Laoussadi</w:t>
      </w:r>
    </w:p>
    <w:p>
      <w:pPr>
        <w:spacing w:after="0" w:line="1" w:lineRule="exact"/>
        <w:rPr>
          <w:sz w:val="24"/>
          <w:szCs w:val="24"/>
          <w:color w:val="auto"/>
        </w:rPr>
      </w:pPr>
    </w:p>
    <w:tbl>
      <w:tblPr>
        <w:tblLayout w:type="fixed"/>
        <w:tblInd w:w="1380" w:type="dxa"/>
        <w:tblCellMar>
          <w:top w:w="0" w:type="dxa"/>
          <w:left w:w="0" w:type="dxa"/>
          <w:bottom w:w="0" w:type="dxa"/>
          <w:right w:w="0" w:type="dxa"/>
        </w:tblCellMar>
      </w:tblPr>
      <w:tr>
        <w:trPr>
          <w:trHeight w:val="237"/>
        </w:trPr>
        <w:tc>
          <w:tcPr>
            <w:tcW w:w="2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Full Title of the Plan)</w:t>
            </w:r>
          </w:p>
        </w:tc>
      </w:tr>
      <w:tr>
        <w:trPr>
          <w:trHeight w:val="29"/>
        </w:trPr>
        <w:tc>
          <w:tcPr>
            <w:tcW w:w="2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r>
      <w:tr>
        <w:trPr>
          <w:trHeight w:val="452"/>
        </w:trPr>
        <w:tc>
          <w:tcPr>
            <w:tcW w:w="3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Stephen La Neve</w:t>
            </w:r>
          </w:p>
        </w:tc>
        <w:tc>
          <w:tcPr>
            <w:tcW w:w="2500" w:type="dxa"/>
            <w:vAlign w:val="bottom"/>
          </w:tcPr>
          <w:p>
            <w:pPr>
              <w:spacing w:after="0"/>
              <w:rPr>
                <w:sz w:val="24"/>
                <w:szCs w:val="24"/>
                <w:color w:val="auto"/>
              </w:rPr>
            </w:pPr>
          </w:p>
        </w:tc>
        <w:tc>
          <w:tcPr>
            <w:tcW w:w="29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Copy to:</w:t>
            </w:r>
          </w:p>
        </w:tc>
      </w:tr>
      <w:tr>
        <w:trPr>
          <w:trHeight w:val="214"/>
        </w:trPr>
        <w:tc>
          <w:tcPr>
            <w:tcW w:w="3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President and Chief Executive Officer</w:t>
            </w:r>
          </w:p>
        </w:tc>
        <w:tc>
          <w:tcPr>
            <w:tcW w:w="2500" w:type="dxa"/>
            <w:vAlign w:val="bottom"/>
          </w:tcPr>
          <w:p>
            <w:pPr>
              <w:spacing w:after="0"/>
              <w:rPr>
                <w:sz w:val="18"/>
                <w:szCs w:val="18"/>
                <w:color w:val="auto"/>
              </w:rPr>
            </w:pPr>
          </w:p>
        </w:tc>
        <w:tc>
          <w:tcPr>
            <w:tcW w:w="29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Katharine A. Martin</w:t>
            </w:r>
          </w:p>
        </w:tc>
      </w:tr>
      <w:tr>
        <w:trPr>
          <w:trHeight w:val="214"/>
        </w:trPr>
        <w:tc>
          <w:tcPr>
            <w:tcW w:w="3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Accuray Incorporated</w:t>
            </w:r>
          </w:p>
        </w:tc>
        <w:tc>
          <w:tcPr>
            <w:tcW w:w="2500" w:type="dxa"/>
            <w:vAlign w:val="bottom"/>
          </w:tcPr>
          <w:p>
            <w:pPr>
              <w:spacing w:after="0"/>
              <w:rPr>
                <w:sz w:val="18"/>
                <w:szCs w:val="18"/>
                <w:color w:val="auto"/>
              </w:rPr>
            </w:pPr>
          </w:p>
        </w:tc>
        <w:tc>
          <w:tcPr>
            <w:tcW w:w="29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Lisa L. Stimmell</w:t>
            </w:r>
          </w:p>
        </w:tc>
      </w:tr>
      <w:tr>
        <w:trPr>
          <w:trHeight w:val="214"/>
        </w:trPr>
        <w:tc>
          <w:tcPr>
            <w:tcW w:w="3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1240 Deming Way</w:t>
            </w:r>
          </w:p>
        </w:tc>
        <w:tc>
          <w:tcPr>
            <w:tcW w:w="5400" w:type="dxa"/>
            <w:vAlign w:val="bottom"/>
            <w:gridSpan w:val="2"/>
          </w:tcPr>
          <w:p>
            <w:pPr>
              <w:jc w:val="center"/>
              <w:ind w:left="2291"/>
              <w:spacing w:after="0"/>
              <w:rPr>
                <w:sz w:val="20"/>
                <w:szCs w:val="20"/>
                <w:color w:val="auto"/>
              </w:rPr>
            </w:pPr>
            <w:r>
              <w:rPr>
                <w:rFonts w:ascii="Times New Roman" w:cs="Times New Roman" w:eastAsia="Times New Roman" w:hAnsi="Times New Roman"/>
                <w:sz w:val="18"/>
                <w:szCs w:val="18"/>
                <w:b w:val="1"/>
                <w:bCs w:val="1"/>
                <w:color w:val="auto"/>
                <w:w w:val="98"/>
              </w:rPr>
              <w:t>Wilson Sonsini Goodrich &amp; Rosati, P.C.</w:t>
            </w:r>
          </w:p>
        </w:tc>
      </w:tr>
      <w:tr>
        <w:trPr>
          <w:trHeight w:val="214"/>
        </w:trPr>
        <w:tc>
          <w:tcPr>
            <w:tcW w:w="3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Madison, WI 53717</w:t>
            </w:r>
          </w:p>
        </w:tc>
        <w:tc>
          <w:tcPr>
            <w:tcW w:w="2500" w:type="dxa"/>
            <w:vAlign w:val="bottom"/>
          </w:tcPr>
          <w:p>
            <w:pPr>
              <w:spacing w:after="0"/>
              <w:rPr>
                <w:sz w:val="18"/>
                <w:szCs w:val="18"/>
                <w:color w:val="auto"/>
              </w:rPr>
            </w:pPr>
          </w:p>
        </w:tc>
        <w:tc>
          <w:tcPr>
            <w:tcW w:w="290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8"/>
              </w:rPr>
              <w:t>650 Page Mill Road</w:t>
            </w:r>
          </w:p>
        </w:tc>
      </w:tr>
      <w:tr>
        <w:trPr>
          <w:trHeight w:val="214"/>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(608) 824-2800</w:t>
            </w:r>
          </w:p>
        </w:tc>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Palo Alto, CA 94304</w:t>
            </w:r>
          </w:p>
        </w:tc>
      </w:tr>
      <w:tr>
        <w:trPr>
          <w:trHeight w:val="237"/>
        </w:trPr>
        <w:tc>
          <w:tcPr>
            <w:tcW w:w="2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0" w:type="dxa"/>
            <w:vAlign w:val="bottom"/>
            <w:gridSpan w:val="2"/>
          </w:tcPr>
          <w:p>
            <w:pPr>
              <w:jc w:val="center"/>
              <w:ind w:left="2311"/>
              <w:spacing w:after="0"/>
              <w:rPr>
                <w:sz w:val="20"/>
                <w:szCs w:val="20"/>
                <w:color w:val="auto"/>
              </w:rPr>
            </w:pPr>
            <w:r>
              <w:rPr>
                <w:rFonts w:ascii="Times New Roman" w:cs="Times New Roman" w:eastAsia="Times New Roman" w:hAnsi="Times New Roman"/>
                <w:sz w:val="18"/>
                <w:szCs w:val="18"/>
                <w:b w:val="1"/>
                <w:bCs w:val="1"/>
                <w:color w:val="auto"/>
                <w:w w:val="99"/>
              </w:rPr>
              <w:t>(650) 493-9300</w:t>
            </w:r>
          </w:p>
        </w:tc>
      </w:tr>
    </w:tbl>
    <w:p>
      <w:pPr>
        <w:spacing w:after="0" w:line="1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and Address, Including Zip Code, and Telephone Number,</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Including Area Code, of Agent for Service)</w:t>
      </w:r>
    </w:p>
    <w:p>
      <w:pPr>
        <w:spacing w:after="0" w:line="202" w:lineRule="exact"/>
        <w:rPr>
          <w:sz w:val="24"/>
          <w:szCs w:val="24"/>
          <w:color w:val="auto"/>
        </w:rPr>
      </w:pPr>
    </w:p>
    <w:p>
      <w:pPr>
        <w:jc w:val="both"/>
        <w:ind w:firstLine="16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38" w:right="339" w:bottom="1440" w:gutter="0" w:footer="0" w:header="0"/>
        </w:sectPr>
      </w:pPr>
    </w:p>
    <w:p>
      <w:pPr>
        <w:spacing w:after="0" w:line="13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422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20" w:space="720"/>
            <w:col w:w="5600"/>
          </w:cols>
          <w:pgMar w:left="320" w:top="438" w:right="339" w:bottom="1440" w:gutter="0" w:footer="0" w:header="0"/>
          <w:type w:val="continuous"/>
        </w:sectPr>
      </w:pPr>
    </w:p>
    <w:p>
      <w:pPr>
        <w:spacing w:after="0" w:line="3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20" w:space="720"/>
            <w:col w:w="5600"/>
          </w:cols>
          <w:pgMar w:left="320" w:top="438" w:right="339" w:bottom="1440" w:gutter="0" w:footer="0" w:header="0"/>
          <w:type w:val="continuous"/>
        </w:sectPr>
      </w:pPr>
    </w:p>
    <w:p>
      <w:pPr>
        <w:spacing w:after="0" w:line="32" w:lineRule="exact"/>
        <w:rPr>
          <w:sz w:val="24"/>
          <w:szCs w:val="24"/>
          <w:color w:val="auto"/>
        </w:rPr>
      </w:pPr>
    </w:p>
    <w:p>
      <w:pPr>
        <w:ind w:left="56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438" w:right="339" w:bottom="1440" w:gutter="0" w:footer="0" w:header="0"/>
          <w:type w:val="continuous"/>
        </w:sectPr>
      </w:pPr>
    </w:p>
    <w:p>
      <w:pPr>
        <w:spacing w:after="0" w:line="273" w:lineRule="exact"/>
        <w:rPr>
          <w:sz w:val="24"/>
          <w:szCs w:val="24"/>
          <w:color w:val="auto"/>
        </w:rPr>
      </w:pPr>
    </w:p>
    <w:p>
      <w:pPr>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490855</wp:posOffset>
            </wp:positionV>
            <wp:extent cx="71335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38"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24"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The following documents, which were filed with the Securities and Exchange Commission (the “Commission”), are incorporated herein by reference (excluding any portions of such documents that have been “furnished” but not “filed” for purposes of the Securities Exchange Act of 1934, as amended (the “Exchange Act”)):</w:t>
      </w:r>
    </w:p>
    <w:p>
      <w:pPr>
        <w:spacing w:after="0" w:line="177" w:lineRule="exact"/>
        <w:rPr>
          <w:sz w:val="20"/>
          <w:szCs w:val="20"/>
          <w:color w:val="auto"/>
        </w:rPr>
      </w:pPr>
    </w:p>
    <w:p>
      <w:pPr>
        <w:ind w:left="960" w:right="200" w:hanging="312"/>
        <w:spacing w:after="0" w:line="26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June 30, 2026, filed with the Commission on August 27, 2026, including the information specifically incorporated by reference therein from the Registrant’s </w:t>
      </w:r>
      <w:hyperlink r:id="rId14">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Schedule 14A for its 2026 Annual Meeting of Stockholders filed with the Commission on October 16, 2026 (File No. 001-33301);</w:t>
      </w:r>
    </w:p>
    <w:p>
      <w:pPr>
        <w:spacing w:after="0" w:line="177" w:lineRule="exact"/>
        <w:rPr>
          <w:rFonts w:ascii="Times New Roman" w:cs="Times New Roman" w:eastAsia="Times New Roman" w:hAnsi="Times New Roman"/>
          <w:sz w:val="18"/>
          <w:szCs w:val="18"/>
          <w:color w:val="auto"/>
        </w:rPr>
      </w:pPr>
    </w:p>
    <w:p>
      <w:pPr>
        <w:ind w:left="960" w:hanging="312"/>
        <w:spacing w:after="0" w:line="277" w:lineRule="auto"/>
        <w:tabs>
          <w:tab w:leader="none" w:pos="960" w:val="left"/>
        </w:tabs>
        <w:numPr>
          <w:ilvl w:val="0"/>
          <w:numId w:val="1"/>
        </w:numPr>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auto"/>
          </w:rPr>
          <w:t xml:space="preserve">The Registrant’s Current Reports on Form 8-K filed with the Commission (File No. 001-33301) on </w:t>
        </w:r>
        <w:r>
          <w:rPr>
            <w:rFonts w:ascii="Times New Roman" w:cs="Times New Roman" w:eastAsia="Times New Roman" w:hAnsi="Times New Roman"/>
            <w:sz w:val="18"/>
            <w:szCs w:val="18"/>
            <w:u w:val="single" w:color="auto"/>
            <w:color w:val="0000EE"/>
          </w:rPr>
          <w:t>July 29,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 6,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October 6,</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16">
        <w:r>
          <w:rPr>
            <w:rFonts w:ascii="Times New Roman" w:cs="Times New Roman" w:eastAsia="Times New Roman" w:hAnsi="Times New Roman"/>
            <w:sz w:val="18"/>
            <w:szCs w:val="18"/>
            <w:u w:val="single" w:color="auto"/>
            <w:color w:val="0000EE"/>
          </w:rPr>
          <w:t xml:space="preserve">October 13, 2026 </w:t>
        </w:r>
      </w:hyperlink>
      <w:hyperlink r:id="rId15">
        <w:r>
          <w:rPr>
            <w:rFonts w:ascii="Times New Roman" w:cs="Times New Roman" w:eastAsia="Times New Roman" w:hAnsi="Times New Roman"/>
            <w:sz w:val="18"/>
            <w:szCs w:val="18"/>
            <w:color w:val="000000"/>
          </w:rPr>
          <w:t>(other than the portions of these documents not deemed to be filed); and</w:t>
        </w:r>
      </w:hyperlink>
    </w:p>
    <w:p>
      <w:pPr>
        <w:spacing w:after="0" w:line="163" w:lineRule="exact"/>
        <w:rPr>
          <w:rFonts w:ascii="Times New Roman" w:cs="Times New Roman" w:eastAsia="Times New Roman" w:hAnsi="Times New Roman"/>
          <w:sz w:val="18"/>
          <w:szCs w:val="18"/>
          <w:color w:val="0000EE"/>
        </w:rPr>
      </w:pPr>
    </w:p>
    <w:p>
      <w:pPr>
        <w:ind w:left="960" w:hanging="312"/>
        <w:spacing w:after="0" w:line="277"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contained in the Registrant’s Registration Statement on </w:t>
      </w:r>
      <w:hyperlink r:id="rId1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on February 7, 2007 (File No. 001-33301), including any subsequently filed amendments and reports updating that description.</w:t>
      </w:r>
    </w:p>
    <w:p>
      <w:pPr>
        <w:spacing w:after="0" w:line="163" w:lineRule="exact"/>
        <w:rPr>
          <w:rFonts w:ascii="Times New Roman" w:cs="Times New Roman" w:eastAsia="Times New Roman" w:hAnsi="Times New Roman"/>
          <w:sz w:val="18"/>
          <w:szCs w:val="18"/>
          <w:color w:val="0000EE"/>
        </w:rPr>
      </w:pPr>
    </w:p>
    <w:p>
      <w:pPr>
        <w:jc w:val="both"/>
        <w:ind w:firstLine="641"/>
        <w:spacing w:after="0" w:line="268" w:lineRule="auto"/>
        <w:rPr>
          <w:sz w:val="20"/>
          <w:szCs w:val="20"/>
          <w:color w:val="auto"/>
        </w:rPr>
      </w:pPr>
      <w:r>
        <w:rPr>
          <w:rFonts w:ascii="Times New Roman" w:cs="Times New Roman" w:eastAsia="Times New Roman" w:hAnsi="Times New Roman"/>
          <w:sz w:val="17"/>
          <w:szCs w:val="17"/>
          <w:color w:val="auto"/>
        </w:rPr>
        <w:t>All documents subsequently filed by the Registrant pursuant to Section 13(a), 13(c), 14 or 15(d) of the Exchange Act on or after the date of this Registration Statement and prior to the filing of a post-effective amendment which indicates that all securities offered hereby have been sold or deregistering all securities then remaining unsold, shall be deemed to be incorporated by reference herein and to be a part of this Registration Statement from the date of the filing of such documents. Any statement contained in a document incorporated or deemed to be incorporated by reference herein shall be deemed to be modified or superseded for purposes of this Registration Statement to the extent that a statement contained in this Registration Statement, or in any subsequently filed document which also is or is deemed to be incorporated by reference in this Registration Statement, modifies or supersedes such statement. Any statement so modified or superseded shall not be deemed, except as so modified or superseded, to be a part of this Registration Statement. Information contained in a Current Report on Form 8-K furnished to the Commission will not be incorporated by reference into this Registration Statement.</w:t>
      </w:r>
    </w:p>
    <w:p>
      <w:pPr>
        <w:spacing w:after="0" w:line="173"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4"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The Common Stock being registered hereunder has been registered pursuant to Section 12 of the Exchange Act.</w:t>
      </w:r>
    </w:p>
    <w:p>
      <w:pPr>
        <w:spacing w:after="0" w:line="216"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4"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4" w:lineRule="exact"/>
        <w:rPr>
          <w:rFonts w:ascii="Times New Roman" w:cs="Times New Roman" w:eastAsia="Times New Roman" w:hAnsi="Times New Roman"/>
          <w:sz w:val="18"/>
          <w:szCs w:val="18"/>
          <w:color w:val="0000EE"/>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Section 145 of the General Corporation Law of the State of Delaware (the “DGCL”) authorizes a corporation’s board of directors to grant, and authorizes a court to award, indemnity to officers, directors and other corporate agents under certain circumstances.</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4445</wp:posOffset>
            </wp:positionH>
            <wp:positionV relativeFrom="paragraph">
              <wp:posOffset>488950</wp:posOffset>
            </wp:positionV>
            <wp:extent cx="71335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 w:name="page3"/>
    <w:bookmarkEnd w:id="2"/>
    <w:p>
      <w:pPr>
        <w:jc w:val="both"/>
        <w:ind w:firstLine="641"/>
        <w:spacing w:after="0" w:line="285" w:lineRule="auto"/>
        <w:rPr>
          <w:sz w:val="20"/>
          <w:szCs w:val="20"/>
          <w:color w:val="auto"/>
        </w:rPr>
      </w:pPr>
      <w:r>
        <w:rPr>
          <w:rFonts w:ascii="Times New Roman" w:cs="Times New Roman" w:eastAsia="Times New Roman" w:hAnsi="Times New Roman"/>
          <w:sz w:val="17"/>
          <w:szCs w:val="17"/>
          <w:color w:val="auto"/>
        </w:rPr>
        <w:t>As permitted by Section 102(b)(7) of the DGCL, the Registrant’s amended and restated certificate of incorporation contains provisions that limit the liability of its directors for monetary damages to the fullest extent permitted by Delaware law. Consequently, the Registrant’s directors will not be personally liable to the Registrant or its stockholders for monetary damages for any breach of fiduciary duties as directors, except liability for the following:</w:t>
      </w:r>
    </w:p>
    <w:p>
      <w:pPr>
        <w:spacing w:after="0" w:line="159" w:lineRule="exact"/>
        <w:rPr>
          <w:sz w:val="20"/>
          <w:szCs w:val="20"/>
          <w:color w:val="auto"/>
        </w:rPr>
      </w:pPr>
    </w:p>
    <w:p>
      <w:pPr>
        <w:ind w:left="1280" w:hanging="311"/>
        <w:spacing w:after="0"/>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Registrant or to its stockholders;</w:t>
      </w:r>
    </w:p>
    <w:p>
      <w:pPr>
        <w:spacing w:after="0" w:line="220" w:lineRule="exact"/>
        <w:rPr>
          <w:rFonts w:ascii="Times New Roman" w:cs="Times New Roman" w:eastAsia="Times New Roman" w:hAnsi="Times New Roman"/>
          <w:sz w:val="18"/>
          <w:szCs w:val="18"/>
          <w:color w:val="auto"/>
        </w:rPr>
      </w:pPr>
    </w:p>
    <w:p>
      <w:pPr>
        <w:ind w:left="1280" w:hanging="311"/>
        <w:spacing w:after="0"/>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220" w:lineRule="exact"/>
        <w:rPr>
          <w:rFonts w:ascii="Times New Roman" w:cs="Times New Roman" w:eastAsia="Times New Roman" w:hAnsi="Times New Roman"/>
          <w:sz w:val="18"/>
          <w:szCs w:val="18"/>
          <w:color w:val="auto"/>
        </w:rPr>
      </w:pPr>
    </w:p>
    <w:p>
      <w:pPr>
        <w:ind w:left="1280" w:hanging="311"/>
        <w:spacing w:after="0"/>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 of dividends or unlawful stock repurchases or redemptions; and</w:t>
      </w:r>
    </w:p>
    <w:p>
      <w:pPr>
        <w:spacing w:after="0" w:line="220" w:lineRule="exact"/>
        <w:rPr>
          <w:rFonts w:ascii="Times New Roman" w:cs="Times New Roman" w:eastAsia="Times New Roman" w:hAnsi="Times New Roman"/>
          <w:sz w:val="18"/>
          <w:szCs w:val="18"/>
          <w:color w:val="auto"/>
        </w:rPr>
      </w:pPr>
    </w:p>
    <w:p>
      <w:pPr>
        <w:ind w:left="1280" w:hanging="311"/>
        <w:spacing w:after="0"/>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0"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The Registrant’s amended and restated certificate of incorporation provides that it may indemnify to the fullest extent permitted by law any person made or threatened to be made a party to an action or proceeding, whether criminal, civil, administrative or investigative, by reason of the fact that he, his testator or intestate is or was a director, officer, employee or agent of the Registrant or any predecessor of the Registrant, or serves or served at any other enterprise as a director, officer, employee or agent at the request of the Registrant or any predecessor to the Registrant.</w:t>
      </w:r>
    </w:p>
    <w:p>
      <w:pPr>
        <w:spacing w:after="0" w:line="182"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If Delaware law is amended to authorize corporate action further eliminating or limiting the personal liability of a director, then the liability of the Registrant’s directors will be eliminated or limited to the fullest extent permitted by Delaware law, as so amended. The Registrant’s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w:t>
      </w:r>
    </w:p>
    <w:p>
      <w:pPr>
        <w:spacing w:after="0" w:line="183"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The Registrant’s amended and restated bylaws provide that the Registrant shall indemnify and hold harmless, to the fullest extent permitted by the DGCL as it presently exists or may hereafter be amended, any director or officer of the Registrant who was or is made or is threatened to be made a party or is otherwise involved in any action, suit or proceeding, whether civil, criminal, administrative or investigative by reason of the fact that he or she, or a person for whom he or she is the legal representative, is or was a director, officer, employee or agent of the Registrant or is or was serving at the request of the Registrant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action, suit or proceeding.</w:t>
      </w:r>
    </w:p>
    <w:p>
      <w:pPr>
        <w:spacing w:after="0" w:line="189"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Further, the Registrant has entered into indemnification agreements with each of its current directors and officers. These agreements provide for the indemnification of the Registrant’s directors and officers for all reasonable expenses and liabilities incurred in connection with any action or proceeding brought against them by reason of the fact that they are or were the Registrant’s agents. The Registrant also maintains directors’ and officers’ liability insurance.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527685</wp:posOffset>
            </wp:positionV>
            <wp:extent cx="71335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7"/>
        </w:trPr>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8340" w:type="dxa"/>
            <w:vAlign w:val="bottom"/>
            <w:gridSpan w:val="10"/>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87"/>
        </w:trPr>
        <w:tc>
          <w:tcPr>
            <w:tcW w:w="16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Exhibit Descriptions</w:t>
            </w:r>
          </w:p>
        </w:tc>
      </w:tr>
      <w:tr>
        <w:trPr>
          <w:trHeight w:val="194"/>
        </w:trPr>
        <w:tc>
          <w:tcPr>
            <w:tcW w:w="160" w:type="dxa"/>
            <w:vAlign w:val="bottom"/>
          </w:tcPr>
          <w:p>
            <w:pPr>
              <w:spacing w:after="0"/>
              <w:rPr>
                <w:sz w:val="16"/>
                <w:szCs w:val="16"/>
                <w:color w:val="auto"/>
              </w:rPr>
            </w:pPr>
          </w:p>
        </w:tc>
        <w:tc>
          <w:tcPr>
            <w:tcW w:w="58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No.</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07"/>
        </w:trPr>
        <w:tc>
          <w:tcPr>
            <w:tcW w:w="16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r:id="rId20">
              <w:r>
                <w:rPr>
                  <w:rFonts w:ascii="Times New Roman" w:cs="Times New Roman" w:eastAsia="Times New Roman" w:hAnsi="Times New Roman"/>
                  <w:sz w:val="18"/>
                  <w:szCs w:val="18"/>
                  <w:color w:val="0000EE"/>
                  <w:w w:val="98"/>
                </w:rPr>
                <w:t>Form of Common Stock Certificate.</w:t>
              </w:r>
            </w:hyperlink>
          </w:p>
        </w:tc>
        <w:tc>
          <w:tcPr>
            <w:tcW w:w="5460" w:type="dxa"/>
            <w:vAlign w:val="bottom"/>
            <w:gridSpan w:val="6"/>
          </w:tcPr>
          <w:p>
            <w:pPr>
              <w:spacing w:after="0"/>
              <w:rPr>
                <w:sz w:val="24"/>
                <w:szCs w:val="24"/>
                <w:color w:val="auto"/>
              </w:rPr>
            </w:pPr>
          </w:p>
        </w:tc>
      </w:tr>
      <w:tr>
        <w:trPr>
          <w:trHeight w:val="194"/>
        </w:trPr>
        <w:tc>
          <w:tcPr>
            <w:tcW w:w="740" w:type="dxa"/>
            <w:vAlign w:val="bottom"/>
            <w:gridSpan w:val="3"/>
          </w:tcPr>
          <w:p>
            <w:pPr>
              <w:ind w:left="160"/>
              <w:spacing w:after="0" w:line="193" w:lineRule="exact"/>
              <w:rPr>
                <w:sz w:val="20"/>
                <w:szCs w:val="20"/>
                <w:color w:val="auto"/>
              </w:rPr>
            </w:pPr>
            <w:r>
              <w:rPr>
                <w:rFonts w:ascii="Times New Roman" w:cs="Times New Roman" w:eastAsia="Times New Roman" w:hAnsi="Times New Roman"/>
                <w:sz w:val="14"/>
                <w:szCs w:val="14"/>
                <w:color w:val="auto"/>
              </w:rPr>
              <w:t>5.1</w:t>
            </w:r>
            <w:r>
              <w:rPr>
                <w:rFonts w:ascii="Times New Roman" w:cs="Times New Roman" w:eastAsia="Times New Roman" w:hAnsi="Times New Roman"/>
                <w:sz w:val="22"/>
                <w:szCs w:val="22"/>
                <w:color w:val="auto"/>
                <w:vertAlign w:val="superscript"/>
              </w:rPr>
              <w:t>(2)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4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EE"/>
              </w:rPr>
              <w:t>Opinion of Wilson Sonsini Goodrich &amp; Rosati, Professional Corporation.</w:t>
            </w:r>
          </w:p>
        </w:tc>
      </w:tr>
      <w:tr>
        <w:trPr>
          <w:trHeight w:val="20"/>
        </w:trPr>
        <w:tc>
          <w:tcPr>
            <w:tcW w:w="7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4"/>
        </w:trPr>
        <w:tc>
          <w:tcPr>
            <w:tcW w:w="740" w:type="dxa"/>
            <w:vAlign w:val="bottom"/>
            <w:gridSpan w:val="3"/>
          </w:tcPr>
          <w:p>
            <w:pPr>
              <w:ind w:left="160"/>
              <w:spacing w:after="0" w:line="193" w:lineRule="exact"/>
              <w:rPr>
                <w:sz w:val="20"/>
                <w:szCs w:val="20"/>
                <w:color w:val="auto"/>
              </w:rPr>
            </w:pPr>
            <w:r>
              <w:rPr>
                <w:rFonts w:ascii="Times New Roman" w:cs="Times New Roman" w:eastAsia="Times New Roman" w:hAnsi="Times New Roman"/>
                <w:sz w:val="14"/>
                <w:szCs w:val="14"/>
                <w:color w:val="auto"/>
              </w:rPr>
              <w:t>23.1</w:t>
            </w:r>
            <w:r>
              <w:rPr>
                <w:rFonts w:ascii="Times New Roman" w:cs="Times New Roman" w:eastAsia="Times New Roman" w:hAnsi="Times New Roman"/>
                <w:sz w:val="22"/>
                <w:szCs w:val="22"/>
                <w:color w:val="auto"/>
                <w:vertAlign w:val="superscript"/>
              </w:rPr>
              <w:t>(2)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4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EE"/>
              </w:rPr>
              <w:t>Consent of Wilson Sonsini Goodrich &amp; Rosati, Professional Corporation (included in Exhibit 5.1).</w:t>
            </w:r>
          </w:p>
        </w:tc>
      </w:tr>
      <w:tr>
        <w:trPr>
          <w:trHeight w:val="194"/>
        </w:trPr>
        <w:tc>
          <w:tcPr>
            <w:tcW w:w="740" w:type="dxa"/>
            <w:vAlign w:val="bottom"/>
            <w:gridSpan w:val="3"/>
          </w:tcPr>
          <w:p>
            <w:pPr>
              <w:ind w:left="160"/>
              <w:spacing w:after="0" w:line="193" w:lineRule="exact"/>
              <w:rPr>
                <w:sz w:val="20"/>
                <w:szCs w:val="20"/>
                <w:color w:val="auto"/>
              </w:rPr>
            </w:pPr>
            <w:r>
              <w:rPr>
                <w:rFonts w:ascii="Times New Roman" w:cs="Times New Roman" w:eastAsia="Times New Roman" w:hAnsi="Times New Roman"/>
                <w:sz w:val="14"/>
                <w:szCs w:val="14"/>
                <w:color w:val="auto"/>
              </w:rPr>
              <w:t>23.2</w:t>
            </w:r>
            <w:r>
              <w:rPr>
                <w:rFonts w:ascii="Times New Roman" w:cs="Times New Roman" w:eastAsia="Times New Roman" w:hAnsi="Times New Roman"/>
                <w:sz w:val="22"/>
                <w:szCs w:val="22"/>
                <w:color w:val="auto"/>
                <w:vertAlign w:val="superscript"/>
              </w:rPr>
              <w:t>(2)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700" w:type="dxa"/>
            <w:vAlign w:val="bottom"/>
            <w:tcBorders>
              <w:top w:val="single" w:sz="8" w:color="0000EE"/>
              <w:bottom w:val="single" w:sz="8" w:color="0000EE"/>
            </w:tcBorders>
            <w:gridSpan w:val="6"/>
          </w:tcPr>
          <w:p>
            <w:pPr>
              <w:spacing w:after="0" w:line="194" w:lineRule="exact"/>
              <w:rPr>
                <w:sz w:val="20"/>
                <w:szCs w:val="20"/>
                <w:color w:val="auto"/>
              </w:rPr>
            </w:pPr>
            <w:r>
              <w:rPr>
                <w:rFonts w:ascii="Times New Roman" w:cs="Times New Roman" w:eastAsia="Times New Roman" w:hAnsi="Times New Roman"/>
                <w:sz w:val="18"/>
                <w:szCs w:val="18"/>
                <w:color w:val="0000EE"/>
                <w:w w:val="98"/>
              </w:rPr>
              <w:t>Consent of Grant Thornton LLP, independent registered public accounting firm.</w:t>
            </w:r>
          </w:p>
        </w:tc>
        <w:tc>
          <w:tcPr>
            <w:tcW w:w="1320" w:type="dxa"/>
            <w:vAlign w:val="bottom"/>
            <w:tcBorders>
              <w:top w:val="single" w:sz="8" w:color="0000EE"/>
            </w:tcBorders>
          </w:tcPr>
          <w:p>
            <w:pPr>
              <w:spacing w:after="0"/>
              <w:rPr>
                <w:sz w:val="16"/>
                <w:szCs w:val="16"/>
                <w:color w:val="auto"/>
              </w:rPr>
            </w:pPr>
          </w:p>
        </w:tc>
        <w:tc>
          <w:tcPr>
            <w:tcW w:w="1020" w:type="dxa"/>
            <w:vAlign w:val="bottom"/>
            <w:gridSpan w:val="2"/>
          </w:tcPr>
          <w:p>
            <w:pPr>
              <w:spacing w:after="0"/>
              <w:rPr>
                <w:sz w:val="16"/>
                <w:szCs w:val="16"/>
                <w:color w:val="auto"/>
              </w:rPr>
            </w:pPr>
          </w:p>
        </w:tc>
      </w:tr>
      <w:tr>
        <w:trPr>
          <w:trHeight w:val="194"/>
        </w:trPr>
        <w:tc>
          <w:tcPr>
            <w:tcW w:w="740" w:type="dxa"/>
            <w:vAlign w:val="bottom"/>
            <w:gridSpan w:val="3"/>
          </w:tcPr>
          <w:p>
            <w:pPr>
              <w:ind w:left="160"/>
              <w:spacing w:after="0" w:line="193" w:lineRule="exact"/>
              <w:rPr>
                <w:sz w:val="20"/>
                <w:szCs w:val="20"/>
                <w:color w:val="auto"/>
              </w:rPr>
            </w:pPr>
            <w:r>
              <w:rPr>
                <w:rFonts w:ascii="Times New Roman" w:cs="Times New Roman" w:eastAsia="Times New Roman" w:hAnsi="Times New Roman"/>
                <w:sz w:val="14"/>
                <w:szCs w:val="14"/>
                <w:color w:val="auto"/>
              </w:rPr>
              <w:t>24.1</w:t>
            </w:r>
            <w:r>
              <w:rPr>
                <w:rFonts w:ascii="Times New Roman" w:cs="Times New Roman" w:eastAsia="Times New Roman" w:hAnsi="Times New Roman"/>
                <w:sz w:val="22"/>
                <w:szCs w:val="22"/>
                <w:color w:val="auto"/>
                <w:vertAlign w:val="superscript"/>
              </w:rPr>
              <w:t>(2)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2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8"/>
              </w:rPr>
              <w:t>Power of Attorney (contained on signature page hereto).</w:t>
            </w:r>
          </w:p>
        </w:tc>
        <w:tc>
          <w:tcPr>
            <w:tcW w:w="4020" w:type="dxa"/>
            <w:vAlign w:val="bottom"/>
            <w:gridSpan w:val="5"/>
          </w:tcPr>
          <w:p>
            <w:pPr>
              <w:spacing w:after="0"/>
              <w:rPr>
                <w:sz w:val="16"/>
                <w:szCs w:val="16"/>
                <w:color w:val="auto"/>
              </w:rPr>
            </w:pPr>
          </w:p>
        </w:tc>
      </w:tr>
      <w:tr>
        <w:trPr>
          <w:trHeight w:val="194"/>
        </w:trPr>
        <w:tc>
          <w:tcPr>
            <w:tcW w:w="740" w:type="dxa"/>
            <w:vAlign w:val="bottom"/>
            <w:gridSpan w:val="3"/>
          </w:tcPr>
          <w:p>
            <w:pPr>
              <w:ind w:left="160"/>
              <w:spacing w:after="0" w:line="193" w:lineRule="exact"/>
              <w:rPr>
                <w:sz w:val="20"/>
                <w:szCs w:val="20"/>
                <w:color w:val="auto"/>
              </w:rPr>
            </w:pPr>
            <w:r>
              <w:rPr>
                <w:rFonts w:ascii="Times New Roman" w:cs="Times New Roman" w:eastAsia="Times New Roman" w:hAnsi="Times New Roman"/>
                <w:sz w:val="14"/>
                <w:szCs w:val="14"/>
                <w:color w:val="auto"/>
              </w:rPr>
              <w:t>99.1</w:t>
            </w:r>
            <w:r>
              <w:rPr>
                <w:rFonts w:ascii="Times New Roman" w:cs="Times New Roman" w:eastAsia="Times New Roman" w:hAnsi="Times New Roman"/>
                <w:sz w:val="22"/>
                <w:szCs w:val="22"/>
                <w:color w:val="auto"/>
                <w:vertAlign w:val="superscript"/>
              </w:rPr>
              <w:t>(2)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40" w:type="dxa"/>
            <w:vAlign w:val="bottom"/>
            <w:tcBorders>
              <w:bottom w:val="single" w:sz="8" w:color="0000EE"/>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EE"/>
                <w:w w:val="98"/>
              </w:rPr>
              <w:t>Form of Accuray Incorporated Stand-Alone Inducement Restricted Stock Unit Agreement for Sofiane Laoussadi</w:t>
            </w:r>
          </w:p>
        </w:tc>
      </w:tr>
      <w:tr>
        <w:trPr>
          <w:trHeight w:val="194"/>
        </w:trPr>
        <w:tc>
          <w:tcPr>
            <w:tcW w:w="740" w:type="dxa"/>
            <w:vAlign w:val="bottom"/>
            <w:gridSpan w:val="3"/>
          </w:tcPr>
          <w:p>
            <w:pPr>
              <w:ind w:left="160"/>
              <w:spacing w:after="0" w:line="193" w:lineRule="exact"/>
              <w:rPr>
                <w:sz w:val="20"/>
                <w:szCs w:val="20"/>
                <w:color w:val="auto"/>
              </w:rPr>
            </w:pPr>
            <w:r>
              <w:rPr>
                <w:rFonts w:ascii="Times New Roman" w:cs="Times New Roman" w:eastAsia="Times New Roman" w:hAnsi="Times New Roman"/>
                <w:sz w:val="14"/>
                <w:szCs w:val="14"/>
                <w:color w:val="auto"/>
              </w:rPr>
              <w:t>99.2</w:t>
            </w:r>
            <w:r>
              <w:rPr>
                <w:rFonts w:ascii="Times New Roman" w:cs="Times New Roman" w:eastAsia="Times New Roman" w:hAnsi="Times New Roman"/>
                <w:sz w:val="22"/>
                <w:szCs w:val="22"/>
                <w:color w:val="auto"/>
                <w:vertAlign w:val="superscript"/>
              </w:rPr>
              <w:t>(2)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4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EE"/>
              </w:rPr>
              <w:t>Form of Accuray Incorporated Stand-Alone Inducement Performance Unit Agreement for Sofiane Laoussadi</w:t>
            </w:r>
          </w:p>
        </w:tc>
      </w:tr>
      <w:tr>
        <w:trPr>
          <w:trHeight w:val="194"/>
        </w:trPr>
        <w:tc>
          <w:tcPr>
            <w:tcW w:w="840" w:type="dxa"/>
            <w:vAlign w:val="bottom"/>
            <w:gridSpan w:val="4"/>
          </w:tcPr>
          <w:p>
            <w:pPr>
              <w:ind w:left="160"/>
              <w:spacing w:after="0" w:line="193" w:lineRule="exact"/>
              <w:rPr>
                <w:sz w:val="20"/>
                <w:szCs w:val="20"/>
                <w:color w:val="auto"/>
              </w:rPr>
            </w:pPr>
            <w:r>
              <w:rPr>
                <w:rFonts w:ascii="Times New Roman" w:cs="Times New Roman" w:eastAsia="Times New Roman" w:hAnsi="Times New Roman"/>
                <w:sz w:val="14"/>
                <w:szCs w:val="14"/>
                <w:color w:val="auto"/>
              </w:rPr>
              <w:t>107.1</w:t>
            </w:r>
            <w:r>
              <w:rPr>
                <w:rFonts w:ascii="Times New Roman" w:cs="Times New Roman" w:eastAsia="Times New Roman" w:hAnsi="Times New Roman"/>
                <w:sz w:val="22"/>
                <w:szCs w:val="22"/>
                <w:color w:val="auto"/>
                <w:vertAlign w:val="superscript"/>
              </w:rPr>
              <w:t>(2)</w:t>
            </w:r>
          </w:p>
        </w:tc>
        <w:tc>
          <w:tcPr>
            <w:tcW w:w="300" w:type="dxa"/>
            <w:vAlign w:val="bottom"/>
          </w:tcPr>
          <w:p>
            <w:pPr>
              <w:spacing w:after="0"/>
              <w:rPr>
                <w:sz w:val="16"/>
                <w:szCs w:val="16"/>
                <w:color w:val="auto"/>
              </w:rPr>
            </w:pPr>
          </w:p>
        </w:tc>
        <w:tc>
          <w:tcPr>
            <w:tcW w:w="7760" w:type="dxa"/>
            <w:vAlign w:val="bottom"/>
            <w:tcBorders>
              <w:top w:val="single" w:sz="8" w:color="0000EE"/>
            </w:tcBorders>
            <w:gridSpan w:val="8"/>
          </w:tcPr>
          <w:p>
            <w:pPr>
              <w:spacing w:after="0" w:line="194" w:lineRule="exact"/>
              <w:rPr>
                <w:sz w:val="20"/>
                <w:szCs w:val="20"/>
                <w:color w:val="auto"/>
              </w:rPr>
            </w:pPr>
            <w:r>
              <w:rPr>
                <w:rFonts w:ascii="Times New Roman" w:cs="Times New Roman" w:eastAsia="Times New Roman" w:hAnsi="Times New Roman"/>
                <w:sz w:val="18"/>
                <w:szCs w:val="18"/>
                <w:color w:val="0000EE"/>
              </w:rPr>
              <w:t>Filing Fee Table</w:t>
            </w:r>
          </w:p>
        </w:tc>
        <w:tc>
          <w:tcPr>
            <w:tcW w:w="280" w:type="dxa"/>
            <w:vAlign w:val="bottom"/>
          </w:tcPr>
          <w:p>
            <w:pPr>
              <w:spacing w:after="0"/>
              <w:rPr>
                <w:sz w:val="16"/>
                <w:szCs w:val="16"/>
                <w:color w:val="auto"/>
              </w:rPr>
            </w:pPr>
          </w:p>
        </w:tc>
      </w:tr>
      <w:tr>
        <w:trPr>
          <w:trHeight w:val="20"/>
        </w:trPr>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712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322" w:lineRule="exact"/>
        <w:rPr>
          <w:sz w:val="20"/>
          <w:szCs w:val="20"/>
          <w:color w:val="auto"/>
        </w:rPr>
      </w:pPr>
    </w:p>
    <w:p>
      <w:pPr>
        <w:ind w:left="640" w:right="40" w:hanging="633"/>
        <w:spacing w:after="0" w:line="258"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4.3 filed with the Registrant’s Registration Statement on Form S-1/A (Registration No. 333-138622), filed with the Commission on February 5, 2007.</w:t>
      </w:r>
    </w:p>
    <w:p>
      <w:pPr>
        <w:spacing w:after="0" w:line="1"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4" w:lineRule="exact"/>
        <w:rPr>
          <w:sz w:val="20"/>
          <w:szCs w:val="20"/>
          <w:color w:val="auto"/>
        </w:rPr>
      </w:pPr>
    </w:p>
    <w:p>
      <w:pPr>
        <w:ind w:left="1240" w:hanging="592"/>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0" w:lineRule="exact"/>
        <w:rPr>
          <w:rFonts w:ascii="Times New Roman" w:cs="Times New Roman" w:eastAsia="Times New Roman" w:hAnsi="Times New Roman"/>
          <w:sz w:val="18"/>
          <w:szCs w:val="18"/>
          <w:color w:val="auto"/>
        </w:rPr>
      </w:pPr>
    </w:p>
    <w:p>
      <w:pPr>
        <w:ind w:left="1820" w:hanging="602"/>
        <w:spacing w:after="0"/>
        <w:tabs>
          <w:tab w:leader="none" w:pos="18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0" w:lineRule="exact"/>
        <w:rPr>
          <w:rFonts w:ascii="Times New Roman" w:cs="Times New Roman" w:eastAsia="Times New Roman" w:hAnsi="Times New Roman"/>
          <w:sz w:val="18"/>
          <w:szCs w:val="18"/>
          <w:color w:val="auto"/>
        </w:rPr>
      </w:pPr>
    </w:p>
    <w:p>
      <w:pPr>
        <w:ind w:left="2500" w:hanging="570"/>
        <w:spacing w:after="0"/>
        <w:tabs>
          <w:tab w:leader="none" w:pos="25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0" w:lineRule="exact"/>
        <w:rPr>
          <w:rFonts w:ascii="Times New Roman" w:cs="Times New Roman" w:eastAsia="Times New Roman" w:hAnsi="Times New Roman"/>
          <w:sz w:val="18"/>
          <w:szCs w:val="18"/>
          <w:color w:val="auto"/>
        </w:rPr>
      </w:pPr>
    </w:p>
    <w:p>
      <w:pPr>
        <w:jc w:val="both"/>
        <w:ind w:firstLine="1930"/>
        <w:spacing w:after="0" w:line="252" w:lineRule="auto"/>
        <w:tabs>
          <w:tab w:leader="none" w:pos="258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Filing Fee Tables” or “Calculation of Registration Fee” table, as applicable, in the effective Registration Statement.</w:t>
      </w:r>
    </w:p>
    <w:p>
      <w:pPr>
        <w:spacing w:after="0" w:line="188" w:lineRule="exact"/>
        <w:rPr>
          <w:rFonts w:ascii="Times New Roman" w:cs="Times New Roman" w:eastAsia="Times New Roman" w:hAnsi="Times New Roman"/>
          <w:sz w:val="18"/>
          <w:szCs w:val="18"/>
          <w:color w:val="auto"/>
        </w:rPr>
      </w:pPr>
    </w:p>
    <w:p>
      <w:pPr>
        <w:ind w:right="20" w:firstLine="1930"/>
        <w:spacing w:after="0" w:line="277" w:lineRule="auto"/>
        <w:tabs>
          <w:tab w:leader="none" w:pos="2667"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Commission by the Registrant pursuant to Section 13 or Section 15(d) of the Exchange Act that are incorporated by reference in this Registration Statement.</w:t>
      </w:r>
    </w:p>
    <w:p>
      <w:pPr>
        <w:spacing w:after="0" w:line="176" w:lineRule="exact"/>
        <w:rPr>
          <w:sz w:val="20"/>
          <w:szCs w:val="20"/>
          <w:color w:val="auto"/>
        </w:rPr>
      </w:pPr>
    </w:p>
    <w:p>
      <w:pPr>
        <w:jc w:val="both"/>
        <w:ind w:firstLine="1218"/>
        <w:spacing w:after="0" w:line="262" w:lineRule="auto"/>
        <w:tabs>
          <w:tab w:leader="none" w:pos="18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390" w:lineRule="exact"/>
        <w:rPr>
          <w:rFonts w:ascii="Times New Roman" w:cs="Times New Roman" w:eastAsia="Times New Roman" w:hAnsi="Times New Roman"/>
          <w:sz w:val="18"/>
          <w:szCs w:val="18"/>
          <w:color w:val="auto"/>
        </w:rPr>
      </w:pPr>
    </w:p>
    <w:p>
      <w:pPr>
        <w:ind w:right="20" w:firstLine="1218"/>
        <w:spacing w:after="0" w:line="277" w:lineRule="auto"/>
        <w:tabs>
          <w:tab w:leader="none" w:pos="18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488950</wp:posOffset>
            </wp:positionV>
            <wp:extent cx="71335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 w:name="page5"/>
    <w:bookmarkEnd w:id="4"/>
    <w:p>
      <w:pPr>
        <w:jc w:val="both"/>
        <w:ind w:left="-648" w:firstLine="648"/>
        <w:spacing w:after="0" w:line="255" w:lineRule="auto"/>
        <w:tabs>
          <w:tab w:leader="none" w:pos="70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2" w:lineRule="exact"/>
        <w:rPr>
          <w:rFonts w:ascii="Times New Roman" w:cs="Times New Roman" w:eastAsia="Times New Roman" w:hAnsi="Times New Roman"/>
          <w:sz w:val="18"/>
          <w:szCs w:val="18"/>
          <w:color w:val="auto"/>
        </w:rPr>
      </w:pPr>
    </w:p>
    <w:p>
      <w:pPr>
        <w:jc w:val="both"/>
        <w:ind w:left="-648" w:firstLine="648"/>
        <w:spacing w:after="0" w:line="270" w:lineRule="auto"/>
        <w:tabs>
          <w:tab w:leader="none" w:pos="65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493395</wp:posOffset>
            </wp:positionV>
            <wp:extent cx="71335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592"/>
          </w:cols>
          <w:pgMar w:left="968" w:top="575"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Madison, State of Wisconsin, on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October, 2026.</w:t>
      </w:r>
    </w:p>
    <w:p>
      <w:pPr>
        <w:spacing w:after="0" w:line="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ccuray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ncorporated</w:t>
      </w:r>
    </w:p>
    <w:p>
      <w:pPr>
        <w:spacing w:after="0" w:line="224" w:lineRule="exact"/>
        <w:rPr>
          <w:sz w:val="20"/>
          <w:szCs w:val="20"/>
          <w:color w:val="auto"/>
        </w:rPr>
      </w:pPr>
    </w:p>
    <w:p>
      <w:pPr>
        <w:ind w:left="5340"/>
        <w:spacing w:after="0"/>
        <w:tabs>
          <w:tab w:leader="none" w:pos="7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tephen</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a</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15875</wp:posOffset>
            </wp:positionV>
            <wp:extent cx="33928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3392805" cy="8255"/>
                    </a:xfrm>
                    <a:prstGeom prst="rect">
                      <a:avLst/>
                    </a:prstGeom>
                    <a:noFill/>
                  </pic:spPr>
                </pic:pic>
              </a:graphicData>
            </a:graphic>
          </wp:anchor>
        </w:drawing>
      </w:r>
    </w:p>
    <w:p>
      <w:pPr>
        <w:spacing w:after="0" w:line="6"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color w:val="auto"/>
        </w:rPr>
        <w:t>Stephen La Neve</w:t>
      </w:r>
    </w:p>
    <w:p>
      <w:pPr>
        <w:spacing w:after="0" w:line="20"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513080</wp:posOffset>
            </wp:positionV>
            <wp:extent cx="71335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Stephen La Neve and Ali Pervaiz and each of them acting individually, as his or her true and lawful attorneys-in-fact and agents, with full power of each to act alone, with full powers of substitution and resubstitution, for him or her and in his or her name, place and stead, in any and all capacities, to sign any and all amendments to this registration statement on Form S-8, and to file the same, with all exhibits thereto, and all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her or their substitutes, may lawfully do or cause to be done by virtue hereof.</w:t>
      </w:r>
    </w:p>
    <w:p>
      <w:pPr>
        <w:spacing w:after="0" w:line="185"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234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4540" w:type="dxa"/>
            <w:vAlign w:val="bottom"/>
            <w:gridSpan w:val="3"/>
          </w:tcPr>
          <w:p>
            <w:pPr>
              <w:ind w:left="20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980" w:type="dxa"/>
            <w:vAlign w:val="bottom"/>
            <w:gridSpan w:val="3"/>
          </w:tcPr>
          <w:p>
            <w:pPr>
              <w:jc w:val="center"/>
              <w:ind w:left="651"/>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39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tephen</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a</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eve</w:t>
            </w:r>
          </w:p>
        </w:tc>
        <w:tc>
          <w:tcPr>
            <w:tcW w:w="4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c>
          <w:tcPr>
            <w:tcW w:w="1980" w:type="dxa"/>
            <w:vAlign w:val="bottom"/>
            <w:gridSpan w:val="3"/>
            <w:vMerge w:val="restart"/>
          </w:tcPr>
          <w:p>
            <w:pPr>
              <w:jc w:val="center"/>
              <w:ind w:left="651"/>
              <w:spacing w:after="0"/>
              <w:rPr>
                <w:sz w:val="20"/>
                <w:szCs w:val="20"/>
                <w:color w:val="auto"/>
              </w:rPr>
            </w:pPr>
            <w:r>
              <w:rPr>
                <w:rFonts w:ascii="Times New Roman" w:cs="Times New Roman" w:eastAsia="Times New Roman" w:hAnsi="Times New Roman"/>
                <w:sz w:val="18"/>
                <w:szCs w:val="18"/>
                <w:color w:val="auto"/>
                <w:w w:val="98"/>
              </w:rPr>
              <w:t>October 30, 2026</w:t>
            </w:r>
          </w:p>
        </w:tc>
        <w:tc>
          <w:tcPr>
            <w:tcW w:w="0" w:type="dxa"/>
            <w:vAlign w:val="bottom"/>
          </w:tcPr>
          <w:p>
            <w:pPr>
              <w:spacing w:after="0"/>
              <w:rPr>
                <w:sz w:val="1"/>
                <w:szCs w:val="1"/>
                <w:color w:val="auto"/>
              </w:rPr>
            </w:pPr>
          </w:p>
        </w:tc>
      </w:tr>
      <w:tr>
        <w:trPr>
          <w:trHeight w:val="126"/>
        </w:trPr>
        <w:tc>
          <w:tcPr>
            <w:tcW w:w="3940" w:type="dxa"/>
            <w:vAlign w:val="bottom"/>
            <w:gridSpan w:val="3"/>
            <w:vMerge w:val="continue"/>
          </w:tcPr>
          <w:p>
            <w:pPr>
              <w:spacing w:after="0"/>
              <w:rPr>
                <w:sz w:val="10"/>
                <w:szCs w:val="10"/>
                <w:color w:val="auto"/>
              </w:rPr>
            </w:pPr>
          </w:p>
        </w:tc>
        <w:tc>
          <w:tcPr>
            <w:tcW w:w="45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6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4540" w:type="dxa"/>
            <w:vAlign w:val="bottom"/>
            <w:gridSpan w:val="3"/>
            <w:vMerge w:val="continue"/>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Stephen La Neve</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li</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ervaiz</w:t>
            </w:r>
          </w:p>
        </w:tc>
        <w:tc>
          <w:tcPr>
            <w:tcW w:w="4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1980" w:type="dxa"/>
            <w:vAlign w:val="bottom"/>
            <w:gridSpan w:val="3"/>
          </w:tcPr>
          <w:p>
            <w:pPr>
              <w:jc w:val="center"/>
              <w:ind w:left="651"/>
              <w:spacing w:after="0"/>
              <w:rPr>
                <w:sz w:val="20"/>
                <w:szCs w:val="20"/>
                <w:color w:val="auto"/>
              </w:rPr>
            </w:pPr>
            <w:r>
              <w:rPr>
                <w:rFonts w:ascii="Times New Roman" w:cs="Times New Roman" w:eastAsia="Times New Roman" w:hAnsi="Times New Roman"/>
                <w:sz w:val="18"/>
                <w:szCs w:val="18"/>
                <w:color w:val="auto"/>
                <w:w w:val="98"/>
              </w:rPr>
              <w:t>October 30, 2026</w:t>
            </w:r>
          </w:p>
        </w:tc>
        <w:tc>
          <w:tcPr>
            <w:tcW w:w="0" w:type="dxa"/>
            <w:vAlign w:val="bottom"/>
          </w:tcPr>
          <w:p>
            <w:pPr>
              <w:spacing w:after="0"/>
              <w:rPr>
                <w:sz w:val="1"/>
                <w:szCs w:val="1"/>
                <w:color w:val="auto"/>
              </w:rPr>
            </w:pPr>
          </w:p>
        </w:tc>
      </w:tr>
      <w:tr>
        <w:trPr>
          <w:trHeight w:val="226"/>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Ali Pervaiz</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J. M</w:t>
            </w:r>
            <w:r>
              <w:rPr>
                <w:rFonts w:ascii="Times New Roman" w:cs="Times New Roman" w:eastAsia="Times New Roman" w:hAnsi="Times New Roman"/>
                <w:sz w:val="12"/>
                <w:szCs w:val="12"/>
                <w:color w:val="auto"/>
              </w:rPr>
              <w:t>urphy</w:t>
            </w:r>
          </w:p>
        </w:tc>
        <w:tc>
          <w:tcPr>
            <w:tcW w:w="4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Corporate Controller (principal accounting officer)</w:t>
            </w:r>
          </w:p>
        </w:tc>
        <w:tc>
          <w:tcPr>
            <w:tcW w:w="1980" w:type="dxa"/>
            <w:vAlign w:val="bottom"/>
            <w:gridSpan w:val="3"/>
          </w:tcPr>
          <w:p>
            <w:pPr>
              <w:jc w:val="center"/>
              <w:ind w:left="651"/>
              <w:spacing w:after="0"/>
              <w:rPr>
                <w:sz w:val="20"/>
                <w:szCs w:val="20"/>
                <w:color w:val="auto"/>
              </w:rPr>
            </w:pPr>
            <w:r>
              <w:rPr>
                <w:rFonts w:ascii="Times New Roman" w:cs="Times New Roman" w:eastAsia="Times New Roman" w:hAnsi="Times New Roman"/>
                <w:sz w:val="18"/>
                <w:szCs w:val="18"/>
                <w:color w:val="auto"/>
                <w:w w:val="98"/>
              </w:rPr>
              <w:t>October 30, 2026</w:t>
            </w:r>
          </w:p>
        </w:tc>
        <w:tc>
          <w:tcPr>
            <w:tcW w:w="0" w:type="dxa"/>
            <w:vAlign w:val="bottom"/>
          </w:tcPr>
          <w:p>
            <w:pPr>
              <w:spacing w:after="0"/>
              <w:rPr>
                <w:sz w:val="1"/>
                <w:szCs w:val="1"/>
                <w:color w:val="auto"/>
              </w:rPr>
            </w:pPr>
          </w:p>
        </w:tc>
      </w:tr>
      <w:tr>
        <w:trPr>
          <w:trHeight w:val="226"/>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Michael J. Murphy</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oseph</w:t>
            </w:r>
            <w:r>
              <w:rPr>
                <w:rFonts w:ascii="Times New Roman" w:cs="Times New Roman" w:eastAsia="Times New Roman" w:hAnsi="Times New Roman"/>
                <w:sz w:val="18"/>
                <w:szCs w:val="18"/>
                <w:color w:val="auto"/>
              </w:rPr>
              <w:t xml:space="preserve"> E. W</w:t>
            </w:r>
            <w:r>
              <w:rPr>
                <w:rFonts w:ascii="Times New Roman" w:cs="Times New Roman" w:eastAsia="Times New Roman" w:hAnsi="Times New Roman"/>
                <w:sz w:val="12"/>
                <w:szCs w:val="12"/>
                <w:color w:val="auto"/>
              </w:rPr>
              <w:t>hitters</w:t>
            </w:r>
          </w:p>
        </w:tc>
        <w:tc>
          <w:tcPr>
            <w:tcW w:w="4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Chairperson of the Board and Director</w:t>
            </w:r>
          </w:p>
        </w:tc>
        <w:tc>
          <w:tcPr>
            <w:tcW w:w="1980" w:type="dxa"/>
            <w:vAlign w:val="bottom"/>
            <w:gridSpan w:val="3"/>
          </w:tcPr>
          <w:p>
            <w:pPr>
              <w:jc w:val="center"/>
              <w:ind w:left="651"/>
              <w:spacing w:after="0"/>
              <w:rPr>
                <w:sz w:val="20"/>
                <w:szCs w:val="20"/>
                <w:color w:val="auto"/>
              </w:rPr>
            </w:pPr>
            <w:r>
              <w:rPr>
                <w:rFonts w:ascii="Times New Roman" w:cs="Times New Roman" w:eastAsia="Times New Roman" w:hAnsi="Times New Roman"/>
                <w:sz w:val="18"/>
                <w:szCs w:val="18"/>
                <w:color w:val="auto"/>
                <w:w w:val="98"/>
              </w:rPr>
              <w:t>October 30, 2026</w:t>
            </w:r>
          </w:p>
        </w:tc>
        <w:tc>
          <w:tcPr>
            <w:tcW w:w="0" w:type="dxa"/>
            <w:vAlign w:val="bottom"/>
          </w:tcPr>
          <w:p>
            <w:pPr>
              <w:spacing w:after="0"/>
              <w:rPr>
                <w:sz w:val="1"/>
                <w:szCs w:val="1"/>
                <w:color w:val="auto"/>
              </w:rPr>
            </w:pPr>
          </w:p>
        </w:tc>
      </w:tr>
      <w:tr>
        <w:trPr>
          <w:trHeight w:val="226"/>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Joseph E. Whitters</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C</w:t>
            </w:r>
            <w:r>
              <w:rPr>
                <w:rFonts w:ascii="Times New Roman" w:cs="Times New Roman" w:eastAsia="Times New Roman" w:hAnsi="Times New Roman"/>
                <w:sz w:val="12"/>
                <w:szCs w:val="12"/>
                <w:color w:val="auto"/>
              </w:rPr>
              <w:t>han</w:t>
            </w:r>
            <w:r>
              <w:rPr>
                <w:rFonts w:ascii="Times New Roman" w:cs="Times New Roman" w:eastAsia="Times New Roman" w:hAnsi="Times New Roman"/>
                <w:sz w:val="18"/>
                <w:szCs w:val="18"/>
                <w:color w:val="auto"/>
              </w:rPr>
              <w:t xml:space="preserve"> W. G</w:t>
            </w:r>
            <w:r>
              <w:rPr>
                <w:rFonts w:ascii="Times New Roman" w:cs="Times New Roman" w:eastAsia="Times New Roman" w:hAnsi="Times New Roman"/>
                <w:sz w:val="12"/>
                <w:szCs w:val="12"/>
                <w:color w:val="auto"/>
              </w:rPr>
              <w:t>albato</w:t>
            </w:r>
          </w:p>
        </w:tc>
        <w:tc>
          <w:tcPr>
            <w:tcW w:w="4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gridSpan w:val="3"/>
          </w:tcPr>
          <w:p>
            <w:pPr>
              <w:jc w:val="center"/>
              <w:ind w:left="651"/>
              <w:spacing w:after="0"/>
              <w:rPr>
                <w:sz w:val="20"/>
                <w:szCs w:val="20"/>
                <w:color w:val="auto"/>
              </w:rPr>
            </w:pPr>
            <w:r>
              <w:rPr>
                <w:rFonts w:ascii="Times New Roman" w:cs="Times New Roman" w:eastAsia="Times New Roman" w:hAnsi="Times New Roman"/>
                <w:sz w:val="18"/>
                <w:szCs w:val="18"/>
                <w:color w:val="auto"/>
                <w:w w:val="98"/>
              </w:rPr>
              <w:t>October 30, 2026</w:t>
            </w:r>
          </w:p>
        </w:tc>
        <w:tc>
          <w:tcPr>
            <w:tcW w:w="0" w:type="dxa"/>
            <w:vAlign w:val="bottom"/>
          </w:tcPr>
          <w:p>
            <w:pPr>
              <w:spacing w:after="0"/>
              <w:rPr>
                <w:sz w:val="1"/>
                <w:szCs w:val="1"/>
                <w:color w:val="auto"/>
              </w:rPr>
            </w:pPr>
          </w:p>
        </w:tc>
      </w:tr>
      <w:tr>
        <w:trPr>
          <w:trHeight w:val="226"/>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Chan W. Galbato</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ames</w:t>
            </w:r>
            <w:r>
              <w:rPr>
                <w:rFonts w:ascii="Times New Roman" w:cs="Times New Roman" w:eastAsia="Times New Roman" w:hAnsi="Times New Roman"/>
                <w:sz w:val="18"/>
                <w:szCs w:val="18"/>
                <w:color w:val="auto"/>
              </w:rPr>
              <w:t xml:space="preserve"> M. H</w:t>
            </w:r>
            <w:r>
              <w:rPr>
                <w:rFonts w:ascii="Times New Roman" w:cs="Times New Roman" w:eastAsia="Times New Roman" w:hAnsi="Times New Roman"/>
                <w:sz w:val="12"/>
                <w:szCs w:val="12"/>
                <w:color w:val="auto"/>
              </w:rPr>
              <w:t>indman</w:t>
            </w:r>
          </w:p>
        </w:tc>
        <w:tc>
          <w:tcPr>
            <w:tcW w:w="4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gridSpan w:val="3"/>
          </w:tcPr>
          <w:p>
            <w:pPr>
              <w:jc w:val="center"/>
              <w:ind w:left="651"/>
              <w:spacing w:after="0"/>
              <w:rPr>
                <w:sz w:val="20"/>
                <w:szCs w:val="20"/>
                <w:color w:val="auto"/>
              </w:rPr>
            </w:pPr>
            <w:r>
              <w:rPr>
                <w:rFonts w:ascii="Times New Roman" w:cs="Times New Roman" w:eastAsia="Times New Roman" w:hAnsi="Times New Roman"/>
                <w:sz w:val="18"/>
                <w:szCs w:val="18"/>
                <w:color w:val="auto"/>
                <w:w w:val="98"/>
              </w:rPr>
              <w:t>October 30, 2026</w:t>
            </w:r>
          </w:p>
        </w:tc>
        <w:tc>
          <w:tcPr>
            <w:tcW w:w="0" w:type="dxa"/>
            <w:vAlign w:val="bottom"/>
          </w:tcPr>
          <w:p>
            <w:pPr>
              <w:spacing w:after="0"/>
              <w:rPr>
                <w:sz w:val="1"/>
                <w:szCs w:val="1"/>
                <w:color w:val="auto"/>
              </w:rPr>
            </w:pPr>
          </w:p>
        </w:tc>
      </w:tr>
      <w:tr>
        <w:trPr>
          <w:trHeight w:val="226"/>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James M. Hindman</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teven</w:t>
            </w:r>
            <w:r>
              <w:rPr>
                <w:rFonts w:ascii="Times New Roman" w:cs="Times New Roman" w:eastAsia="Times New Roman" w:hAnsi="Times New Roman"/>
                <w:sz w:val="18"/>
                <w:szCs w:val="18"/>
                <w:color w:val="auto"/>
              </w:rPr>
              <w:t xml:space="preserve"> F. M</w:t>
            </w:r>
            <w:r>
              <w:rPr>
                <w:rFonts w:ascii="Times New Roman" w:cs="Times New Roman" w:eastAsia="Times New Roman" w:hAnsi="Times New Roman"/>
                <w:sz w:val="12"/>
                <w:szCs w:val="12"/>
                <w:color w:val="auto"/>
              </w:rPr>
              <w:t>ayer</w:t>
            </w:r>
          </w:p>
        </w:tc>
        <w:tc>
          <w:tcPr>
            <w:tcW w:w="4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gridSpan w:val="3"/>
          </w:tcPr>
          <w:p>
            <w:pPr>
              <w:jc w:val="center"/>
              <w:ind w:left="651"/>
              <w:spacing w:after="0"/>
              <w:rPr>
                <w:sz w:val="20"/>
                <w:szCs w:val="20"/>
                <w:color w:val="auto"/>
              </w:rPr>
            </w:pPr>
            <w:r>
              <w:rPr>
                <w:rFonts w:ascii="Times New Roman" w:cs="Times New Roman" w:eastAsia="Times New Roman" w:hAnsi="Times New Roman"/>
                <w:sz w:val="18"/>
                <w:szCs w:val="18"/>
                <w:color w:val="auto"/>
                <w:w w:val="98"/>
              </w:rPr>
              <w:t>October 30, 2026</w:t>
            </w:r>
          </w:p>
        </w:tc>
        <w:tc>
          <w:tcPr>
            <w:tcW w:w="0" w:type="dxa"/>
            <w:vAlign w:val="bottom"/>
          </w:tcPr>
          <w:p>
            <w:pPr>
              <w:spacing w:after="0"/>
              <w:rPr>
                <w:sz w:val="1"/>
                <w:szCs w:val="1"/>
                <w:color w:val="auto"/>
              </w:rPr>
            </w:pPr>
          </w:p>
        </w:tc>
      </w:tr>
      <w:tr>
        <w:trPr>
          <w:trHeight w:val="226"/>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Steven F. Mayer</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ika</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ishimura</w:t>
            </w:r>
          </w:p>
        </w:tc>
        <w:tc>
          <w:tcPr>
            <w:tcW w:w="4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gridSpan w:val="3"/>
          </w:tcPr>
          <w:p>
            <w:pPr>
              <w:jc w:val="center"/>
              <w:ind w:left="651"/>
              <w:spacing w:after="0"/>
              <w:rPr>
                <w:sz w:val="20"/>
                <w:szCs w:val="20"/>
                <w:color w:val="auto"/>
              </w:rPr>
            </w:pPr>
            <w:r>
              <w:rPr>
                <w:rFonts w:ascii="Times New Roman" w:cs="Times New Roman" w:eastAsia="Times New Roman" w:hAnsi="Times New Roman"/>
                <w:sz w:val="18"/>
                <w:szCs w:val="18"/>
                <w:color w:val="auto"/>
                <w:w w:val="98"/>
              </w:rPr>
              <w:t>October 30, 2026</w:t>
            </w:r>
          </w:p>
        </w:tc>
        <w:tc>
          <w:tcPr>
            <w:tcW w:w="0" w:type="dxa"/>
            <w:vAlign w:val="bottom"/>
          </w:tcPr>
          <w:p>
            <w:pPr>
              <w:spacing w:after="0"/>
              <w:rPr>
                <w:sz w:val="1"/>
                <w:szCs w:val="1"/>
                <w:color w:val="auto"/>
              </w:rPr>
            </w:pPr>
          </w:p>
        </w:tc>
      </w:tr>
      <w:tr>
        <w:trPr>
          <w:trHeight w:val="226"/>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Mika Nishimura</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R</w:t>
            </w:r>
            <w:r>
              <w:rPr>
                <w:rFonts w:ascii="Times New Roman" w:cs="Times New Roman" w:eastAsia="Times New Roman" w:hAnsi="Times New Roman"/>
                <w:sz w:val="12"/>
                <w:szCs w:val="12"/>
                <w:color w:val="auto"/>
              </w:rPr>
              <w:t>ichard</w:t>
            </w:r>
            <w:r>
              <w:rPr>
                <w:rFonts w:ascii="Times New Roman" w:cs="Times New Roman" w:eastAsia="Times New Roman" w:hAnsi="Times New Roman"/>
                <w:sz w:val="18"/>
                <w:szCs w:val="18"/>
                <w:color w:val="auto"/>
              </w:rPr>
              <w:t xml:space="preserve"> A. M</w:t>
            </w:r>
            <w:r>
              <w:rPr>
                <w:rFonts w:ascii="Times New Roman" w:cs="Times New Roman" w:eastAsia="Times New Roman" w:hAnsi="Times New Roman"/>
                <w:sz w:val="12"/>
                <w:szCs w:val="12"/>
                <w:color w:val="auto"/>
              </w:rPr>
              <w:t>eier</w:t>
            </w:r>
          </w:p>
        </w:tc>
        <w:tc>
          <w:tcPr>
            <w:tcW w:w="4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gridSpan w:val="3"/>
          </w:tcPr>
          <w:p>
            <w:pPr>
              <w:jc w:val="center"/>
              <w:ind w:left="651"/>
              <w:spacing w:after="0"/>
              <w:rPr>
                <w:sz w:val="20"/>
                <w:szCs w:val="20"/>
                <w:color w:val="auto"/>
              </w:rPr>
            </w:pPr>
            <w:r>
              <w:rPr>
                <w:rFonts w:ascii="Times New Roman" w:cs="Times New Roman" w:eastAsia="Times New Roman" w:hAnsi="Times New Roman"/>
                <w:sz w:val="18"/>
                <w:szCs w:val="18"/>
                <w:color w:val="auto"/>
                <w:w w:val="98"/>
              </w:rPr>
              <w:t>October 30, 2026</w:t>
            </w:r>
          </w:p>
        </w:tc>
        <w:tc>
          <w:tcPr>
            <w:tcW w:w="0" w:type="dxa"/>
            <w:vAlign w:val="bottom"/>
          </w:tcPr>
          <w:p>
            <w:pPr>
              <w:spacing w:after="0"/>
              <w:rPr>
                <w:sz w:val="1"/>
                <w:szCs w:val="1"/>
                <w:color w:val="auto"/>
              </w:rPr>
            </w:pPr>
          </w:p>
        </w:tc>
      </w:tr>
      <w:tr>
        <w:trPr>
          <w:trHeight w:val="226"/>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Richard A. Meier</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1"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EXHIBIT 5.1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2026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Accuray Incorporated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1240 Deming Way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Madison, Wisconsin 53717</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REGISTRATION STATEMENT ON FORM S-8</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examined the Registration Statement on Form S-8 to be filed by you with the Securities and Exchange Commission on or about October 30, 2026 (the “Registration Statement”), in connection with the registration under the Securities Act of 1933, as amended, of (i) 650,000 shares of your common stock, par value $0.001 per share (the “Common Stock”), available for issuance under the Accuray Incorporated Stand-Alone Inducement Restricted Stock Unit Agreement for Sofiane Laoussadi (the “RSU Award”) and (ii) 975,000 shares of your Common Stock available for issuance under the Accuray Incorporated Stand-Alone Inducement Performance Unit Agreement for Sofiane Laoussadi (the “PSU Award” and together with the RSU Award, the “Awards”). All such shares of Common Stock are referred to herein as the “Shares”. As your legal counsel, we have examined the proceedings taken and are familiar with the proceedings proposed to be taken by you in connection with the issuance and sale of the Shares pursuant to the Awards.</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It is our opinion that, when issued and sold in compliance with the prospectus delivery requirements and in the manner described in the Awards and pursuant to the agreements which accompany each grant or award issued pursuant to the Awards, the Shares will be legally and validly issued, fully-paid and non-assessable.</w:t>
      </w:r>
    </w:p>
    <w:p>
      <w:pPr>
        <w:spacing w:after="0" w:line="17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hereby consent to the use of this opinion as an exhibit to the Registration Statement, and further consent to the use of our name wherever appearing in the Registration Statement and any amendments thereto.</w:t>
      </w:r>
    </w:p>
    <w:p>
      <w:pPr>
        <w:spacing w:after="0" w:line="16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0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4313555</wp:posOffset>
            </wp:positionH>
            <wp:positionV relativeFrom="paragraph">
              <wp:posOffset>15875</wp:posOffset>
            </wp:positionV>
            <wp:extent cx="28244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28244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38" w:lineRule="exact"/>
        <w:rPr>
          <w:sz w:val="20"/>
          <w:szCs w:val="20"/>
          <w:color w:val="auto"/>
        </w:rPr>
      </w:pPr>
    </w:p>
    <w:p>
      <w:pPr>
        <w:ind w:right="540"/>
        <w:spacing w:after="0" w:line="262" w:lineRule="auto"/>
        <w:rPr>
          <w:sz w:val="20"/>
          <w:szCs w:val="20"/>
          <w:color w:val="auto"/>
        </w:rPr>
      </w:pPr>
      <w:r>
        <w:rPr>
          <w:rFonts w:ascii="Times New Roman" w:cs="Times New Roman" w:eastAsia="Times New Roman" w:hAnsi="Times New Roman"/>
          <w:sz w:val="18"/>
          <w:szCs w:val="18"/>
          <w:color w:val="auto"/>
        </w:rPr>
        <w:t>We have issued our reports dated August 27, 2026 with respect to the consolidated financial statements and internal control over financial reporting of Accuray Incorporated included in the Annual Report on Form 10-K for the year ended June 30, 2026, which are incorporated by reference in this Registration Statement. We consent to the incorporation by reference of the aforementioned reports in this Registration Statement.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2026</w:t>
      </w:r>
    </w:p>
    <w:p>
      <w:pPr>
        <w:sectPr>
          <w:pgSz w:w="11900" w:h="16838" w:orient="portrait"/>
          <w:cols w:equalWidth="0" w:num="1">
            <w:col w:w="11240"/>
          </w:cols>
          <w:pgMar w:left="320" w:top="11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STAND-ALONE INDUCEMENT RESTRICTED STOCK UNIT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RESTRICTED STOCK UNIT GRANT</w:t>
      </w:r>
    </w:p>
    <w:p>
      <w:pPr>
        <w:spacing w:after="0" w:line="220"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b w:val="1"/>
          <w:bCs w:val="1"/>
          <w:color w:val="auto"/>
        </w:rPr>
        <w:t xml:space="preserve">Participant must notify Accuray Incorporated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by the fifteenth (15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day of the month following the Date of Grant if he or she wishes to reject this Award. Otherwise, Participant will be deemed to have accepted the Award on the terms and conditions on which it is offered.</w:t>
      </w:r>
    </w:p>
    <w:p>
      <w:pPr>
        <w:spacing w:after="0" w:line="195"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Unless otherwise defined herein, each capitalized term used in this Notice of Restricted Stock Unit Grant and all exhibits, appendices, and addenda attached hereto, will have the meaning given such term in the Terms and Conditions of Restricted Stock Unit Grant attached hereto as Exhibit A (together, the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640"/>
        <w:spacing w:after="0"/>
        <w:tabs>
          <w:tab w:leader="none" w:pos="3360" w:val="left"/>
        </w:tabs>
        <w:rPr>
          <w:sz w:val="20"/>
          <w:szCs w:val="20"/>
          <w:color w:val="auto"/>
        </w:rPr>
      </w:pPr>
      <w:r>
        <w:rPr>
          <w:rFonts w:ascii="Times New Roman" w:cs="Times New Roman" w:eastAsia="Times New Roman" w:hAnsi="Times New Roman"/>
          <w:sz w:val="18"/>
          <w:szCs w:val="18"/>
          <w:b w:val="1"/>
          <w:bCs w:val="1"/>
          <w:color w:val="auto"/>
        </w:rPr>
        <w:t>Participant Name:</w:t>
      </w:r>
      <w:r>
        <w:rPr>
          <w:sz w:val="20"/>
          <w:szCs w:val="20"/>
          <w:color w:val="auto"/>
        </w:rPr>
        <w:tab/>
      </w:r>
      <w:r>
        <w:rPr>
          <w:rFonts w:ascii="Times New Roman" w:cs="Times New Roman" w:eastAsia="Times New Roman" w:hAnsi="Times New Roman"/>
          <w:sz w:val="17"/>
          <w:szCs w:val="17"/>
          <w:b w:val="1"/>
          <w:bCs w:val="1"/>
          <w:color w:val="auto"/>
        </w:rPr>
        <w:t>Sofiane Laoussadi</w:t>
      </w:r>
    </w:p>
    <w:p>
      <w:pPr>
        <w:spacing w:after="0" w:line="220" w:lineRule="exact"/>
        <w:rPr>
          <w:sz w:val="20"/>
          <w:szCs w:val="20"/>
          <w:color w:val="auto"/>
        </w:rPr>
      </w:pPr>
    </w:p>
    <w:p>
      <w:pPr>
        <w:ind w:left="640"/>
        <w:spacing w:after="0"/>
        <w:tabs>
          <w:tab w:leader="none" w:pos="3360" w:val="left"/>
        </w:tabs>
        <w:rPr>
          <w:sz w:val="20"/>
          <w:szCs w:val="20"/>
          <w:color w:val="auto"/>
        </w:rPr>
      </w:pPr>
      <w:r>
        <w:rPr>
          <w:rFonts w:ascii="Times New Roman" w:cs="Times New Roman" w:eastAsia="Times New Roman" w:hAnsi="Times New Roman"/>
          <w:sz w:val="18"/>
          <w:szCs w:val="18"/>
          <w:b w:val="1"/>
          <w:bCs w:val="1"/>
          <w:color w:val="auto"/>
        </w:rPr>
        <w:t>Address:</w:t>
      </w:r>
      <w:r>
        <w:rPr>
          <w:sz w:val="20"/>
          <w:szCs w:val="20"/>
          <w:color w:val="auto"/>
        </w:rPr>
        <w:tab/>
      </w:r>
      <w:r>
        <w:rPr>
          <w:rFonts w:ascii="Times New Roman" w:cs="Times New Roman" w:eastAsia="Times New Roman" w:hAnsi="Times New Roman"/>
          <w:sz w:val="18"/>
          <w:szCs w:val="18"/>
          <w:b w:val="1"/>
          <w:bCs w:val="1"/>
          <w:color w:val="auto"/>
        </w:rPr>
        <w:t>[Address]</w:t>
      </w:r>
    </w:p>
    <w:p>
      <w:pPr>
        <w:spacing w:after="0" w:line="224"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Participant has been granted the right to receive an Award of Restricted Stock Units, subject to the terms and conditions of this Award Agreement, as follows:</w:t>
      </w:r>
    </w:p>
    <w:p>
      <w:pPr>
        <w:spacing w:after="0" w:line="163" w:lineRule="exact"/>
        <w:rPr>
          <w:sz w:val="20"/>
          <w:szCs w:val="20"/>
          <w:color w:val="auto"/>
        </w:rPr>
      </w:pPr>
    </w:p>
    <w:tbl>
      <w:tblPr>
        <w:tblLayout w:type="fixed"/>
        <w:tblInd w:w="640" w:type="dxa"/>
        <w:tblCellMar>
          <w:top w:w="0" w:type="dxa"/>
          <w:left w:w="0" w:type="dxa"/>
          <w:bottom w:w="0" w:type="dxa"/>
          <w:right w:w="0" w:type="dxa"/>
        </w:tblCellMar>
      </w:tblPr>
      <w:tr>
        <w:trPr>
          <w:trHeight w:val="232"/>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 Number</w:t>
            </w: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spacing w:after="0"/>
              <w:rPr>
                <w:sz w:val="20"/>
                <w:szCs w:val="20"/>
                <w:color w:val="auto"/>
              </w:rPr>
            </w:pPr>
          </w:p>
        </w:tc>
      </w:tr>
      <w:tr>
        <w:trPr>
          <w:trHeight w:val="381"/>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1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October 30, 2026</w:t>
            </w:r>
          </w:p>
        </w:tc>
        <w:tc>
          <w:tcPr>
            <w:tcW w:w="3220" w:type="dxa"/>
            <w:vAlign w:val="bottom"/>
          </w:tcPr>
          <w:p>
            <w:pPr>
              <w:spacing w:after="0"/>
              <w:rPr>
                <w:sz w:val="24"/>
                <w:szCs w:val="24"/>
                <w:color w:val="auto"/>
              </w:rPr>
            </w:pPr>
          </w:p>
        </w:tc>
      </w:tr>
      <w:tr>
        <w:trPr>
          <w:trHeight w:val="407"/>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Commencement Date</w:t>
            </w: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October 30, 2026</w:t>
            </w:r>
          </w:p>
        </w:tc>
        <w:tc>
          <w:tcPr>
            <w:tcW w:w="3240" w:type="dxa"/>
            <w:vAlign w:val="bottom"/>
            <w:gridSpan w:val="2"/>
          </w:tcPr>
          <w:p>
            <w:pPr>
              <w:spacing w:after="0"/>
              <w:rPr>
                <w:sz w:val="24"/>
                <w:szCs w:val="24"/>
                <w:color w:val="auto"/>
              </w:rPr>
            </w:pPr>
          </w:p>
        </w:tc>
      </w:tr>
      <w:tr>
        <w:trPr>
          <w:trHeight w:val="407"/>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Number of Restricted Stock Units</w:t>
            </w:r>
          </w:p>
        </w:tc>
        <w:tc>
          <w:tcPr>
            <w:tcW w:w="4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650,000 shares</w:t>
            </w:r>
          </w:p>
        </w:tc>
      </w:tr>
      <w:tr>
        <w:trPr>
          <w:trHeight w:val="407"/>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Schedule:</w:t>
            </w:r>
          </w:p>
        </w:tc>
        <w:tc>
          <w:tcPr>
            <w:tcW w:w="10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641"/>
        <w:spacing w:after="0" w:line="256" w:lineRule="auto"/>
        <w:rPr>
          <w:sz w:val="20"/>
          <w:szCs w:val="20"/>
          <w:color w:val="auto"/>
        </w:rPr>
      </w:pPr>
      <w:r>
        <w:rPr>
          <w:rFonts w:ascii="Times New Roman" w:cs="Times New Roman" w:eastAsia="Times New Roman" w:hAnsi="Times New Roman"/>
          <w:sz w:val="18"/>
          <w:szCs w:val="18"/>
          <w:color w:val="auto"/>
        </w:rPr>
        <w:t xml:space="preserve">Subject to Section 5 of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and any acceleration provisions contained in this Award Agreement or any other written agreement authorized by the Administrator between Participant and the Company (or any Parent, Subsidiary or Affiliate of the Company, as applicable) governing the terms of this Award (which, for clarity, includes that certain Executive Employment Agreement previously entered into between the Company and Participant that remains in effect as of the Date of Grant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 the Restricted Stock Units will be scheduled to vest according to the following vesting schedule:</w:t>
      </w:r>
    </w:p>
    <w:p>
      <w:pPr>
        <w:spacing w:after="0" w:line="178" w:lineRule="exact"/>
        <w:rPr>
          <w:sz w:val="20"/>
          <w:szCs w:val="20"/>
          <w:color w:val="auto"/>
        </w:rPr>
      </w:pPr>
    </w:p>
    <w:p>
      <w:pPr>
        <w:jc w:val="both"/>
        <w:ind w:left="640"/>
        <w:spacing w:after="0" w:line="223" w:lineRule="auto"/>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Insert Vesting Schedule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Standard Vesting Schedule</w:t>
      </w:r>
      <w:r>
        <w:rPr>
          <w:rFonts w:ascii="Times New Roman" w:cs="Times New Roman" w:eastAsia="Times New Roman" w:hAnsi="Times New Roman"/>
          <w:sz w:val="17"/>
          <w:szCs w:val="17"/>
          <w:b w:val="1"/>
          <w:bCs w:val="1"/>
          <w:color w:val="auto"/>
        </w:rPr>
        <w:t>: One-fourth (1/4</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17"/>
          <w:szCs w:val="17"/>
          <w:b w:val="1"/>
          <w:bCs w:val="1"/>
          <w:color w:val="auto"/>
        </w:rPr>
        <w:t>) of the Total Number of Restricted Stock Units (as set forth above) subject to this Award Agreement will be scheduled to vest on each of the one (1), two (2), three (3) and four (4) year anniversaries of the Vesting Commencement Date, in each case subject to Participant continuing to be a Service Provider through the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170180</wp:posOffset>
            </wp:positionV>
            <wp:extent cx="71335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20</w:t>
      </w:r>
    </w:p>
    <w:p>
      <w:pPr>
        <w:spacing w:after="0" w:line="200" w:lineRule="exact"/>
        <w:rPr>
          <w:sz w:val="20"/>
          <w:szCs w:val="20"/>
          <w:color w:val="auto"/>
        </w:rPr>
      </w:pPr>
    </w:p>
    <w:p>
      <w:pPr>
        <w:spacing w:after="0" w:line="238"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 xml:space="preserve">If Participant does not wish to receive this Award and/or does not consent and agree to the terms and conditions on which the Award is offered, as set forth in this Award Agreement, then Participant must reject the Award by notifying the Company at Accuray Incorporated, Attention: Stock Administration, 1240 Deming Way, Madison, WI 53717 no later than </w:t>
      </w:r>
      <w:r>
        <w:rPr>
          <w:rFonts w:ascii="Times New Roman" w:cs="Times New Roman" w:eastAsia="Times New Roman" w:hAnsi="Times New Roman"/>
          <w:sz w:val="18"/>
          <w:szCs w:val="18"/>
          <w:b w:val="1"/>
          <w:bCs w:val="1"/>
          <w:color w:val="auto"/>
        </w:rPr>
        <w:t>the fifteenth (15th) day of the month following the Date of Grant</w:t>
      </w:r>
      <w:r>
        <w:rPr>
          <w:rFonts w:ascii="Times New Roman" w:cs="Times New Roman" w:eastAsia="Times New Roman" w:hAnsi="Times New Roman"/>
          <w:sz w:val="18"/>
          <w:szCs w:val="18"/>
          <w:color w:val="auto"/>
        </w:rPr>
        <w:t>, in which case the Award will be cancelled. Participant’s failure to notify the Company of his or her rejection of the Award within this specified period will constitute Participant’s acceptance of the Award and his or her agreement with all terms and conditions of the Award, as set forth in this Award Agreement.</w:t>
      </w:r>
    </w:p>
    <w:p>
      <w:pPr>
        <w:spacing w:after="0" w:line="183"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 xml:space="preserve">Participant has reviewed this Award Agreement in its entirety, has had an opportunity to obtain the advice of counsel prior to executing this Award Agreement and fully understands all provisions of this Award Agreement. By accepting this Award, Participant hereby (i) agrees that this Award of Restricted Stock Units is granted under and governed by the terms and conditions of this Award Agreement, including for clarity the Terms and Conditions of Restricted Stock Unit Grant,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and all other exhibits, appendices and addenda attached hereto, all of which are made a part of this document, (ii) accepts this Award Agreement subject to all of the terms and provisions thereof, (iii) accepts as binding, conclusive and final all decisions or interpretations of the Administrator upon any questions relating to this Award Agreement, and (iv) agrees to notify the Company upon any change in Participant’s residence address indicated below and to provide a valid email address if Participant no longer has a Company email address.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PARTICIPANT</w:t>
            </w:r>
          </w:p>
        </w:tc>
        <w:tc>
          <w:tcPr>
            <w:tcW w:w="66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ACCURAY INCORPORATED</w:t>
            </w:r>
          </w:p>
        </w:tc>
        <w:tc>
          <w:tcPr>
            <w:tcW w:w="0" w:type="dxa"/>
            <w:vAlign w:val="bottom"/>
          </w:tcPr>
          <w:p>
            <w:pPr>
              <w:spacing w:after="0"/>
              <w:rPr>
                <w:sz w:val="1"/>
                <w:szCs w:val="1"/>
                <w:color w:val="auto"/>
              </w:rPr>
            </w:pPr>
          </w:p>
        </w:tc>
      </w:tr>
      <w:tr>
        <w:trPr>
          <w:trHeight w:val="427"/>
        </w:trPr>
        <w:tc>
          <w:tcPr>
            <w:tcW w:w="5300" w:type="dxa"/>
            <w:vAlign w:val="bottom"/>
            <w:tcBorders>
              <w:bottom w:val="single" w:sz="8" w:color="auto"/>
            </w:tcBorders>
          </w:tcPr>
          <w:p>
            <w:pPr>
              <w:spacing w:after="0"/>
              <w:rPr>
                <w:sz w:val="24"/>
                <w:szCs w:val="24"/>
                <w:color w:val="auto"/>
              </w:rPr>
            </w:pPr>
          </w:p>
        </w:tc>
        <w:tc>
          <w:tcPr>
            <w:tcW w:w="6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6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409"/>
        </w:trPr>
        <w:tc>
          <w:tcPr>
            <w:tcW w:w="5300" w:type="dxa"/>
            <w:vAlign w:val="bottom"/>
            <w:tcBorders>
              <w:bottom w:val="single" w:sz="8" w:color="auto"/>
            </w:tcBorders>
          </w:tcPr>
          <w:p>
            <w:pPr>
              <w:spacing w:after="0"/>
              <w:rPr>
                <w:sz w:val="24"/>
                <w:szCs w:val="24"/>
                <w:color w:val="auto"/>
              </w:rPr>
            </w:pPr>
          </w:p>
        </w:tc>
        <w:tc>
          <w:tcPr>
            <w:tcW w:w="6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6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0" w:type="dxa"/>
            <w:vAlign w:val="bottom"/>
          </w:tcPr>
          <w:p>
            <w:pPr>
              <w:spacing w:after="0"/>
              <w:rPr>
                <w:sz w:val="1"/>
                <w:szCs w:val="1"/>
                <w:color w:val="auto"/>
              </w:rPr>
            </w:pPr>
          </w:p>
        </w:tc>
      </w:tr>
      <w:tr>
        <w:trPr>
          <w:trHeight w:val="409"/>
        </w:trPr>
        <w:tc>
          <w:tcPr>
            <w:tcW w:w="5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62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Residence Address: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30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30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53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3</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20</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STAND-ALONE INDUCEMENT RESTRICTED STOCK UNIT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AND CONDITIONS OF RESTRICTED STOCK UNIT GRANT</w:t>
      </w:r>
    </w:p>
    <w:p>
      <w:pPr>
        <w:spacing w:after="0" w:line="224" w:lineRule="exact"/>
        <w:rPr>
          <w:sz w:val="20"/>
          <w:szCs w:val="20"/>
          <w:color w:val="auto"/>
        </w:rPr>
      </w:pPr>
    </w:p>
    <w:p>
      <w:pPr>
        <w:ind w:left="1280" w:hanging="632"/>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216" w:lineRule="exact"/>
        <w:rPr>
          <w:rFonts w:ascii="Times New Roman" w:cs="Times New Roman" w:eastAsia="Times New Roman" w:hAnsi="Times New Roman"/>
          <w:sz w:val="18"/>
          <w:szCs w:val="18"/>
          <w:color w:val="auto"/>
        </w:rPr>
      </w:pPr>
    </w:p>
    <w:p>
      <w:pPr>
        <w:ind w:left="2000" w:hanging="711"/>
        <w:spacing w:after="0"/>
        <w:tabs>
          <w:tab w:leader="none" w:pos="2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means the Board or any of its Committees as will be administering the Award Agreement, in accordance with</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w:t>
      </w:r>
    </w:p>
    <w:p>
      <w:pPr>
        <w:spacing w:after="0" w:line="197" w:lineRule="exact"/>
        <w:rPr>
          <w:rFonts w:ascii="Times New Roman" w:cs="Times New Roman" w:eastAsia="Times New Roman" w:hAnsi="Times New Roman"/>
          <w:sz w:val="18"/>
          <w:szCs w:val="18"/>
          <w:color w:val="auto"/>
        </w:rPr>
      </w:pPr>
    </w:p>
    <w:p>
      <w:pPr>
        <w:ind w:left="1940" w:hanging="651"/>
        <w:spacing w:after="0"/>
        <w:tabs>
          <w:tab w:leader="none" w:pos="194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any entity that, directly or indirectly, controls, is controlled by, or is under common control with, the Company.</w:t>
      </w:r>
    </w:p>
    <w:p>
      <w:pPr>
        <w:spacing w:after="0" w:line="231" w:lineRule="exact"/>
        <w:rPr>
          <w:rFonts w:ascii="Times New Roman" w:cs="Times New Roman" w:eastAsia="Times New Roman" w:hAnsi="Times New Roman"/>
          <w:sz w:val="17"/>
          <w:szCs w:val="17"/>
          <w:color w:val="auto"/>
        </w:rPr>
      </w:pPr>
    </w:p>
    <w:p>
      <w:pPr>
        <w:jc w:val="both"/>
        <w:ind w:firstLine="1289"/>
        <w:spacing w:after="0" w:line="259" w:lineRule="auto"/>
        <w:tabs>
          <w:tab w:leader="none" w:pos="193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that may apply to this Award.</w:t>
      </w:r>
    </w:p>
    <w:p>
      <w:pPr>
        <w:spacing w:after="0" w:line="175" w:lineRule="exact"/>
        <w:rPr>
          <w:rFonts w:ascii="Times New Roman" w:cs="Times New Roman" w:eastAsia="Times New Roman" w:hAnsi="Times New Roman"/>
          <w:sz w:val="18"/>
          <w:szCs w:val="18"/>
          <w:color w:val="auto"/>
        </w:rPr>
      </w:pPr>
    </w:p>
    <w:p>
      <w:pPr>
        <w:ind w:left="1940" w:hanging="651"/>
        <w:spacing w:after="0"/>
        <w:tabs>
          <w:tab w:leader="none" w:pos="19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this award of Restricted Stock Units.</w:t>
      </w:r>
    </w:p>
    <w:p>
      <w:pPr>
        <w:spacing w:after="0" w:line="220" w:lineRule="exact"/>
        <w:rPr>
          <w:rFonts w:ascii="Times New Roman" w:cs="Times New Roman" w:eastAsia="Times New Roman" w:hAnsi="Times New Roman"/>
          <w:sz w:val="18"/>
          <w:szCs w:val="18"/>
          <w:color w:val="auto"/>
        </w:rPr>
      </w:pPr>
    </w:p>
    <w:p>
      <w:pPr>
        <w:ind w:left="1940" w:hanging="651"/>
        <w:spacing w:after="0"/>
        <w:tabs>
          <w:tab w:leader="none" w:pos="19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this Stand-Alone Inducement Restricted Stock Unit Agreement evidencing the Award.</w:t>
      </w:r>
    </w:p>
    <w:p>
      <w:pPr>
        <w:spacing w:after="0" w:line="220" w:lineRule="exact"/>
        <w:rPr>
          <w:rFonts w:ascii="Times New Roman" w:cs="Times New Roman" w:eastAsia="Times New Roman" w:hAnsi="Times New Roman"/>
          <w:sz w:val="18"/>
          <w:szCs w:val="18"/>
          <w:color w:val="auto"/>
        </w:rPr>
      </w:pPr>
    </w:p>
    <w:p>
      <w:pPr>
        <w:ind w:left="1960" w:hanging="671"/>
        <w:spacing w:after="0"/>
        <w:tabs>
          <w:tab w:leader="none" w:pos="19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0" w:lineRule="exact"/>
        <w:rPr>
          <w:rFonts w:ascii="Times New Roman" w:cs="Times New Roman" w:eastAsia="Times New Roman" w:hAnsi="Times New Roman"/>
          <w:sz w:val="18"/>
          <w:szCs w:val="18"/>
          <w:color w:val="auto"/>
        </w:rPr>
      </w:pPr>
    </w:p>
    <w:p>
      <w:pPr>
        <w:ind w:left="1940" w:hanging="651"/>
        <w:spacing w:after="0"/>
        <w:tabs>
          <w:tab w:leader="none" w:pos="19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224" w:lineRule="exact"/>
        <w:rPr>
          <w:rFonts w:ascii="Times New Roman" w:cs="Times New Roman" w:eastAsia="Times New Roman" w:hAnsi="Times New Roman"/>
          <w:sz w:val="18"/>
          <w:szCs w:val="18"/>
          <w:color w:val="auto"/>
        </w:rPr>
      </w:pPr>
    </w:p>
    <w:p>
      <w:pPr>
        <w:jc w:val="both"/>
        <w:ind w:firstLine="1930"/>
        <w:spacing w:after="0" w:line="251" w:lineRule="auto"/>
        <w:tabs>
          <w:tab w:leader="none" w:pos="226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the Company which occurs on the date that any one person, or more than one person acting as a group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(i), the acquisition of additional stock by any one Person, who is considered to own more than fifty percent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163830</wp:posOffset>
            </wp:positionV>
            <wp:extent cx="71335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4</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20</w:t>
      </w:r>
    </w:p>
    <w:p>
      <w:pPr>
        <w:spacing w:after="0" w:line="226" w:lineRule="exact"/>
        <w:rPr>
          <w:sz w:val="20"/>
          <w:szCs w:val="20"/>
          <w:color w:val="auto"/>
        </w:rPr>
      </w:pPr>
    </w:p>
    <w:p>
      <w:pPr>
        <w:jc w:val="both"/>
        <w:ind w:firstLine="1930"/>
        <w:spacing w:after="0" w:line="257" w:lineRule="auto"/>
        <w:tabs>
          <w:tab w:leader="none" w:pos="23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82" w:lineRule="exact"/>
        <w:rPr>
          <w:rFonts w:ascii="Times New Roman" w:cs="Times New Roman" w:eastAsia="Times New Roman" w:hAnsi="Times New Roman"/>
          <w:sz w:val="18"/>
          <w:szCs w:val="18"/>
          <w:color w:val="auto"/>
        </w:rPr>
      </w:pPr>
    </w:p>
    <w:p>
      <w:pPr>
        <w:jc w:val="both"/>
        <w:ind w:firstLine="1930"/>
        <w:spacing w:after="0" w:line="250" w:lineRule="auto"/>
        <w:tabs>
          <w:tab w:leader="none" w:pos="245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93" w:lineRule="exact"/>
        <w:rPr>
          <w:sz w:val="20"/>
          <w:szCs w:val="20"/>
          <w:color w:val="auto"/>
        </w:rPr>
      </w:pPr>
    </w:p>
    <w:p>
      <w:pPr>
        <w:jc w:val="both"/>
        <w:ind w:firstLine="1924"/>
        <w:spacing w:after="0" w:line="277" w:lineRule="auto"/>
        <w:rPr>
          <w:sz w:val="20"/>
          <w:szCs w:val="20"/>
          <w:color w:val="auto"/>
        </w:rPr>
      </w:pPr>
      <w:r>
        <w:rPr>
          <w:rFonts w:ascii="Times New Roman" w:cs="Times New Roman" w:eastAsia="Times New Roman" w:hAnsi="Times New Roman"/>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3" w:lineRule="exact"/>
        <w:rPr>
          <w:sz w:val="20"/>
          <w:szCs w:val="20"/>
          <w:color w:val="auto"/>
        </w:rPr>
      </w:pPr>
    </w:p>
    <w:p>
      <w:pPr>
        <w:jc w:val="both"/>
        <w:ind w:firstLine="1924"/>
        <w:spacing w:after="0" w:line="277"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Section 409A.</w:t>
      </w:r>
    </w:p>
    <w:p>
      <w:pPr>
        <w:spacing w:after="0" w:line="163" w:lineRule="exact"/>
        <w:rPr>
          <w:sz w:val="20"/>
          <w:szCs w:val="20"/>
          <w:color w:val="auto"/>
        </w:rPr>
      </w:pPr>
    </w:p>
    <w:p>
      <w:pPr>
        <w:jc w:val="both"/>
        <w:ind w:firstLine="1924"/>
        <w:spacing w:after="0" w:line="262" w:lineRule="auto"/>
        <w:rPr>
          <w:sz w:val="20"/>
          <w:szCs w:val="20"/>
          <w:color w:val="auto"/>
        </w:rPr>
      </w:pPr>
      <w:r>
        <w:rPr>
          <w:rFonts w:ascii="Times New Roman" w:cs="Times New Roman" w:eastAsia="Times New Roman" w:hAnsi="Times New Roman"/>
          <w:sz w:val="18"/>
          <w:szCs w:val="18"/>
          <w:color w:val="auto"/>
        </w:rPr>
        <w:t>Further and for purposes of clarity, a transaction will not constitute a Change in Control if: (i) its primary purpose is to change the jurisdiction of the Company’s incorporation, or (ii) its primary purpose is to create a holding company that will be owned in substantially the same proportions by the persons who held the Company’s securities immediately before such transaction.</w:t>
      </w:r>
    </w:p>
    <w:p>
      <w:pPr>
        <w:spacing w:after="0" w:line="173" w:lineRule="exact"/>
        <w:rPr>
          <w:sz w:val="20"/>
          <w:szCs w:val="20"/>
          <w:color w:val="auto"/>
        </w:rPr>
      </w:pPr>
    </w:p>
    <w:p>
      <w:pPr>
        <w:jc w:val="both"/>
        <w:ind w:firstLine="1289"/>
        <w:spacing w:after="0" w:line="265" w:lineRule="auto"/>
        <w:tabs>
          <w:tab w:leader="none" w:pos="204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155575</wp:posOffset>
            </wp:positionV>
            <wp:extent cx="71335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5</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20</w:t>
      </w:r>
    </w:p>
    <w:p>
      <w:pPr>
        <w:spacing w:after="0" w:line="222" w:lineRule="exact"/>
        <w:rPr>
          <w:sz w:val="20"/>
          <w:szCs w:val="20"/>
          <w:color w:val="auto"/>
        </w:rPr>
      </w:pPr>
    </w:p>
    <w:p>
      <w:pPr>
        <w:ind w:firstLine="1289"/>
        <w:spacing w:after="0" w:line="282" w:lineRule="auto"/>
        <w:tabs>
          <w:tab w:leader="none" w:pos="195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or by a duly authorized committee of the Board, in accordance with Section 2.</w:t>
      </w:r>
    </w:p>
    <w:p>
      <w:pPr>
        <w:spacing w:after="0" w:line="154" w:lineRule="exact"/>
        <w:rPr>
          <w:rFonts w:ascii="Times New Roman" w:cs="Times New Roman" w:eastAsia="Times New Roman" w:hAnsi="Times New Roman"/>
          <w:sz w:val="18"/>
          <w:szCs w:val="18"/>
          <w:color w:val="auto"/>
        </w:rPr>
      </w:pPr>
    </w:p>
    <w:p>
      <w:pPr>
        <w:ind w:left="1940" w:hanging="651"/>
        <w:spacing w:after="0"/>
        <w:tabs>
          <w:tab w:leader="none" w:pos="1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Company.</w:t>
      </w:r>
    </w:p>
    <w:p>
      <w:pPr>
        <w:spacing w:after="0" w:line="220" w:lineRule="exact"/>
        <w:rPr>
          <w:rFonts w:ascii="Times New Roman" w:cs="Times New Roman" w:eastAsia="Times New Roman" w:hAnsi="Times New Roman"/>
          <w:sz w:val="18"/>
          <w:szCs w:val="18"/>
          <w:color w:val="auto"/>
        </w:rPr>
      </w:pPr>
    </w:p>
    <w:p>
      <w:pPr>
        <w:ind w:left="1940" w:hanging="651"/>
        <w:spacing w:after="0"/>
        <w:tabs>
          <w:tab w:leader="none" w:pos="1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Accuray Incorporated, a Delaware corporation, or any successor thereto.</w:t>
      </w:r>
    </w:p>
    <w:p>
      <w:pPr>
        <w:spacing w:after="0" w:line="220" w:lineRule="exact"/>
        <w:rPr>
          <w:rFonts w:ascii="Times New Roman" w:cs="Times New Roman" w:eastAsia="Times New Roman" w:hAnsi="Times New Roman"/>
          <w:sz w:val="18"/>
          <w:szCs w:val="18"/>
          <w:color w:val="auto"/>
        </w:rPr>
      </w:pPr>
    </w:p>
    <w:p>
      <w:pPr>
        <w:jc w:val="both"/>
        <w:ind w:firstLine="1289"/>
        <w:spacing w:after="0" w:line="256" w:lineRule="auto"/>
        <w:tabs>
          <w:tab w:leader="none" w:pos="194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any natural person, including an advisor, engaged by the Company or any Parent, Subsidiary or Affiliate of the Company to render bona fide services to such entity, provided the services (i) are not in connection with the offer or sale of securities in a capital-raising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78" w:lineRule="exact"/>
        <w:rPr>
          <w:rFonts w:ascii="Times New Roman" w:cs="Times New Roman" w:eastAsia="Times New Roman" w:hAnsi="Times New Roman"/>
          <w:sz w:val="18"/>
          <w:szCs w:val="18"/>
          <w:color w:val="auto"/>
        </w:rPr>
      </w:pPr>
    </w:p>
    <w:p>
      <w:pPr>
        <w:ind w:left="1940" w:hanging="651"/>
        <w:spacing w:after="0"/>
        <w:tabs>
          <w:tab w:leader="none" w:pos="1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 member of the Board.</w:t>
      </w:r>
    </w:p>
    <w:p>
      <w:pPr>
        <w:spacing w:after="0" w:line="220" w:lineRule="exact"/>
        <w:rPr>
          <w:rFonts w:ascii="Times New Roman" w:cs="Times New Roman" w:eastAsia="Times New Roman" w:hAnsi="Times New Roman"/>
          <w:sz w:val="18"/>
          <w:szCs w:val="18"/>
          <w:color w:val="auto"/>
        </w:rPr>
      </w:pPr>
    </w:p>
    <w:p>
      <w:pPr>
        <w:jc w:val="both"/>
        <w:ind w:firstLine="1289"/>
        <w:spacing w:after="0" w:line="265" w:lineRule="auto"/>
        <w:tabs>
          <w:tab w:leader="none" w:pos="21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means any person, including Officers and Directors, employed by the Company or any Parent, Subsidiary or Affiliate of the Company. Neither service as a Director nor payment of a director’s fee by the Company will be sufficient to constitute “employment” by the Company.</w:t>
      </w:r>
    </w:p>
    <w:p>
      <w:pPr>
        <w:spacing w:after="0" w:line="169" w:lineRule="exact"/>
        <w:rPr>
          <w:rFonts w:ascii="Times New Roman" w:cs="Times New Roman" w:eastAsia="Times New Roman" w:hAnsi="Times New Roman"/>
          <w:sz w:val="18"/>
          <w:szCs w:val="18"/>
          <w:color w:val="auto"/>
        </w:rPr>
      </w:pPr>
    </w:p>
    <w:p>
      <w:pPr>
        <w:ind w:left="2000" w:hanging="711"/>
        <w:spacing w:after="0"/>
        <w:tabs>
          <w:tab w:leader="none" w:pos="20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U.S. Securities Exchange Act of 1934, as amended, including the rules and regulations promulgated</w:t>
      </w:r>
    </w:p>
    <w:p>
      <w:pPr>
        <w:spacing w:after="0" w:line="4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thereunder.</w:t>
      </w:r>
    </w:p>
    <w:p>
      <w:pPr>
        <w:spacing w:after="0" w:line="197" w:lineRule="exact"/>
        <w:rPr>
          <w:rFonts w:ascii="Times New Roman" w:cs="Times New Roman" w:eastAsia="Times New Roman" w:hAnsi="Times New Roman"/>
          <w:sz w:val="17"/>
          <w:szCs w:val="17"/>
          <w:color w:val="auto"/>
        </w:rPr>
      </w:pPr>
    </w:p>
    <w:p>
      <w:pPr>
        <w:ind w:left="1980" w:hanging="691"/>
        <w:spacing w:after="0"/>
        <w:tabs>
          <w:tab w:leader="none" w:pos="19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means, as of any date and unless the Administrator determines otherwise, the value of a Share determined</w:t>
      </w:r>
    </w:p>
    <w:p>
      <w:pPr>
        <w:spacing w:after="0" w:line="4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as follows:</w:t>
      </w:r>
    </w:p>
    <w:p>
      <w:pPr>
        <w:spacing w:after="0" w:line="201" w:lineRule="exact"/>
        <w:rPr>
          <w:rFonts w:ascii="Times New Roman" w:cs="Times New Roman" w:eastAsia="Times New Roman" w:hAnsi="Times New Roman"/>
          <w:sz w:val="17"/>
          <w:szCs w:val="17"/>
          <w:color w:val="auto"/>
        </w:rPr>
      </w:pPr>
    </w:p>
    <w:p>
      <w:pPr>
        <w:jc w:val="both"/>
        <w:ind w:firstLine="1930"/>
        <w:spacing w:after="0" w:line="255" w:lineRule="auto"/>
        <w:tabs>
          <w:tab w:leader="none" w:pos="231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The Wall Street Journal or such other source as the Administrator deems reliable;</w:t>
      </w:r>
    </w:p>
    <w:p>
      <w:pPr>
        <w:spacing w:after="0" w:line="182" w:lineRule="exact"/>
        <w:rPr>
          <w:rFonts w:ascii="Times New Roman" w:cs="Times New Roman" w:eastAsia="Times New Roman" w:hAnsi="Times New Roman"/>
          <w:sz w:val="18"/>
          <w:szCs w:val="18"/>
          <w:color w:val="auto"/>
        </w:rPr>
      </w:pPr>
    </w:p>
    <w:p>
      <w:pPr>
        <w:jc w:val="both"/>
        <w:ind w:firstLine="1930"/>
        <w:spacing w:after="0" w:line="257" w:lineRule="auto"/>
        <w:tabs>
          <w:tab w:leader="none" w:pos="231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regularly quoted by a recognized securities dealer but selling prices are not reported, the Fair Market Value will be the mean between the high bid and low asked prices for the Common Stock on the date of determination (or, if no bids and asks were reported on that date, as applicable, on the last Trading Day such bids and asks were reported), as reported in The Wall Street Journal or such other source as the Administrator deems reliable; or</w:t>
      </w:r>
    </w:p>
    <w:p>
      <w:pPr>
        <w:spacing w:after="0" w:line="182" w:lineRule="exact"/>
        <w:rPr>
          <w:rFonts w:ascii="Times New Roman" w:cs="Times New Roman" w:eastAsia="Times New Roman" w:hAnsi="Times New Roman"/>
          <w:sz w:val="18"/>
          <w:szCs w:val="18"/>
          <w:color w:val="auto"/>
        </w:rPr>
      </w:pPr>
    </w:p>
    <w:p>
      <w:pPr>
        <w:ind w:left="2400" w:hanging="470"/>
        <w:spacing w:after="0"/>
        <w:tabs>
          <w:tab w:leader="none" w:pos="24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Common Stock, the Fair Market Value will be determined in good faith by</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71335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ind w:left="10160"/>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6</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20</w:t>
      </w:r>
    </w:p>
    <w:p>
      <w:pPr>
        <w:spacing w:after="0" w:line="2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Notwithstanding the foregoing, for purposes of determining the fair market value of any Shares subject to the Restricted Stock Units for any reason,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spacing w:after="0" w:line="178" w:lineRule="exact"/>
        <w:rPr>
          <w:sz w:val="20"/>
          <w:szCs w:val="20"/>
          <w:color w:val="auto"/>
        </w:rPr>
      </w:pPr>
    </w:p>
    <w:p>
      <w:pPr>
        <w:ind w:firstLine="1289"/>
        <w:spacing w:after="0" w:line="282" w:lineRule="auto"/>
        <w:tabs>
          <w:tab w:leader="none" w:pos="1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54" w:lineRule="exact"/>
        <w:rPr>
          <w:rFonts w:ascii="Times New Roman" w:cs="Times New Roman" w:eastAsia="Times New Roman" w:hAnsi="Times New Roman"/>
          <w:sz w:val="18"/>
          <w:szCs w:val="18"/>
          <w:color w:val="auto"/>
        </w:rPr>
      </w:pPr>
    </w:p>
    <w:p>
      <w:pPr>
        <w:ind w:left="1920" w:hanging="631"/>
        <w:spacing w:after="0"/>
        <w:tabs>
          <w:tab w:leader="none" w:pos="1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means a “parent corporation,” whether now or hereafter existing, as defined in Section 424(e) of the Code.</w:t>
      </w:r>
    </w:p>
    <w:p>
      <w:pPr>
        <w:spacing w:after="0" w:line="220" w:lineRule="exact"/>
        <w:rPr>
          <w:rFonts w:ascii="Times New Roman" w:cs="Times New Roman" w:eastAsia="Times New Roman" w:hAnsi="Times New Roman"/>
          <w:sz w:val="18"/>
          <w:szCs w:val="18"/>
          <w:color w:val="auto"/>
        </w:rPr>
      </w:pPr>
    </w:p>
    <w:p>
      <w:pPr>
        <w:ind w:left="1920" w:hanging="631"/>
        <w:spacing w:after="0"/>
        <w:tabs>
          <w:tab w:leader="none" w:pos="1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the person named in the Notice of Grant or such person’s successor.</w:t>
      </w:r>
    </w:p>
    <w:p>
      <w:pPr>
        <w:spacing w:after="0" w:line="220" w:lineRule="exact"/>
        <w:rPr>
          <w:rFonts w:ascii="Times New Roman" w:cs="Times New Roman" w:eastAsia="Times New Roman" w:hAnsi="Times New Roman"/>
          <w:sz w:val="18"/>
          <w:szCs w:val="18"/>
          <w:color w:val="auto"/>
        </w:rPr>
      </w:pPr>
    </w:p>
    <w:p>
      <w:pPr>
        <w:ind w:firstLine="1289"/>
        <w:spacing w:after="0" w:line="282" w:lineRule="auto"/>
        <w:tabs>
          <w:tab w:leader="none" w:pos="20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Each Restricted Stock Unit represents an unfunded and unsecured obligation of the Company.</w:t>
      </w:r>
    </w:p>
    <w:p>
      <w:pPr>
        <w:spacing w:after="0" w:line="154" w:lineRule="exact"/>
        <w:rPr>
          <w:rFonts w:ascii="Times New Roman" w:cs="Times New Roman" w:eastAsia="Times New Roman" w:hAnsi="Times New Roman"/>
          <w:sz w:val="18"/>
          <w:szCs w:val="18"/>
          <w:color w:val="auto"/>
        </w:rPr>
      </w:pPr>
    </w:p>
    <w:p>
      <w:pPr>
        <w:ind w:firstLine="1289"/>
        <w:spacing w:after="0" w:line="282" w:lineRule="auto"/>
        <w:tabs>
          <w:tab w:leader="none" w:pos="212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means Rule 16b-3 of the Exchange Act or any successor to Rule 16b-3, as in effect when discretion is being exercised with respect to the Award Agreement.</w:t>
      </w:r>
    </w:p>
    <w:p>
      <w:pPr>
        <w:spacing w:after="0" w:line="154" w:lineRule="exact"/>
        <w:rPr>
          <w:rFonts w:ascii="Times New Roman" w:cs="Times New Roman" w:eastAsia="Times New Roman" w:hAnsi="Times New Roman"/>
          <w:sz w:val="18"/>
          <w:szCs w:val="18"/>
          <w:color w:val="auto"/>
        </w:rPr>
      </w:pPr>
    </w:p>
    <w:p>
      <w:pPr>
        <w:ind w:right="20" w:firstLine="1289"/>
        <w:spacing w:after="0" w:line="282" w:lineRule="auto"/>
        <w:tabs>
          <w:tab w:leader="none" w:pos="194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Section 409A of the Code and the U.S. Treasury Regulations and guidance thereunder, and any applicable state law equivalent, as each may be promulgated, amended or modified from time to time.</w:t>
      </w:r>
    </w:p>
    <w:p>
      <w:pPr>
        <w:spacing w:after="0" w:line="154" w:lineRule="exact"/>
        <w:rPr>
          <w:rFonts w:ascii="Times New Roman" w:cs="Times New Roman" w:eastAsia="Times New Roman" w:hAnsi="Times New Roman"/>
          <w:sz w:val="18"/>
          <w:szCs w:val="18"/>
          <w:color w:val="auto"/>
        </w:rPr>
      </w:pPr>
    </w:p>
    <w:p>
      <w:pPr>
        <w:ind w:left="1940" w:hanging="651"/>
        <w:spacing w:after="0"/>
        <w:tabs>
          <w:tab w:leader="none" w:pos="1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U.S. Securities Act of 1933, as amended, including the rules and regulations promulgated thereunder.</w:t>
      </w:r>
    </w:p>
    <w:p>
      <w:pPr>
        <w:spacing w:after="0" w:line="231" w:lineRule="exact"/>
        <w:rPr>
          <w:rFonts w:ascii="Times New Roman" w:cs="Times New Roman" w:eastAsia="Times New Roman" w:hAnsi="Times New Roman"/>
          <w:sz w:val="17"/>
          <w:szCs w:val="17"/>
          <w:color w:val="auto"/>
        </w:rPr>
      </w:pPr>
    </w:p>
    <w:p>
      <w:pPr>
        <w:ind w:left="1940" w:hanging="651"/>
        <w:spacing w:after="0"/>
        <w:tabs>
          <w:tab w:leader="none" w:pos="1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 Provider</w:t>
      </w:r>
      <w:r>
        <w:rPr>
          <w:rFonts w:ascii="Times New Roman" w:cs="Times New Roman" w:eastAsia="Times New Roman" w:hAnsi="Times New Roman"/>
          <w:sz w:val="18"/>
          <w:szCs w:val="18"/>
          <w:color w:val="auto"/>
        </w:rPr>
        <w:t>” means an Employee, Director or Consultant.</w:t>
      </w:r>
    </w:p>
    <w:p>
      <w:pPr>
        <w:spacing w:after="0" w:line="220" w:lineRule="exact"/>
        <w:rPr>
          <w:rFonts w:ascii="Times New Roman" w:cs="Times New Roman" w:eastAsia="Times New Roman" w:hAnsi="Times New Roman"/>
          <w:sz w:val="18"/>
          <w:szCs w:val="18"/>
          <w:color w:val="auto"/>
        </w:rPr>
      </w:pPr>
    </w:p>
    <w:p>
      <w:pPr>
        <w:ind w:left="1940" w:hanging="651"/>
        <w:spacing w:after="0"/>
        <w:tabs>
          <w:tab w:leader="none" w:pos="1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a share of the Common Stock, as adjusted in accordance with Section 15.</w:t>
      </w:r>
    </w:p>
    <w:p>
      <w:pPr>
        <w:spacing w:after="0" w:line="183" w:lineRule="exact"/>
        <w:rPr>
          <w:rFonts w:ascii="Times New Roman" w:cs="Times New Roman" w:eastAsia="Times New Roman" w:hAnsi="Times New Roman"/>
          <w:sz w:val="18"/>
          <w:szCs w:val="18"/>
          <w:color w:val="auto"/>
        </w:rPr>
      </w:pPr>
    </w:p>
    <w:p>
      <w:pPr>
        <w:ind w:left="1940" w:hanging="651"/>
        <w:spacing w:after="0" w:line="207" w:lineRule="exact"/>
        <w:tabs>
          <w:tab w:leader="none" w:pos="1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 “subsidiary corporation,” whether now or hereafter exist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ing, as defined in Section 424(f) of the Code.</w:t>
      </w:r>
    </w:p>
    <w:p>
      <w:pPr>
        <w:spacing w:after="0" w:line="257" w:lineRule="exact"/>
        <w:rPr>
          <w:sz w:val="20"/>
          <w:szCs w:val="20"/>
          <w:color w:val="auto"/>
        </w:rPr>
      </w:pPr>
    </w:p>
    <w:p>
      <w:pPr>
        <w:ind w:firstLine="1289"/>
        <w:spacing w:after="0" w:line="282" w:lineRule="auto"/>
        <w:tabs>
          <w:tab w:leader="none" w:pos="202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54" w:lineRule="exact"/>
        <w:rPr>
          <w:rFonts w:ascii="Times New Roman" w:cs="Times New Roman" w:eastAsia="Times New Roman" w:hAnsi="Times New Roman"/>
          <w:sz w:val="18"/>
          <w:szCs w:val="18"/>
          <w:color w:val="auto"/>
        </w:rPr>
      </w:pPr>
    </w:p>
    <w:p>
      <w:pPr>
        <w:jc w:val="both"/>
        <w:ind w:firstLine="1289"/>
        <w:spacing w:after="0" w:line="265" w:lineRule="auto"/>
        <w:tabs>
          <w:tab w:leader="none" w:pos="18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Treasury Regulations</w:t>
      </w:r>
      <w:r>
        <w:rPr>
          <w:rFonts w:ascii="Times New Roman" w:cs="Times New Roman" w:eastAsia="Times New Roman" w:hAnsi="Times New Roman"/>
          <w:sz w:val="18"/>
          <w:szCs w:val="18"/>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155575</wp:posOffset>
            </wp:positionV>
            <wp:extent cx="71335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7</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20</w:t>
      </w:r>
    </w:p>
    <w:p>
      <w:pPr>
        <w:spacing w:after="0" w:line="226" w:lineRule="exact"/>
        <w:rPr>
          <w:sz w:val="20"/>
          <w:szCs w:val="20"/>
          <w:color w:val="auto"/>
        </w:rPr>
      </w:pPr>
    </w:p>
    <w:p>
      <w:pPr>
        <w:ind w:left="1280" w:hanging="632"/>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left="1940" w:hanging="651"/>
        <w:spacing w:after="0"/>
        <w:tabs>
          <w:tab w:leader="none" w:pos="19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firstLine="1930"/>
        <w:spacing w:after="0" w:line="277" w:lineRule="auto"/>
        <w:tabs>
          <w:tab w:leader="none" w:pos="243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63" w:lineRule="exact"/>
        <w:rPr>
          <w:rFonts w:ascii="Times New Roman" w:cs="Times New Roman" w:eastAsia="Times New Roman" w:hAnsi="Times New Roman"/>
          <w:sz w:val="18"/>
          <w:szCs w:val="18"/>
          <w:color w:val="auto"/>
        </w:rPr>
      </w:pPr>
    </w:p>
    <w:p>
      <w:pPr>
        <w:ind w:firstLine="1930"/>
        <w:spacing w:after="0" w:line="277" w:lineRule="auto"/>
        <w:tabs>
          <w:tab w:leader="none" w:pos="2346"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Administration</w:t>
      </w:r>
      <w:r>
        <w:rPr>
          <w:rFonts w:ascii="Times New Roman" w:cs="Times New Roman" w:eastAsia="Times New Roman" w:hAnsi="Times New Roman"/>
          <w:sz w:val="18"/>
          <w:szCs w:val="18"/>
          <w:color w:val="auto"/>
        </w:rPr>
        <w:t>. Other than as provided above, this Award Agreement will be administered by (A) the Board or (B) a Committee, which Committee will be constituted to comply with Applicable Laws.</w:t>
      </w:r>
    </w:p>
    <w:p>
      <w:pPr>
        <w:spacing w:after="0" w:line="163" w:lineRule="exact"/>
        <w:rPr>
          <w:rFonts w:ascii="Times New Roman" w:cs="Times New Roman" w:eastAsia="Times New Roman" w:hAnsi="Times New Roman"/>
          <w:sz w:val="18"/>
          <w:szCs w:val="18"/>
          <w:color w:val="auto"/>
        </w:rPr>
      </w:pPr>
    </w:p>
    <w:p>
      <w:pPr>
        <w:jc w:val="both"/>
        <w:ind w:firstLine="1930"/>
        <w:spacing w:after="0" w:line="262" w:lineRule="auto"/>
        <w:tabs>
          <w:tab w:leader="none" w:pos="2542"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 for Day-to-Day Administration</w:t>
      </w:r>
      <w:r>
        <w:rPr>
          <w:rFonts w:ascii="Times New Roman" w:cs="Times New Roman" w:eastAsia="Times New Roman" w:hAnsi="Times New Roman"/>
          <w:sz w:val="18"/>
          <w:szCs w:val="18"/>
          <w:color w:val="auto"/>
        </w:rPr>
        <w:t>. Except to the extent prohibited by Applicable Laws, the Administrator may delegate to one or more individuals the day-to-day administration of this Award Agreement and any of the functions assigned to it in this Award Agreement. Such delegation may be revoked at any time.</w:t>
      </w:r>
    </w:p>
    <w:p>
      <w:pPr>
        <w:spacing w:after="0" w:line="177" w:lineRule="exact"/>
        <w:rPr>
          <w:rFonts w:ascii="Times New Roman" w:cs="Times New Roman" w:eastAsia="Times New Roman" w:hAnsi="Times New Roman"/>
          <w:sz w:val="18"/>
          <w:szCs w:val="18"/>
          <w:color w:val="auto"/>
        </w:rPr>
      </w:pPr>
    </w:p>
    <w:p>
      <w:pPr>
        <w:ind w:firstLine="1289"/>
        <w:spacing w:after="0" w:line="277" w:lineRule="auto"/>
        <w:tabs>
          <w:tab w:leader="none" w:pos="201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the provisions of the Award Agreement, and in the case of a Committee, subject to the specific duties delegated by the Board to such Committee, the Administrator will have the authority, in its discretion:</w:t>
      </w:r>
    </w:p>
    <w:p>
      <w:pPr>
        <w:spacing w:after="0" w:line="163" w:lineRule="exact"/>
        <w:rPr>
          <w:rFonts w:ascii="Times New Roman" w:cs="Times New Roman" w:eastAsia="Times New Roman" w:hAnsi="Times New Roman"/>
          <w:sz w:val="18"/>
          <w:szCs w:val="18"/>
          <w:color w:val="auto"/>
        </w:rPr>
      </w:pPr>
    </w:p>
    <w:p>
      <w:pPr>
        <w:ind w:left="2280" w:hanging="350"/>
        <w:spacing w:after="0"/>
        <w:tabs>
          <w:tab w:leader="none" w:pos="228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w:t>
      </w:r>
    </w:p>
    <w:p>
      <w:pPr>
        <w:spacing w:after="0" w:line="220" w:lineRule="exact"/>
        <w:rPr>
          <w:rFonts w:ascii="Times New Roman" w:cs="Times New Roman" w:eastAsia="Times New Roman" w:hAnsi="Times New Roman"/>
          <w:sz w:val="18"/>
          <w:szCs w:val="18"/>
          <w:color w:val="auto"/>
        </w:rPr>
      </w:pPr>
    </w:p>
    <w:p>
      <w:pPr>
        <w:ind w:left="2320" w:hanging="390"/>
        <w:spacing w:after="0"/>
        <w:tabs>
          <w:tab w:leader="none" w:pos="232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Award and this Award Agreement;</w:t>
      </w:r>
    </w:p>
    <w:p>
      <w:pPr>
        <w:spacing w:after="0" w:line="220" w:lineRule="exact"/>
        <w:rPr>
          <w:rFonts w:ascii="Times New Roman" w:cs="Times New Roman" w:eastAsia="Times New Roman" w:hAnsi="Times New Roman"/>
          <w:sz w:val="18"/>
          <w:szCs w:val="18"/>
          <w:color w:val="auto"/>
        </w:rPr>
      </w:pPr>
    </w:p>
    <w:p>
      <w:pPr>
        <w:ind w:firstLine="1930"/>
        <w:spacing w:after="0" w:line="238" w:lineRule="exact"/>
        <w:tabs>
          <w:tab w:leader="none" w:pos="24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Award, including easing the administration of the Award and/or qualifying for favorable tax treatment under applicable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laws, in each case as the Administrator may deem necessary or advisable.</w:t>
      </w:r>
    </w:p>
    <w:p>
      <w:pPr>
        <w:spacing w:after="0" w:line="166" w:lineRule="exact"/>
        <w:rPr>
          <w:rFonts w:ascii="Times New Roman" w:cs="Times New Roman" w:eastAsia="Times New Roman" w:hAnsi="Times New Roman"/>
          <w:sz w:val="18"/>
          <w:szCs w:val="18"/>
          <w:color w:val="auto"/>
        </w:rPr>
      </w:pPr>
    </w:p>
    <w:p>
      <w:pPr>
        <w:ind w:left="2360" w:hanging="430"/>
        <w:spacing w:after="0"/>
        <w:tabs>
          <w:tab w:leader="none" w:pos="23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the Award;</w:t>
      </w:r>
    </w:p>
    <w:p>
      <w:pPr>
        <w:spacing w:after="0" w:line="220" w:lineRule="exact"/>
        <w:rPr>
          <w:rFonts w:ascii="Times New Roman" w:cs="Times New Roman" w:eastAsia="Times New Roman" w:hAnsi="Times New Roman"/>
          <w:sz w:val="18"/>
          <w:szCs w:val="18"/>
          <w:color w:val="auto"/>
        </w:rPr>
      </w:pPr>
    </w:p>
    <w:p>
      <w:pPr>
        <w:ind w:left="2320" w:hanging="390"/>
        <w:spacing w:after="0"/>
        <w:tabs>
          <w:tab w:leader="none" w:pos="232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the Award will be settled in Shares, cash or in any combination thereof; and</w:t>
      </w:r>
    </w:p>
    <w:p>
      <w:pPr>
        <w:spacing w:after="0" w:line="220" w:lineRule="exact"/>
        <w:rPr>
          <w:rFonts w:ascii="Times New Roman" w:cs="Times New Roman" w:eastAsia="Times New Roman" w:hAnsi="Times New Roman"/>
          <w:sz w:val="18"/>
          <w:szCs w:val="18"/>
          <w:color w:val="auto"/>
        </w:rPr>
      </w:pPr>
    </w:p>
    <w:p>
      <w:pPr>
        <w:ind w:left="2360" w:hanging="430"/>
        <w:spacing w:after="0"/>
        <w:tabs>
          <w:tab w:leader="none" w:pos="23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administering the Award and the Award Agreement.</w:t>
      </w:r>
    </w:p>
    <w:p>
      <w:pPr>
        <w:spacing w:after="0" w:line="220" w:lineRule="exact"/>
        <w:rPr>
          <w:rFonts w:ascii="Times New Roman" w:cs="Times New Roman" w:eastAsia="Times New Roman" w:hAnsi="Times New Roman"/>
          <w:sz w:val="18"/>
          <w:szCs w:val="18"/>
          <w:color w:val="auto"/>
        </w:rPr>
      </w:pPr>
    </w:p>
    <w:p>
      <w:pPr>
        <w:ind w:firstLine="1289"/>
        <w:spacing w:after="0" w:line="277" w:lineRule="auto"/>
        <w:tabs>
          <w:tab w:leader="none" w:pos="19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Administrator’s Decisions</w:t>
      </w:r>
      <w:r>
        <w:rPr>
          <w:rFonts w:ascii="Times New Roman" w:cs="Times New Roman" w:eastAsia="Times New Roman" w:hAnsi="Times New Roman"/>
          <w:sz w:val="18"/>
          <w:szCs w:val="18"/>
          <w:color w:val="auto"/>
        </w:rPr>
        <w:t>. The Administrator’s decisions, determinations, and interpretations will be final and binding on Participant and will be given the maximum deference permitted by Applicable Laws.</w:t>
      </w:r>
    </w:p>
    <w:p>
      <w:pPr>
        <w:spacing w:after="0" w:line="159" w:lineRule="exact"/>
        <w:rPr>
          <w:rFonts w:ascii="Times New Roman" w:cs="Times New Roman" w:eastAsia="Times New Roman" w:hAnsi="Times New Roman"/>
          <w:sz w:val="18"/>
          <w:szCs w:val="18"/>
          <w:color w:val="auto"/>
        </w:rPr>
      </w:pPr>
    </w:p>
    <w:p>
      <w:pPr>
        <w:jc w:val="both"/>
        <w:ind w:firstLine="648"/>
        <w:spacing w:after="0" w:line="265" w:lineRule="auto"/>
        <w:tabs>
          <w:tab w:leader="none" w:pos="13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 Units</w:t>
      </w:r>
      <w:r>
        <w:rPr>
          <w:rFonts w:ascii="Times New Roman" w:cs="Times New Roman" w:eastAsia="Times New Roman" w:hAnsi="Times New Roman"/>
          <w:sz w:val="18"/>
          <w:szCs w:val="18"/>
          <w:color w:val="auto"/>
        </w:rPr>
        <w:t>. The Company hereby grants to the individual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named in the Notice of Restricted Stock Unit Grant of this Award Agreement (the “</w:t>
      </w:r>
      <w:r>
        <w:rPr>
          <w:rFonts w:ascii="Times New Roman" w:cs="Times New Roman" w:eastAsia="Times New Roman" w:hAnsi="Times New Roman"/>
          <w:sz w:val="18"/>
          <w:szCs w:val="18"/>
          <w:b w:val="1"/>
          <w:bCs w:val="1"/>
          <w:color w:val="auto"/>
        </w:rPr>
        <w:t>Notice of Grant</w:t>
      </w:r>
      <w:r>
        <w:rPr>
          <w:rFonts w:ascii="Times New Roman" w:cs="Times New Roman" w:eastAsia="Times New Roman" w:hAnsi="Times New Roman"/>
          <w:sz w:val="18"/>
          <w:szCs w:val="18"/>
          <w:color w:val="auto"/>
        </w:rPr>
        <w:t>”) an Award of Restricted Stock Units, subject to all of the terms and conditions of this Award Agreement. The Award is intended to qualify as an employment inducement grant under Nasdaq Listing Rule 5635(c)(4).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155575</wp:posOffset>
            </wp:positionV>
            <wp:extent cx="71335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ind w:left="10160"/>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8</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20</w:t>
      </w:r>
    </w:p>
    <w:p>
      <w:pPr>
        <w:spacing w:after="0" w:line="226" w:lineRule="exact"/>
        <w:rPr>
          <w:sz w:val="20"/>
          <w:szCs w:val="20"/>
          <w:color w:val="auto"/>
        </w:rPr>
      </w:pPr>
    </w:p>
    <w:p>
      <w:pPr>
        <w:jc w:val="both"/>
        <w:ind w:firstLine="648"/>
        <w:spacing w:after="0" w:line="257" w:lineRule="auto"/>
        <w:tabs>
          <w:tab w:leader="none" w:pos="133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Pay</w:t>
      </w:r>
      <w:r>
        <w:rPr>
          <w:rFonts w:ascii="Times New Roman" w:cs="Times New Roman" w:eastAsia="Times New Roman" w:hAnsi="Times New Roman"/>
          <w:sz w:val="18"/>
          <w:szCs w:val="18"/>
          <w:color w:val="auto"/>
        </w:rPr>
        <w:t>. Each Restricted Stock Unit represents the right to receive a Share on the date it vests. Unless and until the Restricted Stock Units will have vested in the manner set forth in Sections 5 or 6,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82" w:lineRule="exact"/>
        <w:rPr>
          <w:rFonts w:ascii="Times New Roman" w:cs="Times New Roman" w:eastAsia="Times New Roman" w:hAnsi="Times New Roman"/>
          <w:sz w:val="18"/>
          <w:szCs w:val="18"/>
          <w:color w:val="auto"/>
        </w:rPr>
      </w:pPr>
    </w:p>
    <w:p>
      <w:pPr>
        <w:jc w:val="both"/>
        <w:ind w:firstLine="648"/>
        <w:spacing w:after="0" w:line="253" w:lineRule="auto"/>
        <w:tabs>
          <w:tab w:leader="none" w:pos="127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provided in Section 6, and subject to Section 9, the Restricted Stock Units awarded by this Award Agreement will vest in accordance with the vesting provisions set forth in the Notice of Grant. Unless specifically provided otherwise in this Award Agreement or other written agreement authorized by the Administrator between Participant and the Company or any Parent, Subsidiary or Affiliate of the Company, as applicable, governing the terms of this Award, Restricted Stock Units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spacing w:after="0" w:line="186" w:lineRule="exact"/>
        <w:rPr>
          <w:rFonts w:ascii="Times New Roman" w:cs="Times New Roman" w:eastAsia="Times New Roman" w:hAnsi="Times New Roman"/>
          <w:sz w:val="18"/>
          <w:szCs w:val="18"/>
          <w:color w:val="auto"/>
        </w:rPr>
      </w:pPr>
    </w:p>
    <w:p>
      <w:pPr>
        <w:ind w:left="1320" w:hanging="672"/>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After Vesting</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jc w:val="both"/>
        <w:ind w:firstLine="1289"/>
        <w:spacing w:after="0" w:line="251" w:lineRule="auto"/>
        <w:tabs>
          <w:tab w:leader="none" w:pos="194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Rule</w:t>
      </w:r>
      <w:r>
        <w:rPr>
          <w:rFonts w:ascii="Times New Roman" w:cs="Times New Roman" w:eastAsia="Times New Roman" w:hAnsi="Times New Roman"/>
          <w:sz w:val="18"/>
          <w:szCs w:val="18"/>
          <w:color w:val="auto"/>
        </w:rPr>
        <w:t>. Subject to Sections 6(c) and 11, any Restricted Stock Units that vest will be paid to Participant (or in the event of Participant’s death, to Participant’s properly designated beneficiary or estate) in whole Shares no later than seventy-four (74) days following the vesting date applicable to such Restricted Stock Units (the “</w:t>
      </w:r>
      <w:r>
        <w:rPr>
          <w:rFonts w:ascii="Times New Roman" w:cs="Times New Roman" w:eastAsia="Times New Roman" w:hAnsi="Times New Roman"/>
          <w:sz w:val="18"/>
          <w:szCs w:val="18"/>
          <w:b w:val="1"/>
          <w:bCs w:val="1"/>
          <w:color w:val="auto"/>
        </w:rPr>
        <w:t>Settlement Deadline Date</w:t>
      </w:r>
      <w:r>
        <w:rPr>
          <w:rFonts w:ascii="Times New Roman" w:cs="Times New Roman" w:eastAsia="Times New Roman" w:hAnsi="Times New Roman"/>
          <w:sz w:val="18"/>
          <w:szCs w:val="18"/>
          <w:color w:val="auto"/>
        </w:rPr>
        <w:t>”). Except as may be required by the provisions of Section 6(c), no Restricted Stock Unit will be settled after the Settlement Deadline Date applicable to it. If any Restricted Stock Unit has not met all the requirements for settlement under this Award Agreement in a manner that would allow it to be settled by the applicable Settlement Deadline Date (or, if applicable, such other date required by Section 6(c)), such Restricted Stock Unit will be forfeited as of immediately following the applicable Settlement Deadline Date (or such other date required by Section 6(c), as applicable). In no event will Participant be permitted, directly or indirectly, to specify the taxable year of payment of any Restricted Stock Units payable under this Award Agreement. For clarity, there may be multiple Settlement Deadline Dates, each corresponding to a particular Restricted Stock Unit.</w:t>
      </w:r>
    </w:p>
    <w:p>
      <w:pPr>
        <w:spacing w:after="0" w:line="189" w:lineRule="exact"/>
        <w:rPr>
          <w:rFonts w:ascii="Times New Roman" w:cs="Times New Roman" w:eastAsia="Times New Roman" w:hAnsi="Times New Roman"/>
          <w:sz w:val="18"/>
          <w:szCs w:val="18"/>
          <w:color w:val="auto"/>
        </w:rPr>
      </w:pPr>
    </w:p>
    <w:p>
      <w:pPr>
        <w:jc w:val="both"/>
        <w:ind w:firstLine="1289"/>
        <w:spacing w:after="0" w:line="262" w:lineRule="auto"/>
        <w:tabs>
          <w:tab w:leader="none" w:pos="191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Discretion</w:t>
      </w:r>
      <w:r>
        <w:rPr>
          <w:rFonts w:ascii="Times New Roman" w:cs="Times New Roman" w:eastAsia="Times New Roman" w:hAnsi="Times New Roman"/>
          <w:sz w:val="18"/>
          <w:szCs w:val="18"/>
          <w:color w:val="auto"/>
        </w:rPr>
        <w:t>. The Administrator, in its discretion, may accelerate the vesting of the balance, or some lesser portion of the balance, of the unvested Restricted Stock Units at any time, subject to the terms of the Award Agreement. If so accelerated, such Restricted Stock Units will be considered as having vested as of the date specified by the Administrator.</w:t>
      </w:r>
    </w:p>
    <w:p>
      <w:pPr>
        <w:spacing w:after="0" w:line="177" w:lineRule="exact"/>
        <w:rPr>
          <w:rFonts w:ascii="Times New Roman" w:cs="Times New Roman" w:eastAsia="Times New Roman" w:hAnsi="Times New Roman"/>
          <w:sz w:val="18"/>
          <w:szCs w:val="18"/>
          <w:color w:val="auto"/>
        </w:rPr>
      </w:pPr>
    </w:p>
    <w:p>
      <w:pPr>
        <w:ind w:left="1940" w:hanging="651"/>
        <w:spacing w:after="0"/>
        <w:tabs>
          <w:tab w:leader="none" w:pos="19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 Section 6(c) will apply to Participant to the extent Participant is a U.S.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35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9</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20</w:t>
      </w:r>
    </w:p>
    <w:p>
      <w:pPr>
        <w:spacing w:after="0" w:line="226" w:lineRule="exact"/>
        <w:rPr>
          <w:sz w:val="20"/>
          <w:szCs w:val="20"/>
          <w:color w:val="auto"/>
        </w:rPr>
      </w:pPr>
    </w:p>
    <w:p>
      <w:pPr>
        <w:jc w:val="both"/>
        <w:ind w:firstLine="1930"/>
        <w:spacing w:after="0" w:line="262" w:lineRule="auto"/>
        <w:tabs>
          <w:tab w:leader="none" w:pos="232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Shares vesting pursuant to this Award Agreement (including any discretionary acceleration under Section 6(b)) shall in all cases be paid at a time and in a manner that is intended to be exempt from, or comply with, Section 409A. The prior sentence may be superseded in a future agreement or amendment to this Award Agreement only by direct and specific reference to such sentence.</w:t>
      </w:r>
    </w:p>
    <w:p>
      <w:pPr>
        <w:spacing w:after="0" w:line="177" w:lineRule="exact"/>
        <w:rPr>
          <w:rFonts w:ascii="Times New Roman" w:cs="Times New Roman" w:eastAsia="Times New Roman" w:hAnsi="Times New Roman"/>
          <w:sz w:val="18"/>
          <w:szCs w:val="18"/>
          <w:color w:val="auto"/>
        </w:rPr>
      </w:pPr>
    </w:p>
    <w:p>
      <w:pPr>
        <w:jc w:val="both"/>
        <w:ind w:firstLine="1930"/>
        <w:spacing w:after="0" w:line="215" w:lineRule="exact"/>
        <w:tabs>
          <w:tab w:leader="none" w:pos="234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Stock Units under this Award Agreement that are considered deferred compensation within the meaning of Section 409A (“</w:t>
      </w:r>
      <w:r>
        <w:rPr>
          <w:rFonts w:ascii="Times New Roman" w:cs="Times New Roman" w:eastAsia="Times New Roman" w:hAnsi="Times New Roman"/>
          <w:sz w:val="18"/>
          <w:szCs w:val="18"/>
          <w:b w:val="1"/>
          <w:bCs w:val="1"/>
          <w:color w:val="auto"/>
        </w:rPr>
        <w:t>Deferred Payments</w:t>
      </w:r>
      <w:r>
        <w:rPr>
          <w:rFonts w:ascii="Times New Roman" w:cs="Times New Roman" w:eastAsia="Times New Roman" w:hAnsi="Times New Roman"/>
          <w:sz w:val="18"/>
          <w:szCs w:val="18"/>
          <w:color w:val="auto"/>
        </w:rPr>
        <w:t>”) that otherwise are intended to be paid, pursuant to subsection (i), (ii) or (v) of Code Section 409A(a)(2)(A), upon the occurrence of a merger of the Company with or into another corporation or other entity, a Change in Control, or Participant’s disability or termination from employment or other service (whether pursuant to the vesting criteria set forth in the Notice of Grant or a written agreement authorized by the Administrator between Participant and the Company or any of its Parents or Subsidiaries, as applicable), will not be payable upon such event unless and until the circumstances giving rise to such merger, Change in Control, disability, or termination constitutes a change in control event, disability, or separation from service, as applicable, within the meaning of Section 409A (a “</w:t>
      </w:r>
      <w:r>
        <w:rPr>
          <w:rFonts w:ascii="Times New Roman" w:cs="Times New Roman" w:eastAsia="Times New Roman" w:hAnsi="Times New Roman"/>
          <w:sz w:val="18"/>
          <w:szCs w:val="18"/>
          <w:b w:val="1"/>
          <w:bCs w:val="1"/>
          <w:color w:val="auto"/>
        </w:rPr>
        <w:t>409A-Conforming Event</w:t>
      </w:r>
      <w:r>
        <w:rPr>
          <w:rFonts w:ascii="Times New Roman" w:cs="Times New Roman" w:eastAsia="Times New Roman" w:hAnsi="Times New Roman"/>
          <w:sz w:val="18"/>
          <w:szCs w:val="18"/>
          <w:color w:val="auto"/>
        </w:rPr>
        <w:t>”), and to the extent such payment will not be subject to the additional tax imposed under Section 409A. In the event that the immediately preceding sentence prevents the payment of any Deferred Payments, then such Deferred Payments will be paid at the time and in the form that would have applied absent such event that fails to constitute a 409A-Conforming Event. For clarity, this Section 6(c) does not affect the value or dollar amount payable, or prohibit the vesting of Deferred Payments, including without limitation in connection with a merger of the Company with or into another corporation or other entity, a Change in Control, Participant’s disability or termination, or pursuant to Section 6(b) above. If the Restricted Stock Units otherwise would be exempt from Section 409A pursuant to U.S.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1(b)(9), any such Restricted Stock Units that vest in connection with the termination of Participant’s employment (or other service, as applicable) will not be payable until Participant has a separation from service within the meaning of Section 409A. Except as otherwise provided in a written agreement between the Company and Participant authorized by the Administrator providing for payment in compliance with U.S.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3(b) (in which case, for clarity, such provisions shall govern), Restricted Stock Units that become payable by reason of the occurrence of a 409A-Conforming Event will be settled no later than seventy four (74) days following the applicable 409A-Conforming Event, subject to the following under this subsection (ii). Notwithstanding any provisions to the contrary in this Award Agreement or any other agreement (whether entered into before, on or after the Date of Grant), if any Deferred Payments become payable upon a separation from service within the meaning of Section 409A, other than due to Participant’s death, and if (x) Participant is a “specified employee” within the meaning of Section 409A at the time of such separation from service and (y) the payment of such Deferred Payments will result in the imposition of additional tax under Section 409A if paid to Participant within the six (6) month period following the separation from service, then the payment of such Deferred Payments will not be made until the date six (6) months and one (1) day following the date of Participant’s separation from service, unless Participant dies following such separation, in which case, the Deferred Payments will be paid to Participant’s estate as soon as practicable following Participant’s death. To the extent that Participant is not a “specified employee” but Participant’s separation from service occurs at a time during the year whereby the deadline date for any separation agreement and release of claims (or similar agreement or release) to become effective and irrevocable will occur in the year immediately following the year in which the separation from service occurs, then any Deferred Payments that otherwise would be payable prior to such deadline date will be paid without applying the delay set forth in the immediately preceding sentence, but will be paid in the year immediately following the year in which the separation from service occurs. Subject to compliance with the applicable requirements under Section 409A, the Administrator in its sole discretion will be permitted to make any accelerated payment of Deferred Payments pursuant to U.S.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3(j)(4).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161925</wp:posOffset>
            </wp:positionV>
            <wp:extent cx="71335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10</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20</w:t>
      </w:r>
    </w:p>
    <w:p>
      <w:pPr>
        <w:spacing w:after="0" w:line="226" w:lineRule="exact"/>
        <w:rPr>
          <w:sz w:val="20"/>
          <w:szCs w:val="20"/>
          <w:color w:val="auto"/>
        </w:rPr>
      </w:pPr>
    </w:p>
    <w:p>
      <w:pPr>
        <w:jc w:val="both"/>
        <w:ind w:firstLine="1930"/>
        <w:spacing w:after="0" w:line="216" w:lineRule="exact"/>
        <w:tabs>
          <w:tab w:leader="none" w:pos="239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U.S.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2(b)(2). To the extent necessary to comply with Section 409A, references to termination of Participant’s status as an employee, termination of employment, or similar phrases will be references to Participant’s “separation from service” within the meaning of Section 409A. In no event will the Company, any Service Recipient (as defined below) or any Parent, Subsidiary, or Affiliate of the Company have any responsibility, liability, or obligation to reimburse, indemnify, or hold harmless Participant (or any other person) for any taxes, penalties and interest that may be imposed, or other costs that may be incurred, as a result of Section 409A.</w:t>
      </w:r>
    </w:p>
    <w:p>
      <w:pPr>
        <w:spacing w:after="0" w:line="196" w:lineRule="exact"/>
        <w:rPr>
          <w:rFonts w:ascii="Times New Roman" w:cs="Times New Roman" w:eastAsia="Times New Roman" w:hAnsi="Times New Roman"/>
          <w:sz w:val="18"/>
          <w:szCs w:val="18"/>
          <w:color w:val="auto"/>
        </w:rPr>
      </w:pPr>
    </w:p>
    <w:p>
      <w:pPr>
        <w:jc w:val="both"/>
        <w:ind w:firstLine="648"/>
        <w:spacing w:after="0" w:line="255" w:lineRule="auto"/>
        <w:tabs>
          <w:tab w:leader="none" w:pos="12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With respect to this Award, until the Shares are issued (as evidenced by the appropriate entry on the books of the Company or a duly authorized transfer agent of the Company), no right to receive dividends or any other rights as a stockholder will exist with respect to the Shares subject to this Award, unless determined otherwise by the Administrator; provided, however, that any such dividends or distributions that the Administrator determines will be payable with respect to such Shares will be subject to the same vesting criteria and forfeitability provisions as the Shares subject to this Award.</w:t>
      </w:r>
    </w:p>
    <w:p>
      <w:pPr>
        <w:spacing w:after="0" w:line="182" w:lineRule="exact"/>
        <w:rPr>
          <w:rFonts w:ascii="Times New Roman" w:cs="Times New Roman" w:eastAsia="Times New Roman" w:hAnsi="Times New Roman"/>
          <w:sz w:val="18"/>
          <w:szCs w:val="18"/>
          <w:color w:val="auto"/>
        </w:rPr>
      </w:pPr>
    </w:p>
    <w:p>
      <w:pPr>
        <w:jc w:val="both"/>
        <w:ind w:firstLine="648"/>
        <w:spacing w:after="0" w:line="285" w:lineRule="auto"/>
        <w:tabs>
          <w:tab w:leader="none" w:pos="1233"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Leaves of Absence/Transfer Between Locations</w:t>
      </w:r>
      <w:r>
        <w:rPr>
          <w:rFonts w:ascii="Times New Roman" w:cs="Times New Roman" w:eastAsia="Times New Roman" w:hAnsi="Times New Roman"/>
          <w:sz w:val="17"/>
          <w:szCs w:val="17"/>
          <w:color w:val="auto"/>
        </w:rPr>
        <w:t>. Unless the Administrator provides otherwise or as otherwise required by Applicable Laws, vesting of the Award will be suspended during any unpaid leave of absence. Participant will not cease to be an Employee in the case of (a) any leave of absence approved by the Company or (b) transfers between locations of, or between, the Company or any Subsidiary, Parent or Affiliate of the Company.</w:t>
      </w:r>
    </w:p>
    <w:p>
      <w:pPr>
        <w:spacing w:after="0" w:line="158" w:lineRule="exact"/>
        <w:rPr>
          <w:rFonts w:ascii="Times New Roman" w:cs="Times New Roman" w:eastAsia="Times New Roman" w:hAnsi="Times New Roman"/>
          <w:sz w:val="17"/>
          <w:szCs w:val="17"/>
          <w:color w:val="auto"/>
        </w:rPr>
      </w:pPr>
    </w:p>
    <w:p>
      <w:pPr>
        <w:jc w:val="both"/>
        <w:ind w:firstLine="648"/>
        <w:spacing w:after="0" w:line="255" w:lineRule="auto"/>
        <w:tabs>
          <w:tab w:leader="none" w:pos="141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Upon Termination of Status as a Service Provider</w:t>
      </w:r>
      <w:r>
        <w:rPr>
          <w:rFonts w:ascii="Times New Roman" w:cs="Times New Roman" w:eastAsia="Times New Roman" w:hAnsi="Times New Roman"/>
          <w:sz w:val="18"/>
          <w:szCs w:val="18"/>
          <w:color w:val="auto"/>
        </w:rPr>
        <w:t>. Unless specifically provided otherwise in this Award Agreement or other written agreement authorized by the Administrator between Participant and the Company or any of its Subsidiaries or Parents, as applicable, governing the terms of this Award, if Participant ceases to be a Service Provider for any reason, the then-unvested Restricted Stock Units awarded by this Award Agreement will thereupon be forfeited at no cost to the Company upon the date of such cessation and Participant will have no further rights to such Restricted Stock Units or the Shares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161925</wp:posOffset>
            </wp:positionV>
            <wp:extent cx="71335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11</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20</w:t>
      </w:r>
    </w:p>
    <w:p>
      <w:pPr>
        <w:spacing w:after="0" w:line="226" w:lineRule="exact"/>
        <w:rPr>
          <w:sz w:val="20"/>
          <w:szCs w:val="20"/>
          <w:color w:val="auto"/>
        </w:rPr>
      </w:pPr>
    </w:p>
    <w:p>
      <w:pPr>
        <w:jc w:val="both"/>
        <w:ind w:firstLine="648"/>
        <w:spacing w:after="0" w:line="257"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Any distribution or delivery to be made to Participant under this Award Agreement, if Participant is then deceased, will be made to Participant’s designated beneficiary, or if no beneficiary survives Participant, the administrator or executor of Participant’s estate. Any such transferee must furnish the Company with (a) written notice of such transferee’s status as transferee, and (b) evidence satisfactory to the Company to establish the validity of the transfer and compliance with any laws or regulations pertaining to said transfer.</w:t>
      </w:r>
    </w:p>
    <w:p>
      <w:pPr>
        <w:spacing w:after="0" w:line="182" w:lineRule="exact"/>
        <w:rPr>
          <w:rFonts w:ascii="Times New Roman" w:cs="Times New Roman" w:eastAsia="Times New Roman" w:hAnsi="Times New Roman"/>
          <w:sz w:val="18"/>
          <w:szCs w:val="18"/>
          <w:color w:val="auto"/>
        </w:rPr>
      </w:pPr>
    </w:p>
    <w:p>
      <w:pPr>
        <w:ind w:left="1260" w:hanging="612"/>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jc w:val="both"/>
        <w:ind w:firstLine="1289"/>
        <w:spacing w:after="0" w:line="251" w:lineRule="auto"/>
        <w:tabs>
          <w:tab w:leader="none" w:pos="204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Requirements</w:t>
      </w:r>
      <w:r>
        <w:rPr>
          <w:rFonts w:ascii="Times New Roman" w:cs="Times New Roman" w:eastAsia="Times New Roman" w:hAnsi="Times New Roman"/>
          <w:sz w:val="18"/>
          <w:szCs w:val="18"/>
          <w:color w:val="auto"/>
        </w:rPr>
        <w:t>. Prior to the delivery of any Shares or cash pursuant to the Award or such earlier time as any tax withholdings are due, the Company (or any of its Parents, Subsidiaries or other affiliates employing or retaining the services of Participant, as applicable) will have the power and the right to deduct or withhold, or require Participant to remit to the Company (or any of its Parents, Subsidiaries, or other affiliates, as applicable) or a relevant tax authority, an amount sufficient to satisfy U.S. federal, state, local, non-U.S. and other taxes (including Participant’s FICA or other social insurance contribution obligation) required to be withheld or paid with respect to the Award. The amount of the withholding obligation will be deemed to include any amount that the Administrator agrees may be withheld at the time the election is made, not to exceed the amount determined by using the maximum U.S. federal, state or local rates applicable to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86" w:lineRule="exact"/>
        <w:rPr>
          <w:rFonts w:ascii="Times New Roman" w:cs="Times New Roman" w:eastAsia="Times New Roman" w:hAnsi="Times New Roman"/>
          <w:sz w:val="18"/>
          <w:szCs w:val="18"/>
          <w:color w:val="auto"/>
        </w:rPr>
      </w:pPr>
    </w:p>
    <w:p>
      <w:pPr>
        <w:jc w:val="both"/>
        <w:ind w:firstLine="1289"/>
        <w:spacing w:after="0" w:line="249" w:lineRule="auto"/>
        <w:tabs>
          <w:tab w:leader="none" w:pos="2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Responsibility for Taxes</w:t>
      </w:r>
      <w:r>
        <w:rPr>
          <w:rFonts w:ascii="Times New Roman" w:cs="Times New Roman" w:eastAsia="Times New Roman" w:hAnsi="Times New Roman"/>
          <w:sz w:val="18"/>
          <w:szCs w:val="18"/>
          <w:color w:val="auto"/>
        </w:rPr>
        <w:t>. Participant acknowledges that, regardless of any action taken by the Company or, if different, Participant’s employer or any Parent, Subsidiary, or Affiliate of the Company to which Participant is providing services (together, the “Service Recipient(s)”), the ultimate liability for any tax and social insurance liability obligations and requirements in connection with the Restricted Stock Units, including, without limitation, (i) all federal, national, state, non-U.S. and local taxes (including Participant’s U.S. Federal Insurance Contributions Act (FICA) obligations and social liability insurance obligations) that are required to be withheld by any Service Recipient or other payment of tax-related items related to Participant’s participation in this Award Agreement and legally applicable to Participant, (ii) Participant’s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the vesting or settlement thereof or issuance of Shares thereunder) (collectively, the “</w:t>
      </w:r>
      <w:r>
        <w:rPr>
          <w:rFonts w:ascii="Times New Roman" w:cs="Times New Roman" w:eastAsia="Times New Roman" w:hAnsi="Times New Roman"/>
          <w:sz w:val="18"/>
          <w:szCs w:val="18"/>
          <w:b w:val="1"/>
          <w:bCs w:val="1"/>
          <w:color w:val="auto"/>
        </w:rPr>
        <w:t>Tax Obligations</w:t>
      </w:r>
      <w:r>
        <w:rPr>
          <w:rFonts w:ascii="Times New Roman" w:cs="Times New Roman" w:eastAsia="Times New Roman" w:hAnsi="Times New Roman"/>
          <w:sz w:val="18"/>
          <w:szCs w:val="18"/>
          <w:color w:val="auto"/>
        </w:rPr>
        <w:t>”), are and remain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dividend equivalents, or other distributions, or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Participant acknowledges that the applicable Service Recipient(s) (or former Service Recipient(s), as applicable) may be required to withhold or account for Withholding Obligations (as defined below) in more than one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170180</wp:posOffset>
            </wp:positionV>
            <wp:extent cx="71335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12</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20</w:t>
      </w:r>
    </w:p>
    <w:p>
      <w:pPr>
        <w:spacing w:after="0" w:line="226" w:lineRule="exact"/>
        <w:rPr>
          <w:sz w:val="20"/>
          <w:szCs w:val="20"/>
          <w:color w:val="auto"/>
        </w:rPr>
      </w:pPr>
    </w:p>
    <w:p>
      <w:pPr>
        <w:jc w:val="both"/>
        <w:ind w:firstLine="1289"/>
        <w:spacing w:after="0" w:line="248" w:lineRule="auto"/>
        <w:tabs>
          <w:tab w:leader="none" w:pos="212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Pursuant to such procedures as the Administrator may specify from time to time, the applicable Service Recipient(s) (or former Service Recipient(s)) will withhold the amount required to be withheld for the payment of Tax Obligations (the “</w:t>
      </w:r>
      <w:r>
        <w:rPr>
          <w:rFonts w:ascii="Times New Roman" w:cs="Times New Roman" w:eastAsia="Times New Roman" w:hAnsi="Times New Roman"/>
          <w:sz w:val="18"/>
          <w:szCs w:val="18"/>
          <w:b w:val="1"/>
          <w:bCs w:val="1"/>
          <w:color w:val="auto"/>
        </w:rPr>
        <w:t>Withholding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which, to the extent permitted under this Award Agreement, may, in the discretion of the Administrator, be in excess of the minimum statutory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amount to be withheld, upon each date with respect to which the Administrator determines Withholding Obligations are due, including but not limited to, at grant, vesting, settlement or any other date with respect to which Withholding Obligations arise. The Administrator, in its sole discretion and pursuant to such procedures as it may specify from time to time, may permit or require Participant to satisfy such Withholding Obligations, in whole or in part (without limitation), if permissible by Applicable Laws, by one or a combination of the following: (i) paying cash, (ii) having the Company withhold otherwise deliverable Shares having a fair market value equal to the minimum amount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18"/>
          <w:szCs w:val="18"/>
          <w:b w:val="1"/>
          <w:bCs w:val="1"/>
          <w:color w:val="auto"/>
        </w:rPr>
        <w:t>Net Share Withholding</w:t>
      </w:r>
      <w:r>
        <w:rPr>
          <w:rFonts w:ascii="Times New Roman" w:cs="Times New Roman" w:eastAsia="Times New Roman" w:hAnsi="Times New Roman"/>
          <w:sz w:val="18"/>
          <w:szCs w:val="18"/>
          <w:color w:val="auto"/>
        </w:rPr>
        <w:t>”), (iii) withholding the amount of such Withholding Obligations from Participant’s wages or other cash compensation paid to Participant by the applicable Service Recipient(s) (or former Service Recipient(s)), (iv) delivering to the Company Shares that Participant owns and that already have vested with a fair market value equal to the Withholding Obligations (or such greater amount if permitted by the Administrator, 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 necessary to meet the withholding requirement for such Withholding Obligations (or such greater amount as Participant may elect or the Company may require, if permitted by the Administrator and if such greater amount would not result in adverse financial accounting consequences) (“</w:t>
      </w:r>
      <w:r>
        <w:rPr>
          <w:rFonts w:ascii="Times New Roman" w:cs="Times New Roman" w:eastAsia="Times New Roman" w:hAnsi="Times New Roman"/>
          <w:sz w:val="18"/>
          <w:szCs w:val="18"/>
          <w:b w:val="1"/>
          <w:bCs w:val="1"/>
          <w:color w:val="auto"/>
        </w:rPr>
        <w:t>Sell to Cover</w:t>
      </w:r>
      <w:r>
        <w:rPr>
          <w:rFonts w:ascii="Times New Roman" w:cs="Times New Roman" w:eastAsia="Times New Roman" w:hAnsi="Times New Roman"/>
          <w:sz w:val="18"/>
          <w:szCs w:val="18"/>
          <w:color w:val="auto"/>
        </w:rPr>
        <w:t xml:space="preserve">”), or (vi) such other means as the Administrator deems appropriate. If the Withholding Obligations are satisfied by withholding in Shares, for tax purposes, Participant is deemed to have been issued the full number of Shares subject to the vested Restricted Stock Units, notwithstanding that a number of the Shares are held back solely for the purpose of paying the Withholding Obligations. To the extent determined appropriate by the Administrator in its discretion, the Administrator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Participant for the value of the portion of a Share, if any, withheld in excess of the Withholding Obligations. If a Sell to Cover is the method by which Withholding Obligations are satisfied, Participant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Participant in accordance with procedures the Company may specify from time to time. Until and unless determined otherwise by the Administrator, Sell to Cover will be the method by which such Withholding Obligations are satisfied. </w:t>
      </w:r>
      <w:r>
        <w:rPr>
          <w:rFonts w:ascii="Times New Roman" w:cs="Times New Roman" w:eastAsia="Times New Roman" w:hAnsi="Times New Roman"/>
          <w:sz w:val="18"/>
          <w:szCs w:val="18"/>
          <w:b w:val="1"/>
          <w:bCs w:val="1"/>
          <w:color w:val="auto"/>
        </w:rPr>
        <w:t>For purposes of clarity and without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limitation, by accepting this Award, Participant expressly consents to such Sell to Cover as the method by which Withholding Obligations are satisfied and agrees and acknowledges that Participant may not satisfy them by any means other than such Sell to Cover, unless required to do so by the Administrator or pursuant to the Administrator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express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178435</wp:posOffset>
            </wp:positionV>
            <wp:extent cx="71335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13</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20</w:t>
      </w:r>
    </w:p>
    <w:p>
      <w:pPr>
        <w:spacing w:after="0" w:line="226" w:lineRule="exact"/>
        <w:rPr>
          <w:sz w:val="20"/>
          <w:szCs w:val="20"/>
          <w:color w:val="auto"/>
        </w:rPr>
      </w:pPr>
    </w:p>
    <w:p>
      <w:pPr>
        <w:jc w:val="both"/>
        <w:ind w:firstLine="1289"/>
        <w:spacing w:after="0" w:line="255" w:lineRule="auto"/>
        <w:tabs>
          <w:tab w:leader="none" w:pos="201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Participant has reviewed with Participant’s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82" w:lineRule="exact"/>
        <w:rPr>
          <w:rFonts w:ascii="Times New Roman" w:cs="Times New Roman" w:eastAsia="Times New Roman" w:hAnsi="Times New Roman"/>
          <w:sz w:val="18"/>
          <w:szCs w:val="18"/>
          <w:color w:val="auto"/>
        </w:rPr>
      </w:pPr>
    </w:p>
    <w:p>
      <w:pPr>
        <w:jc w:val="both"/>
        <w:ind w:firstLine="1289"/>
        <w:spacing w:after="0" w:line="252" w:lineRule="auto"/>
        <w:tabs>
          <w:tab w:leader="none" w:pos="19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Deliver Shares</w:t>
      </w:r>
      <w:r>
        <w:rPr>
          <w:rFonts w:ascii="Times New Roman" w:cs="Times New Roman" w:eastAsia="Times New Roman" w:hAnsi="Times New Roman"/>
          <w:sz w:val="18"/>
          <w:szCs w:val="18"/>
          <w:color w:val="auto"/>
        </w:rPr>
        <w:t>. For clarification purposes, in no event will the Company issue Participant any Shares unless and until arrangements satisfactory to the Administrator have been made for the payment of Participant’s Withholding Obligations. If Participant fails to make satisfactory arrangements for the payment of such Withholding Obligations hereunder at the time any applicable Restricted Stock Units otherwise are scheduled to vest pursuant to Sections 5 or 6 or Participant’s Withholding Obligations otherwise become due, Participant permanently will forfeit such Restricted Stock Units to which Participant’s Withholding Obligation relates and any right to receive Shares thereunder and such Restricted Stock Units will be returned to the Company at no cost to the Company. Participant acknowledges and agrees that the Company may permanently refuse to issue or deliver the Shares if such Withholding Obligations are not delivered at the time they are due.</w:t>
      </w:r>
    </w:p>
    <w:p>
      <w:pPr>
        <w:spacing w:after="0" w:line="188" w:lineRule="exact"/>
        <w:rPr>
          <w:rFonts w:ascii="Times New Roman" w:cs="Times New Roman" w:eastAsia="Times New Roman" w:hAnsi="Times New Roman"/>
          <w:sz w:val="18"/>
          <w:szCs w:val="18"/>
          <w:color w:val="auto"/>
        </w:rPr>
      </w:pPr>
    </w:p>
    <w:p>
      <w:pPr>
        <w:jc w:val="both"/>
        <w:ind w:firstLine="648"/>
        <w:spacing w:after="0" w:line="250" w:lineRule="auto"/>
        <w:tabs>
          <w:tab w:leader="none" w:pos="137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Events</w:t>
      </w:r>
      <w:r>
        <w:rPr>
          <w:rFonts w:ascii="Times New Roman" w:cs="Times New Roman" w:eastAsia="Times New Roman" w:hAnsi="Times New Roman"/>
          <w:sz w:val="18"/>
          <w:szCs w:val="18"/>
          <w:color w:val="auto"/>
        </w:rPr>
        <w:t>. Notwithstanding any provisions to the contrary under this Award Agreement, the Award will be subject to reduction, cancellation, forfeiture, recoupment, reimbursement or reacquisition upon the occurrence of certain specified events, in addition to any otherwise applicable vesting conditions of the Award. Such events may include, without limitation, termination of Participant’s status as an employee or other service provider for cause or any specified action or inaction by Participant, whether before or after such termination of employment or other service, that would constitute cause for termination of Participant’s status as an employee or other service provider. The Award will be subject to reduction, cancellation, forfeiture, recoupment, reimbursement or reacquisition under any Company clawback policy that may be in effect at grant and any other clawback policy that the Company is required to adopt to comply with Applicable Laws, including without limitation pursuant to the listing standards of any national securities exchange or association on which the Company’s securities are listed or otherwise required by the Dodd-Frank Wall Street Reform and Consumer Protection Act (collectively, the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The Administrator may require Participant to forfeit, return or reimburse the Company for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12 specifically is mentioned and waived in a document, no recovery of compensation under a Clawback Policy or otherwise will constitute an event that triggers or contributes to any right of a Participant to resign for “good reason” or “constructive termination” (or similar term) under any agreement with the Company or any Subsidiary, Parent or Affiliate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164465</wp:posOffset>
            </wp:positionV>
            <wp:extent cx="71335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14</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20</w:t>
      </w:r>
    </w:p>
    <w:p>
      <w:pPr>
        <w:spacing w:after="0" w:line="226" w:lineRule="exact"/>
        <w:rPr>
          <w:sz w:val="20"/>
          <w:szCs w:val="20"/>
          <w:color w:val="auto"/>
        </w:rPr>
      </w:pPr>
    </w:p>
    <w:p>
      <w:pPr>
        <w:jc w:val="both"/>
        <w:ind w:firstLine="648"/>
        <w:spacing w:after="0" w:line="255" w:lineRule="auto"/>
        <w:tabs>
          <w:tab w:leader="none" w:pos="11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2" w:lineRule="exact"/>
        <w:rPr>
          <w:rFonts w:ascii="Times New Roman" w:cs="Times New Roman" w:eastAsia="Times New Roman" w:hAnsi="Times New Roman"/>
          <w:sz w:val="18"/>
          <w:szCs w:val="18"/>
          <w:color w:val="auto"/>
        </w:rPr>
      </w:pPr>
    </w:p>
    <w:p>
      <w:pPr>
        <w:jc w:val="both"/>
        <w:ind w:firstLine="648"/>
        <w:spacing w:after="0" w:line="251" w:lineRule="auto"/>
        <w:tabs>
          <w:tab w:leader="none" w:pos="11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w:t>
      </w:r>
      <w:r>
        <w:rPr>
          <w:rFonts w:ascii="Times New Roman" w:cs="Times New Roman" w:eastAsia="Times New Roman" w:hAnsi="Times New Roman"/>
          <w:sz w:val="18"/>
          <w:szCs w:val="18"/>
          <w:color w:val="auto"/>
        </w:rPr>
        <w:t>. PARTICIPANT ACKNOWLEDGES AND AGREES THAT THE VESTING OF THE RESTRICTED STOCK UNITS PURSUANT TO THE VESTING SCHEDULE HEREOF IS EARNED ONLY BY CONTINUING AS A SERVICE PROVIDER, WHICH UNLESS PROVIDED OTHERWISE UNDER APPLICABLE LAWS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86" w:lineRule="exact"/>
        <w:rPr>
          <w:rFonts w:ascii="Times New Roman" w:cs="Times New Roman" w:eastAsia="Times New Roman" w:hAnsi="Times New Roman"/>
          <w:sz w:val="18"/>
          <w:szCs w:val="18"/>
          <w:color w:val="auto"/>
        </w:rPr>
      </w:pPr>
    </w:p>
    <w:p>
      <w:pPr>
        <w:ind w:left="1320" w:hanging="672"/>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Dissolution or Liquidation; Merger or Change in Control</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jc w:val="both"/>
        <w:ind w:firstLine="1289"/>
        <w:spacing w:after="0" w:line="252" w:lineRule="auto"/>
        <w:tabs>
          <w:tab w:leader="none" w:pos="198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Award Agreement, will adjust the number and class of shares of stock covered by the Award. Notwithstanding the foregoing, the Company will have no obligation to effect any adjustment in a manner that may require the issuance of fractional Shares, and any fractional Shares resulting from any adjustment may be disregarded or provided for in any manner determined by the Administrator, in its sole discretion, subject to any Applicable Laws.</w:t>
      </w:r>
    </w:p>
    <w:p>
      <w:pPr>
        <w:spacing w:after="0" w:line="184" w:lineRule="exact"/>
        <w:rPr>
          <w:rFonts w:ascii="Times New Roman" w:cs="Times New Roman" w:eastAsia="Times New Roman" w:hAnsi="Times New Roman"/>
          <w:sz w:val="18"/>
          <w:szCs w:val="18"/>
          <w:color w:val="auto"/>
        </w:rPr>
      </w:pPr>
    </w:p>
    <w:p>
      <w:pPr>
        <w:jc w:val="both"/>
        <w:ind w:firstLine="1289"/>
        <w:spacing w:after="0" w:line="262" w:lineRule="auto"/>
        <w:tabs>
          <w:tab w:leader="none" w:pos="192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Administrator will notify Participant as soon as practicable prior to the effective date of such proposed transaction. Unless provided otherwise by the Administrator, to the extent it has not been previously settled, the Award will terminate immediately prior to the consummation of such proposed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71335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15</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20</w:t>
      </w:r>
    </w:p>
    <w:p>
      <w:pPr>
        <w:spacing w:after="0" w:line="226" w:lineRule="exact"/>
        <w:rPr>
          <w:sz w:val="20"/>
          <w:szCs w:val="20"/>
          <w:color w:val="auto"/>
        </w:rPr>
      </w:pPr>
    </w:p>
    <w:p>
      <w:pPr>
        <w:jc w:val="both"/>
        <w:ind w:firstLine="1289"/>
        <w:spacing w:after="0" w:line="250" w:lineRule="auto"/>
        <w:tabs>
          <w:tab w:leader="none" w:pos="20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or Change in Control</w:t>
      </w:r>
      <w:r>
        <w:rPr>
          <w:rFonts w:ascii="Times New Roman" w:cs="Times New Roman" w:eastAsia="Times New Roman" w:hAnsi="Times New Roman"/>
          <w:sz w:val="18"/>
          <w:szCs w:val="18"/>
          <w:color w:val="auto"/>
        </w:rPr>
        <w:t>. In the event of a merger of the Company with or into another corporation or other entity or a Change in Control, the Award will be treated as the Administrator determines (subject to the provisions of the following paragraph) without Participant’s consent, which may include, without limitation, that the Award will be: (i) assumed, or a substantially equivalent award(s) will be substituted, by the acquiring or succeeding entity (or an affiliate thereof) with appropriate adjustments as to the number and kind of shares; (ii) continued by the Company, subject to any adjustment pursuant to Section 15(a); (iii) upon written notice to Participant, terminate upon or immediately prior to the consummation of such merger or Change in Control; (iv) vest and become payable in whole or in part prior to or upon consummation of such merger or Change in Control, and, to the extent the Administrator determines, terminate upon or immediately prior to the effectiveness of such merger or Change in Control; (v) (A) terminated in exchange for an amount of cash and/or property, if any, equal to the amount that would have been attained upon the realization of Participant’s rights under this Award Agreement as of the date of the occurrence of the transaction (and, for purposes of clarity, if as of the date of the occurrence of the transaction the Administrator determines in good faith that no amount would have been attained upon the realization of Participant’s rights, then the Award will be terminated by the Company without payment), or (B) replaced with other rights or property selected by the Administrator in its sole discretion; or (vi) treated in any combination of the foregoing.</w:t>
      </w:r>
    </w:p>
    <w:p>
      <w:pPr>
        <w:spacing w:after="0" w:line="191" w:lineRule="exact"/>
        <w:rPr>
          <w:sz w:val="20"/>
          <w:szCs w:val="20"/>
          <w:color w:val="auto"/>
        </w:rPr>
      </w:pPr>
    </w:p>
    <w:p>
      <w:pPr>
        <w:jc w:val="both"/>
        <w:ind w:firstLine="1282"/>
        <w:spacing w:after="0" w:line="253" w:lineRule="auto"/>
        <w:rPr>
          <w:sz w:val="20"/>
          <w:szCs w:val="20"/>
          <w:color w:val="auto"/>
        </w:rPr>
      </w:pPr>
      <w:r>
        <w:rPr>
          <w:rFonts w:ascii="Times New Roman" w:cs="Times New Roman" w:eastAsia="Times New Roman" w:hAnsi="Times New Roman"/>
          <w:sz w:val="18"/>
          <w:szCs w:val="18"/>
          <w:color w:val="auto"/>
        </w:rPr>
        <w:t>In the event that the successor (or an affiliate thereof) does not assume the Award (or portion thereof) pursuant to the preceding clause (i) and as described below, or substitute for the Award (or portion thereof) pursuant to the preceding clause (i), and the Company does not continue the Award (or portion thereof) as described above, all restrictions on the Restricted Stock Units under the Award (or portion thereof) not so assumed, substituted for, or continued will lapse and all other terms and conditions will be deemed met, in each case, unless specifically provided otherwise under this Award Agreement or other written agreement authorized by the Administrator between Participant and the Company or any of its Subsidiaries, Parents or Affiliates, as applicable.</w:t>
      </w:r>
    </w:p>
    <w:p>
      <w:pPr>
        <w:spacing w:after="0" w:line="187" w:lineRule="exact"/>
        <w:rPr>
          <w:sz w:val="20"/>
          <w:szCs w:val="20"/>
          <w:color w:val="auto"/>
        </w:rPr>
      </w:pPr>
    </w:p>
    <w:p>
      <w:pPr>
        <w:jc w:val="both"/>
        <w:ind w:firstLine="1282"/>
        <w:spacing w:after="0" w:line="252" w:lineRule="auto"/>
        <w:rPr>
          <w:sz w:val="20"/>
          <w:szCs w:val="20"/>
          <w:color w:val="auto"/>
        </w:rPr>
      </w:pPr>
      <w:r>
        <w:rPr>
          <w:rFonts w:ascii="Times New Roman" w:cs="Times New Roman" w:eastAsia="Times New Roman" w:hAnsi="Times New Roman"/>
          <w:sz w:val="18"/>
          <w:szCs w:val="18"/>
          <w:color w:val="auto"/>
        </w:rPr>
        <w:t>For the purposes of this Section 15(c), the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or its Parent, the Administrator may, with the consent of the successor, provide for the consideration to be received upon the payout of each Restricted Stock Unit subject to the Award to be solely common stock of the successor or its Parent equal in fair market value to the per share consideration received by holders of Common Stock in the merger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163195</wp:posOffset>
            </wp:positionV>
            <wp:extent cx="71335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ind w:left="10060"/>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16</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20</w:t>
      </w:r>
    </w:p>
    <w:p>
      <w:pPr>
        <w:spacing w:after="0" w:line="226" w:lineRule="exact"/>
        <w:rPr>
          <w:sz w:val="20"/>
          <w:szCs w:val="20"/>
          <w:color w:val="auto"/>
        </w:rPr>
      </w:pPr>
    </w:p>
    <w:p>
      <w:pPr>
        <w:jc w:val="both"/>
        <w:ind w:firstLine="1282"/>
        <w:spacing w:after="0" w:line="253" w:lineRule="auto"/>
        <w:rPr>
          <w:sz w:val="20"/>
          <w:szCs w:val="20"/>
          <w:color w:val="auto"/>
        </w:rPr>
      </w:pPr>
      <w:r>
        <w:rPr>
          <w:rFonts w:ascii="Times New Roman" w:cs="Times New Roman" w:eastAsia="Times New Roman" w:hAnsi="Times New Roman"/>
          <w:sz w:val="18"/>
          <w:szCs w:val="18"/>
          <w:color w:val="auto"/>
        </w:rPr>
        <w:t>Notwithstanding anything in this Section 15(c) to the contrary, and unless otherwise provided in this Award Agreement or other written agreement authorized by the Administrator between Participant and the Company or any of its Subsidiaries, Parents or Affiliates, as applicable, if a payment under this Award Agreement is subject to Section 409A and if the change in control definition contained in this Award Agreement (or other agreement related to the Award, as applicable) does not comply with the definition of “change in control” for purposes of a distribution under Section 409A, then any payment of an amount that otherwise would be accelerated under this Section will be delayed until the earliest time that such payment would be permissible under Section 409A without triggering any penalties thereunder.</w:t>
      </w:r>
    </w:p>
    <w:p>
      <w:pPr>
        <w:spacing w:after="0" w:line="187" w:lineRule="exact"/>
        <w:rPr>
          <w:sz w:val="20"/>
          <w:szCs w:val="20"/>
          <w:color w:val="auto"/>
        </w:rPr>
      </w:pPr>
    </w:p>
    <w:p>
      <w:pPr>
        <w:jc w:val="both"/>
        <w:ind w:firstLine="648"/>
        <w:spacing w:after="0" w:line="255"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Except to the limited extent provided in Section 10,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182" w:lineRule="exact"/>
        <w:rPr>
          <w:rFonts w:ascii="Times New Roman" w:cs="Times New Roman" w:eastAsia="Times New Roman" w:hAnsi="Times New Roman"/>
          <w:sz w:val="18"/>
          <w:szCs w:val="18"/>
          <w:color w:val="auto"/>
        </w:rPr>
      </w:pPr>
    </w:p>
    <w:p>
      <w:pPr>
        <w:ind w:left="1280" w:hanging="632"/>
        <w:spacing w:after="0"/>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In accepting this Award of Restricted Stock Units, Participant acknowledges, understands and agrees that:</w:t>
      </w:r>
    </w:p>
    <w:p>
      <w:pPr>
        <w:spacing w:after="0" w:line="220" w:lineRule="exact"/>
        <w:rPr>
          <w:rFonts w:ascii="Times New Roman" w:cs="Times New Roman" w:eastAsia="Times New Roman" w:hAnsi="Times New Roman"/>
          <w:sz w:val="18"/>
          <w:szCs w:val="18"/>
          <w:color w:val="auto"/>
        </w:rPr>
      </w:pPr>
    </w:p>
    <w:p>
      <w:pPr>
        <w:ind w:firstLine="1289"/>
        <w:spacing w:after="0" w:line="277" w:lineRule="auto"/>
        <w:tabs>
          <w:tab w:leader="none" w:pos="198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63" w:lineRule="exact"/>
        <w:rPr>
          <w:rFonts w:ascii="Times New Roman" w:cs="Times New Roman" w:eastAsia="Times New Roman" w:hAnsi="Times New Roman"/>
          <w:sz w:val="18"/>
          <w:szCs w:val="18"/>
          <w:color w:val="auto"/>
        </w:rPr>
      </w:pPr>
    </w:p>
    <w:p>
      <w:pPr>
        <w:ind w:left="2300" w:hanging="1011"/>
        <w:spacing w:after="0"/>
        <w:tabs>
          <w:tab w:leader="none" w:pos="2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Restricted Stock Units or other grants, if any, will be at the sole discretion of the</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w:t>
      </w:r>
    </w:p>
    <w:p>
      <w:pPr>
        <w:spacing w:after="0" w:line="201" w:lineRule="exact"/>
        <w:rPr>
          <w:rFonts w:ascii="Times New Roman" w:cs="Times New Roman" w:eastAsia="Times New Roman" w:hAnsi="Times New Roman"/>
          <w:sz w:val="18"/>
          <w:szCs w:val="18"/>
          <w:color w:val="auto"/>
        </w:rPr>
      </w:pPr>
    </w:p>
    <w:p>
      <w:pPr>
        <w:ind w:left="2000" w:hanging="711"/>
        <w:spacing w:after="0"/>
        <w:tabs>
          <w:tab w:leader="none" w:pos="20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the Shares subject to the Restricted Stock Units are not intended to replace any pension rights or</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w:t>
      </w:r>
    </w:p>
    <w:p>
      <w:pPr>
        <w:spacing w:after="0" w:line="201" w:lineRule="exact"/>
        <w:rPr>
          <w:rFonts w:ascii="Times New Roman" w:cs="Times New Roman" w:eastAsia="Times New Roman" w:hAnsi="Times New Roman"/>
          <w:sz w:val="18"/>
          <w:szCs w:val="18"/>
          <w:color w:val="auto"/>
        </w:rPr>
      </w:pPr>
    </w:p>
    <w:p>
      <w:pPr>
        <w:jc w:val="both"/>
        <w:ind w:firstLine="1289"/>
        <w:spacing w:after="0" w:line="262" w:lineRule="auto"/>
        <w:tabs>
          <w:tab w:leader="none" w:pos="18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the Shares subject to the Restricted Stock Units,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spacing w:after="0" w:line="177" w:lineRule="exact"/>
        <w:rPr>
          <w:rFonts w:ascii="Times New Roman" w:cs="Times New Roman" w:eastAsia="Times New Roman" w:hAnsi="Times New Roman"/>
          <w:sz w:val="18"/>
          <w:szCs w:val="18"/>
          <w:color w:val="auto"/>
        </w:rPr>
      </w:pPr>
    </w:p>
    <w:p>
      <w:pPr>
        <w:ind w:left="2040" w:hanging="751"/>
        <w:spacing w:after="0"/>
        <w:tabs>
          <w:tab w:leader="none" w:pos="20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Restricted Stock Units is unknown, indeterminable, and cannot be predicted with</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certainty;</w:t>
      </w:r>
    </w:p>
    <w:p>
      <w:pPr>
        <w:spacing w:after="0" w:line="201" w:lineRule="exact"/>
        <w:rPr>
          <w:rFonts w:ascii="Times New Roman" w:cs="Times New Roman" w:eastAsia="Times New Roman" w:hAnsi="Times New Roman"/>
          <w:sz w:val="18"/>
          <w:szCs w:val="18"/>
          <w:color w:val="auto"/>
        </w:rPr>
      </w:pPr>
    </w:p>
    <w:p>
      <w:pPr>
        <w:jc w:val="both"/>
        <w:ind w:firstLine="1289"/>
        <w:spacing w:after="0" w:line="267" w:lineRule="auto"/>
        <w:tabs>
          <w:tab w:leader="none" w:pos="194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the Restricted Stock Units, Participant’s status as a Service Provider will be considered terminated as of the date Participant is no longer actively providing services to the Company or any Parent, Subsidiary, or Affiliate of the Company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Award of Restricted Stock Units (including whether Participant may still be considered to be providing services while on a leave of absence and consistent with local law);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71335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17</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20</w:t>
      </w:r>
    </w:p>
    <w:p>
      <w:pPr>
        <w:spacing w:after="0" w:line="226" w:lineRule="exact"/>
        <w:rPr>
          <w:sz w:val="20"/>
          <w:szCs w:val="20"/>
          <w:color w:val="auto"/>
        </w:rPr>
      </w:pPr>
    </w:p>
    <w:p>
      <w:pPr>
        <w:jc w:val="both"/>
        <w:ind w:firstLine="1289"/>
        <w:spacing w:after="0" w:line="262" w:lineRule="auto"/>
        <w:tabs>
          <w:tab w:leader="none" w:pos="2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w:t>
      </w:r>
    </w:p>
    <w:p>
      <w:pPr>
        <w:spacing w:after="0" w:line="177" w:lineRule="exact"/>
        <w:rPr>
          <w:rFonts w:ascii="Times New Roman" w:cs="Times New Roman" w:eastAsia="Times New Roman" w:hAnsi="Times New Roman"/>
          <w:sz w:val="18"/>
          <w:szCs w:val="18"/>
          <w:color w:val="auto"/>
        </w:rPr>
      </w:pPr>
    </w:p>
    <w:p>
      <w:pPr>
        <w:jc w:val="both"/>
        <w:ind w:firstLine="648"/>
        <w:spacing w:after="0" w:line="257" w:lineRule="auto"/>
        <w:tabs>
          <w:tab w:leader="none" w:pos="1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Participant’s participation in this Award Agreement, or Participant’s acquisition or sale of the Shares underlying the Restricted Stock Units. Participant is hereby advised to consult with Participant’s own personal tax, legal and financial advisers regarding Participant’s participation in this Award Agreement before taking any action related to this Award Agreement.</w:t>
      </w:r>
    </w:p>
    <w:p>
      <w:pPr>
        <w:spacing w:after="0" w:line="182" w:lineRule="exact"/>
        <w:rPr>
          <w:rFonts w:ascii="Times New Roman" w:cs="Times New Roman" w:eastAsia="Times New Roman" w:hAnsi="Times New Roman"/>
          <w:sz w:val="18"/>
          <w:szCs w:val="18"/>
          <w:color w:val="auto"/>
        </w:rPr>
      </w:pPr>
    </w:p>
    <w:p>
      <w:pPr>
        <w:jc w:val="both"/>
        <w:ind w:firstLine="648"/>
        <w:spacing w:after="0" w:line="262" w:lineRule="auto"/>
        <w:tabs>
          <w:tab w:leader="none" w:pos="12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at Accuray Incorporated, Attention: Stock Administration, 1240 Deming Way, Madison, WI 53717, or at such other address as the Company may hereafter designate in writing.</w:t>
      </w:r>
    </w:p>
    <w:p>
      <w:pPr>
        <w:spacing w:after="0" w:line="177" w:lineRule="exact"/>
        <w:rPr>
          <w:rFonts w:ascii="Times New Roman" w:cs="Times New Roman" w:eastAsia="Times New Roman" w:hAnsi="Times New Roman"/>
          <w:sz w:val="18"/>
          <w:szCs w:val="18"/>
          <w:color w:val="auto"/>
        </w:rPr>
      </w:pPr>
    </w:p>
    <w:p>
      <w:pPr>
        <w:jc w:val="both"/>
        <w:ind w:firstLine="648"/>
        <w:spacing w:after="0" w:line="253" w:lineRule="auto"/>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Insider Trading Restrictions/Market Abuse Laws</w:t>
      </w:r>
      <w:r>
        <w:rPr>
          <w:rFonts w:ascii="Times New Roman" w:cs="Times New Roman" w:eastAsia="Times New Roman" w:hAnsi="Times New Roman"/>
          <w:sz w:val="18"/>
          <w:szCs w:val="18"/>
          <w:color w:val="auto"/>
        </w:rPr>
        <w:t>. In addition to all other restrictions set forth in this Award Agreement, Participant is hereby notified that Participant may be subject to insider trading restrictions or market abuse laws, which may affect Participant’s ability to acquire or sell Shares or rights to Shares under this Award Agreement during such time as Participant is considered to have “inside information” regarding the Company (as defined by Applicable Laws). Any restrictions under these laws or regulations are separate from and in addition to any restrictions that may be imposed under any applicable Company insider trading policy. Participant acknowledges and agrees that it is Participant’s responsibility to comply with any applicable restrictions and Participant is advised to speak to Participant’s personal advisor on this matter.</w:t>
      </w:r>
    </w:p>
    <w:p>
      <w:pPr>
        <w:spacing w:after="0" w:line="186" w:lineRule="exact"/>
        <w:rPr>
          <w:rFonts w:ascii="Times New Roman" w:cs="Times New Roman" w:eastAsia="Times New Roman" w:hAnsi="Times New Roman"/>
          <w:sz w:val="18"/>
          <w:szCs w:val="18"/>
          <w:color w:val="auto"/>
        </w:rPr>
      </w:pPr>
    </w:p>
    <w:p>
      <w:pPr>
        <w:jc w:val="both"/>
        <w:ind w:firstLine="648"/>
        <w:spacing w:after="0" w:line="257" w:lineRule="auto"/>
        <w:tabs>
          <w:tab w:leader="none" w:pos="133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Participant’s heirs, executors, administrators, successors and assigns. The rights and obligations of Participant under this Award Agreement may be assigned only with the prior written consent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161290</wp:posOffset>
            </wp:positionV>
            <wp:extent cx="71335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18</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20</w:t>
      </w:r>
    </w:p>
    <w:p>
      <w:pPr>
        <w:spacing w:after="0" w:line="226" w:lineRule="exact"/>
        <w:rPr>
          <w:sz w:val="20"/>
          <w:szCs w:val="20"/>
          <w:color w:val="auto"/>
        </w:rPr>
      </w:pPr>
    </w:p>
    <w:p>
      <w:pPr>
        <w:ind w:left="1280" w:hanging="632"/>
        <w:spacing w:after="0"/>
        <w:tabs>
          <w:tab w:leader="none" w:pos="1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p>
    <w:p>
      <w:pPr>
        <w:spacing w:after="0" w:line="220" w:lineRule="exact"/>
        <w:rPr>
          <w:rFonts w:ascii="Times New Roman" w:cs="Times New Roman" w:eastAsia="Times New Roman" w:hAnsi="Times New Roman"/>
          <w:sz w:val="18"/>
          <w:szCs w:val="18"/>
          <w:color w:val="auto"/>
        </w:rPr>
      </w:pPr>
    </w:p>
    <w:p>
      <w:pPr>
        <w:jc w:val="both"/>
        <w:ind w:firstLine="1289"/>
        <w:spacing w:after="0" w:line="262" w:lineRule="auto"/>
        <w:tabs>
          <w:tab w:leader="none" w:pos="193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Shares will not be issued pursuant to the Award, including without limitation upon vesting thereof, unless the issuance and delivery of such Shares and unless the vesting of the Award will comply with Applicable Laws. If required by the Administrator, issuance will be further subject to the approval of counsel for the Company with respect to such compliance.</w:t>
      </w:r>
    </w:p>
    <w:p>
      <w:pPr>
        <w:spacing w:after="0" w:line="177" w:lineRule="exact"/>
        <w:rPr>
          <w:rFonts w:ascii="Times New Roman" w:cs="Times New Roman" w:eastAsia="Times New Roman" w:hAnsi="Times New Roman"/>
          <w:sz w:val="18"/>
          <w:szCs w:val="18"/>
          <w:color w:val="auto"/>
        </w:rPr>
      </w:pPr>
    </w:p>
    <w:p>
      <w:pPr>
        <w:jc w:val="both"/>
        <w:ind w:firstLine="1289"/>
        <w:spacing w:after="0" w:line="262" w:lineRule="auto"/>
        <w:tabs>
          <w:tab w:leader="none" w:pos="205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As a condition to the issuance and delivery of Shares pursuant to the Award, the Company may require the person to whom such Shares will be issued to represent and warrant at such time that the Shares are being acquired only for investment and without any present intention to sell or distribute such Shares if, in the opinion of counsel for the Company, such a representation is required.</w:t>
      </w:r>
    </w:p>
    <w:p>
      <w:pPr>
        <w:spacing w:after="0" w:line="177" w:lineRule="exact"/>
        <w:rPr>
          <w:rFonts w:ascii="Times New Roman" w:cs="Times New Roman" w:eastAsia="Times New Roman" w:hAnsi="Times New Roman"/>
          <w:sz w:val="18"/>
          <w:szCs w:val="18"/>
          <w:color w:val="auto"/>
        </w:rPr>
      </w:pPr>
    </w:p>
    <w:p>
      <w:pPr>
        <w:jc w:val="both"/>
        <w:ind w:firstLine="1289"/>
        <w:spacing w:after="0" w:line="250" w:lineRule="auto"/>
        <w:tabs>
          <w:tab w:leader="none" w:pos="219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Participant’s estate) hereunder, such issuance will not occur unless and until such listing, registration, qualification, rule compliance, clearance, consent or approval will have been completed, effected or obtained free of any conditions not acceptable to the Company. If any such listing, registration, qualification, rule compliance, clearance, consent or approval has not been completed by the applicable Settlement Deadline Date (or, if later, the settlement date required under Section 6(c)(ii), as applicable) with respect to a Restricted Stock Unit in a manner that would allow it to be settled by the applicable Settlement Deadline Date (or, if later, the settlement date required under Section 6(c)(ii), as applicable), such Restricted Stock Unit shall be forfeited as of immediately following the Settlement Deadline Date (or, if later, the settlement date required under Section 6(c) (ii), as applicable). Subject to the terms of this Award Agreement,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spacing w:after="0" w:line="187" w:lineRule="exact"/>
        <w:rPr>
          <w:rFonts w:ascii="Times New Roman" w:cs="Times New Roman" w:eastAsia="Times New Roman" w:hAnsi="Times New Roman"/>
          <w:sz w:val="18"/>
          <w:szCs w:val="18"/>
          <w:color w:val="auto"/>
        </w:rPr>
      </w:pPr>
    </w:p>
    <w:p>
      <w:pPr>
        <w:jc w:val="both"/>
        <w:ind w:firstLine="1289"/>
        <w:spacing w:after="0" w:line="271" w:lineRule="auto"/>
        <w:tabs>
          <w:tab w:leader="none" w:pos="1859"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Inability to Obtain Authority</w:t>
      </w:r>
      <w:r>
        <w:rPr>
          <w:rFonts w:ascii="Times New Roman" w:cs="Times New Roman" w:eastAsia="Times New Roman" w:hAnsi="Times New Roman"/>
          <w:sz w:val="17"/>
          <w:szCs w:val="17"/>
          <w:color w:val="auto"/>
        </w:rPr>
        <w:t>. If the Company determines it to be impossible or impractical to obtain authority from any regulatory body having jurisdiction or to complete or comply with the requirements of any registration or other qualification of the Shares under any U.S. state or federal law or non-U.S.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154940</wp:posOffset>
            </wp:positionV>
            <wp:extent cx="71335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19</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20</w:t>
      </w:r>
    </w:p>
    <w:p>
      <w:pPr>
        <w:spacing w:after="0" w:line="226" w:lineRule="exact"/>
        <w:rPr>
          <w:sz w:val="20"/>
          <w:szCs w:val="20"/>
          <w:color w:val="auto"/>
        </w:rPr>
      </w:pPr>
    </w:p>
    <w:p>
      <w:pPr>
        <w:jc w:val="both"/>
        <w:ind w:firstLine="648"/>
        <w:spacing w:after="0" w:line="252" w:lineRule="auto"/>
        <w:tabs>
          <w:tab w:leader="none" w:pos="13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Administrator will have the power to interpret this Award Agreement and to adopt such rules for the administration, interpretation and application of the Award Agreement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this Award Agreement. Unless the context requires otherwise and subject to the foregoing interpretation rights and powers of the Administrator in this Section 23, the term “or” as used in this Award Agreement is not exclusive.</w:t>
      </w:r>
    </w:p>
    <w:p>
      <w:pPr>
        <w:spacing w:after="0" w:line="188" w:lineRule="exact"/>
        <w:rPr>
          <w:rFonts w:ascii="Times New Roman" w:cs="Times New Roman" w:eastAsia="Times New Roman" w:hAnsi="Times New Roman"/>
          <w:sz w:val="18"/>
          <w:szCs w:val="18"/>
          <w:color w:val="auto"/>
        </w:rPr>
      </w:pPr>
    </w:p>
    <w:p>
      <w:pPr>
        <w:jc w:val="both"/>
        <w:ind w:firstLine="648"/>
        <w:spacing w:after="0" w:line="252" w:lineRule="auto"/>
        <w:tabs>
          <w:tab w:leader="none" w:pos="135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Acceptance</w:t>
      </w:r>
      <w:r>
        <w:rPr>
          <w:rFonts w:ascii="Times New Roman" w:cs="Times New Roman" w:eastAsia="Times New Roman" w:hAnsi="Times New Roman"/>
          <w:sz w:val="18"/>
          <w:szCs w:val="18"/>
          <w:color w:val="auto"/>
        </w:rPr>
        <w:t>. The Company may, in its sole discretion, decide to deliver any documents related to the Restricted Stock Units (including, without limitation, prospectuses required by the U.S. Securities and Exchange Commission) by electronic means (including, without limitation, all other documents that the Company is required to deliver to its security holders, such as annual reports and proxy statements). Participant hereby consents to receive such documents by electronic delivery and agrees to participate in this Award Agreement through any on-line or electronic system established and maintained by the Company or a third party designated by the Company. Participant agrees that the Company may deliver these documents by posting them on a web site maintained by the Company or by a third party under contract with the Company. If the Company posts these documents on a web site, it will notify Participant by electronic means.</w:t>
      </w:r>
    </w:p>
    <w:p>
      <w:pPr>
        <w:spacing w:after="0" w:line="188" w:lineRule="exact"/>
        <w:rPr>
          <w:rFonts w:ascii="Times New Roman" w:cs="Times New Roman" w:eastAsia="Times New Roman" w:hAnsi="Times New Roman"/>
          <w:sz w:val="18"/>
          <w:szCs w:val="18"/>
          <w:color w:val="auto"/>
        </w:rPr>
      </w:pPr>
    </w:p>
    <w:p>
      <w:pPr>
        <w:ind w:left="1300" w:hanging="652"/>
        <w:spacing w:after="0"/>
        <w:tabs>
          <w:tab w:leader="none" w:pos="13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Captions</w:t>
      </w:r>
      <w:r>
        <w:rPr>
          <w:rFonts w:ascii="Times New Roman" w:cs="Times New Roman" w:eastAsia="Times New Roman" w:hAnsi="Times New Roman"/>
          <w:sz w:val="17"/>
          <w:szCs w:val="17"/>
          <w:color w:val="auto"/>
        </w:rPr>
        <w:t>. Captions provided herein are for convenience only and are not to serve as a basis for interpretation or construction of this Award</w:t>
      </w:r>
    </w:p>
    <w:p>
      <w:pPr>
        <w:spacing w:after="0" w:line="3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Agreement.</w:t>
      </w:r>
    </w:p>
    <w:p>
      <w:pPr>
        <w:spacing w:after="0" w:line="201" w:lineRule="exact"/>
        <w:rPr>
          <w:rFonts w:ascii="Times New Roman" w:cs="Times New Roman" w:eastAsia="Times New Roman" w:hAnsi="Times New Roman"/>
          <w:sz w:val="17"/>
          <w:szCs w:val="17"/>
          <w:color w:val="auto"/>
        </w:rPr>
      </w:pPr>
    </w:p>
    <w:p>
      <w:pPr>
        <w:jc w:val="both"/>
        <w:ind w:firstLine="648"/>
        <w:spacing w:after="0" w:line="253" w:lineRule="auto"/>
        <w:tabs>
          <w:tab w:leader="none" w:pos="131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Notwithstanding any provisions in this Award Agreement, the Restricted Stock Units shall be subject to any global terms and conditions set forth in an appendix (if any) to this Award Agreement as well as any terms and conditions for any country whose laws are applicable to Participant and the Restricted Stock Units (as determined by the Administrator in its sole discretion) (the “</w:t>
      </w:r>
      <w:r>
        <w:rPr>
          <w:rFonts w:ascii="Times New Roman" w:cs="Times New Roman" w:eastAsia="Times New Roman" w:hAnsi="Times New Roman"/>
          <w:sz w:val="18"/>
          <w:szCs w:val="18"/>
          <w:b w:val="1"/>
          <w:bCs w:val="1"/>
          <w:color w:val="auto"/>
        </w:rPr>
        <w:t>Country Addendum</w:t>
      </w:r>
      <w:r>
        <w:rPr>
          <w:rFonts w:ascii="Times New Roman" w:cs="Times New Roman" w:eastAsia="Times New Roman" w:hAnsi="Times New Roman"/>
          <w:sz w:val="18"/>
          <w:szCs w:val="18"/>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Award Agreement.</w:t>
      </w:r>
    </w:p>
    <w:p>
      <w:pPr>
        <w:spacing w:after="0" w:line="186" w:lineRule="exact"/>
        <w:rPr>
          <w:rFonts w:ascii="Times New Roman" w:cs="Times New Roman" w:eastAsia="Times New Roman" w:hAnsi="Times New Roman"/>
          <w:sz w:val="18"/>
          <w:szCs w:val="18"/>
          <w:color w:val="auto"/>
        </w:rPr>
      </w:pPr>
    </w:p>
    <w:p>
      <w:pPr>
        <w:jc w:val="both"/>
        <w:ind w:firstLine="648"/>
        <w:spacing w:after="0" w:line="251" w:lineRule="auto"/>
        <w:tabs>
          <w:tab w:leader="none" w:pos="14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Modifications</w:t>
      </w:r>
      <w:r>
        <w:rPr>
          <w:rFonts w:ascii="Times New Roman" w:cs="Times New Roman" w:eastAsia="Times New Roman" w:hAnsi="Times New Roman"/>
          <w:sz w:val="18"/>
          <w:szCs w:val="18"/>
          <w:color w:val="auto"/>
        </w:rPr>
        <w:t>. This Award Agreement (including for clarity any exhibits, appendices, and addenda attached to the Notice of Grant) constitutes the entire agreement of the parties with respect to the subject matter hereof and supersede in their entirety all prior undertakings and agreements of the Company and Participant with respect to the subject matter hereof. Participant expressly warrants that Participant is not accepting this Award Agreement in reliance on any promises, representations, or inducements other than those contained herein. Modifications to this Award Agreement can be made only by approval of the Administrator memorialized in an express written instrument executed by a duly authorized signatory of the Company. Except as provided in this paragraph, no amendment to this Award Agreement may materially impair the rights of Participant unless mutually agreed between Participant and the Administrator, which agreement must be in writing signed by Participant and a duly authorized signatory of the Company. Notwithstanding anything to the contrary in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163830</wp:posOffset>
            </wp:positionV>
            <wp:extent cx="71335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20</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20</w:t>
      </w:r>
    </w:p>
    <w:p>
      <w:pPr>
        <w:spacing w:after="0" w:line="226" w:lineRule="exact"/>
        <w:rPr>
          <w:sz w:val="20"/>
          <w:szCs w:val="20"/>
          <w:color w:val="auto"/>
        </w:rPr>
      </w:pPr>
    </w:p>
    <w:p>
      <w:pPr>
        <w:jc w:val="both"/>
        <w:ind w:firstLine="648"/>
        <w:spacing w:after="0" w:line="257"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82" w:lineRule="exact"/>
        <w:rPr>
          <w:rFonts w:ascii="Times New Roman" w:cs="Times New Roman" w:eastAsia="Times New Roman" w:hAnsi="Times New Roman"/>
          <w:sz w:val="18"/>
          <w:szCs w:val="18"/>
          <w:color w:val="auto"/>
        </w:rPr>
      </w:pPr>
    </w:p>
    <w:p>
      <w:pPr>
        <w:jc w:val="both"/>
        <w:ind w:firstLine="648"/>
        <w:spacing w:after="0" w:line="262" w:lineRule="auto"/>
        <w:tabs>
          <w:tab w:leader="none" w:pos="1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Severability</w:t>
      </w:r>
      <w:r>
        <w:rPr>
          <w:rFonts w:ascii="Times New Roman" w:cs="Times New Roman" w:eastAsia="Times New Roman" w:hAnsi="Times New Roman"/>
          <w:sz w:val="18"/>
          <w:szCs w:val="18"/>
          <w:color w:val="auto"/>
        </w:rPr>
        <w:t>. This Award Agreement and the Restricted Stock Units are governed by, and construed in accordance with,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177" w:lineRule="exact"/>
        <w:rPr>
          <w:rFonts w:ascii="Times New Roman" w:cs="Times New Roman" w:eastAsia="Times New Roman" w:hAnsi="Times New Roman"/>
          <w:sz w:val="18"/>
          <w:szCs w:val="18"/>
          <w:color w:val="auto"/>
        </w:rPr>
      </w:pPr>
    </w:p>
    <w:p>
      <w:pPr>
        <w:jc w:val="both"/>
        <w:ind w:firstLine="648"/>
        <w:spacing w:after="0" w:line="257"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Terms</w:t>
      </w:r>
      <w:r>
        <w:rPr>
          <w:rFonts w:ascii="Times New Roman" w:cs="Times New Roman" w:eastAsia="Times New Roman" w:hAnsi="Times New Roman"/>
          <w:sz w:val="18"/>
          <w:szCs w:val="18"/>
          <w:color w:val="auto"/>
        </w:rPr>
        <w:t>. The terms, conditions, obligations, and requirements of this Award Agreement will apply as a condition of receiving and holding the Award without the need for any manual or other execution of this Award Agreement by Participant or the Company. Notwithstanding the foregoing, however, as a condition to holding the Award or the vesting or settlement of the Award, upon the Company’s request at any time, the Company may require Participant to manually or electronically sign this Award Agreement, if Participant has not already done so.</w:t>
      </w:r>
    </w:p>
    <w:p>
      <w:pPr>
        <w:spacing w:after="0" w:line="182" w:lineRule="exact"/>
        <w:rPr>
          <w:rFonts w:ascii="Times New Roman" w:cs="Times New Roman" w:eastAsia="Times New Roman" w:hAnsi="Times New Roman"/>
          <w:sz w:val="18"/>
          <w:szCs w:val="18"/>
          <w:color w:val="auto"/>
        </w:rPr>
      </w:pPr>
    </w:p>
    <w:p>
      <w:pPr>
        <w:ind w:left="5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35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2"/>
          <w:szCs w:val="12"/>
          <w:b w:val="1"/>
          <w:bCs w:val="1"/>
          <w:color w:val="auto"/>
        </w:rPr>
        <w:t>greement</w:t>
      </w:r>
    </w:p>
    <w:p>
      <w:pPr>
        <w:sectPr>
          <w:pgSz w:w="11900" w:h="16838" w:orient="portrait"/>
          <w:cols w:equalWidth="0" w:num="1">
            <w:col w:w="11240"/>
          </w:cols>
          <w:pgMar w:left="320" w:top="108"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STAND-ALONE INDUCEMENT PERFORMANCE UNIT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PERFORMANCE UNIT GRANT</w:t>
      </w:r>
    </w:p>
    <w:p>
      <w:pPr>
        <w:spacing w:after="0" w:line="220"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b w:val="1"/>
          <w:bCs w:val="1"/>
          <w:color w:val="auto"/>
        </w:rPr>
        <w:t xml:space="preserve">Participant must notify Accuray Incorporated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by the fifteenth (15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day of the month following the Date of Grant if he or she wishes to reject this Award. Otherwise, Participant will be deemed to have accepted the Award on the terms and conditions on which it is offered.</w:t>
      </w:r>
    </w:p>
    <w:p>
      <w:pPr>
        <w:spacing w:after="0" w:line="195"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Unless otherwise defined herein, each capitalized term used in this Notice of Performance Unit Grant and all exhibits, appendices, and addenda attached hereto, will have the meaning given such term in the Terms and Conditions of Performance Unit Grant attached hereto as Exhibit A (together, the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640"/>
        <w:spacing w:after="0"/>
        <w:tabs>
          <w:tab w:leader="none" w:pos="3360" w:val="left"/>
        </w:tabs>
        <w:rPr>
          <w:sz w:val="20"/>
          <w:szCs w:val="20"/>
          <w:color w:val="auto"/>
        </w:rPr>
      </w:pPr>
      <w:r>
        <w:rPr>
          <w:rFonts w:ascii="Times New Roman" w:cs="Times New Roman" w:eastAsia="Times New Roman" w:hAnsi="Times New Roman"/>
          <w:sz w:val="18"/>
          <w:szCs w:val="18"/>
          <w:b w:val="1"/>
          <w:bCs w:val="1"/>
          <w:color w:val="auto"/>
        </w:rPr>
        <w:t>Participant Name:</w:t>
      </w:r>
      <w:r>
        <w:rPr>
          <w:sz w:val="20"/>
          <w:szCs w:val="20"/>
          <w:color w:val="auto"/>
        </w:rPr>
        <w:tab/>
      </w:r>
      <w:r>
        <w:rPr>
          <w:rFonts w:ascii="Times New Roman" w:cs="Times New Roman" w:eastAsia="Times New Roman" w:hAnsi="Times New Roman"/>
          <w:sz w:val="17"/>
          <w:szCs w:val="17"/>
          <w:b w:val="1"/>
          <w:bCs w:val="1"/>
          <w:color w:val="auto"/>
        </w:rPr>
        <w:t>Sofiane Laoussadi</w:t>
      </w:r>
    </w:p>
    <w:p>
      <w:pPr>
        <w:spacing w:after="0" w:line="220" w:lineRule="exact"/>
        <w:rPr>
          <w:sz w:val="20"/>
          <w:szCs w:val="20"/>
          <w:color w:val="auto"/>
        </w:rPr>
      </w:pPr>
    </w:p>
    <w:p>
      <w:pPr>
        <w:ind w:left="640"/>
        <w:spacing w:after="0"/>
        <w:tabs>
          <w:tab w:leader="none" w:pos="3360" w:val="left"/>
        </w:tabs>
        <w:rPr>
          <w:sz w:val="20"/>
          <w:szCs w:val="20"/>
          <w:color w:val="auto"/>
        </w:rPr>
      </w:pPr>
      <w:r>
        <w:rPr>
          <w:rFonts w:ascii="Times New Roman" w:cs="Times New Roman" w:eastAsia="Times New Roman" w:hAnsi="Times New Roman"/>
          <w:sz w:val="18"/>
          <w:szCs w:val="18"/>
          <w:b w:val="1"/>
          <w:bCs w:val="1"/>
          <w:color w:val="auto"/>
        </w:rPr>
        <w:t>Address:</w:t>
      </w:r>
      <w:r>
        <w:rPr>
          <w:sz w:val="20"/>
          <w:szCs w:val="20"/>
          <w:color w:val="auto"/>
        </w:rPr>
        <w:tab/>
      </w:r>
      <w:r>
        <w:rPr>
          <w:rFonts w:ascii="Times New Roman" w:cs="Times New Roman" w:eastAsia="Times New Roman" w:hAnsi="Times New Roman"/>
          <w:sz w:val="18"/>
          <w:szCs w:val="18"/>
          <w:b w:val="1"/>
          <w:bCs w:val="1"/>
          <w:color w:val="auto"/>
        </w:rPr>
        <w:t>[Address]</w:t>
      </w:r>
    </w:p>
    <w:p>
      <w:pPr>
        <w:spacing w:after="0" w:line="220"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color w:val="auto"/>
        </w:rPr>
        <w:t>Participant has been granted the right to receive an Award of Performance Units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subject to the terms and conditions of this Award Agreement, as follows:</w:t>
      </w:r>
    </w:p>
    <w:p>
      <w:pPr>
        <w:spacing w:after="0" w:line="159" w:lineRule="exact"/>
        <w:rPr>
          <w:sz w:val="20"/>
          <w:szCs w:val="20"/>
          <w:color w:val="auto"/>
        </w:rPr>
      </w:pPr>
    </w:p>
    <w:tbl>
      <w:tblPr>
        <w:tblLayout w:type="fixed"/>
        <w:tblInd w:w="640" w:type="dxa"/>
        <w:tblCellMar>
          <w:top w:w="0" w:type="dxa"/>
          <w:left w:w="0" w:type="dxa"/>
          <w:bottom w:w="0" w:type="dxa"/>
          <w:right w:w="0" w:type="dxa"/>
        </w:tblCellMar>
      </w:tblPr>
      <w:tr>
        <w:trPr>
          <w:trHeight w:val="232"/>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 Number</w:t>
            </w: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p>
        </w:tc>
      </w:tr>
      <w:tr>
        <w:trPr>
          <w:trHeight w:val="381"/>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October 30, 2026</w:t>
            </w:r>
          </w:p>
        </w:tc>
        <w:tc>
          <w:tcPr>
            <w:tcW w:w="3240" w:type="dxa"/>
            <w:vAlign w:val="bottom"/>
          </w:tcPr>
          <w:p>
            <w:pPr>
              <w:spacing w:after="0"/>
              <w:rPr>
                <w:sz w:val="24"/>
                <w:szCs w:val="24"/>
                <w:color w:val="auto"/>
              </w:rPr>
            </w:pPr>
          </w:p>
        </w:tc>
      </w:tr>
      <w:tr>
        <w:trPr>
          <w:trHeight w:val="407"/>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Target Number of PSUs</w:t>
            </w:r>
          </w:p>
        </w:tc>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650,000 shares</w:t>
            </w:r>
          </w:p>
        </w:tc>
        <w:tc>
          <w:tcPr>
            <w:tcW w:w="3420" w:type="dxa"/>
            <w:vAlign w:val="bottom"/>
            <w:gridSpan w:val="2"/>
          </w:tcPr>
          <w:p>
            <w:pPr>
              <w:spacing w:after="0"/>
              <w:rPr>
                <w:sz w:val="24"/>
                <w:szCs w:val="24"/>
                <w:color w:val="auto"/>
              </w:rPr>
            </w:pPr>
          </w:p>
        </w:tc>
      </w:tr>
      <w:tr>
        <w:trPr>
          <w:trHeight w:val="407"/>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Maximum Number of PSUs</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975,000 shares</w:t>
            </w:r>
          </w:p>
        </w:tc>
      </w:tr>
      <w:tr>
        <w:trPr>
          <w:trHeight w:val="407"/>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Criteria:</w:t>
            </w:r>
          </w:p>
        </w:tc>
        <w:tc>
          <w:tcPr>
            <w:tcW w:w="10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641"/>
        <w:spacing w:after="0" w:line="256" w:lineRule="auto"/>
        <w:rPr>
          <w:sz w:val="20"/>
          <w:szCs w:val="20"/>
          <w:color w:val="auto"/>
        </w:rPr>
      </w:pPr>
      <w:r>
        <w:rPr>
          <w:rFonts w:ascii="Times New Roman" w:cs="Times New Roman" w:eastAsia="Times New Roman" w:hAnsi="Times New Roman"/>
          <w:sz w:val="18"/>
          <w:szCs w:val="18"/>
          <w:color w:val="auto"/>
        </w:rPr>
        <w:t xml:space="preserve">Subject to Section 5 of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and any acceleration provisions contained in this Award Agreement or any other written agreement authorized by the Administrator between Participant and the Company (or any Parent, Subsidiary or Affiliate of the Company, as applicable) governing the terms of this Award (which, for clarity, includes that certain Executive Employment Agreement previously entered into between the Company and Participant that remains in effect as of the Date of Grant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 xml:space="preserve">”)), the PSUs will be scheduled to vest according to the terms set forth in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attached hereto.</w:t>
      </w:r>
    </w:p>
    <w:p>
      <w:pPr>
        <w:spacing w:after="0" w:line="182" w:lineRule="exact"/>
        <w:rPr>
          <w:sz w:val="20"/>
          <w:szCs w:val="20"/>
          <w:color w:val="auto"/>
        </w:rPr>
      </w:pPr>
    </w:p>
    <w:p>
      <w:pPr>
        <w:jc w:val="both"/>
        <w:ind w:firstLine="641"/>
        <w:spacing w:after="0" w:line="224" w:lineRule="auto"/>
        <w:rPr>
          <w:sz w:val="20"/>
          <w:szCs w:val="20"/>
          <w:color w:val="auto"/>
        </w:rPr>
      </w:pPr>
      <w:r>
        <w:rPr>
          <w:rFonts w:ascii="Times New Roman" w:cs="Times New Roman" w:eastAsia="Times New Roman" w:hAnsi="Times New Roman"/>
          <w:sz w:val="18"/>
          <w:szCs w:val="18"/>
          <w:color w:val="auto"/>
        </w:rPr>
        <w:t xml:space="preserve">If Participant does not wish to receive this Award and/or does not consent and agree to the terms and conditions on which the Award is offered, as set forth in this Award Agreement, then Participant must reject the Award by notifying the Company at Accuray Incorporated, Attention: Stock Administration, 1240 Deming Way, Madison, WI 53717 no later than </w:t>
      </w:r>
      <w:r>
        <w:rPr>
          <w:rFonts w:ascii="Times New Roman" w:cs="Times New Roman" w:eastAsia="Times New Roman" w:hAnsi="Times New Roman"/>
          <w:sz w:val="18"/>
          <w:szCs w:val="18"/>
          <w:b w:val="1"/>
          <w:bCs w:val="1"/>
          <w:color w:val="auto"/>
        </w:rPr>
        <w:t>the fifteenth (15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day of the month following the Date of Grant</w:t>
      </w:r>
      <w:r>
        <w:rPr>
          <w:rFonts w:ascii="Times New Roman" w:cs="Times New Roman" w:eastAsia="Times New Roman" w:hAnsi="Times New Roman"/>
          <w:sz w:val="18"/>
          <w:szCs w:val="18"/>
          <w:color w:val="auto"/>
        </w:rPr>
        <w:t>, in which case the Award will be cancelled. Participant’s failure to notify the Company of his or her rejection of the Award within this specified period will constitute Participant’s acceptance of the Award and his or her agreement with all terms and conditions of the Award, as set forth in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137795</wp:posOffset>
            </wp:positionV>
            <wp:extent cx="71335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ind w:left="10340"/>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22</w:t>
      </w:r>
    </w:p>
    <w:p>
      <w:pPr>
        <w:spacing w:after="0" w:line="236"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 xml:space="preserve">Participant has reviewed this Award Agreement in its entirety, has had an opportunity to obtain the advice of counsel prior to executing this Award Agreement and fully understands all provisions of this Award Agreement. By accepting this Award, Participant hereby (i) agrees that this Award of PSUs is granted under and governed by the terms and conditions of this Award Agreement, including for clarity the Terms and Conditions of Performance Unit Grant,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and all other exhibits, appendices and addenda attached hereto, all of which are made a part of this document, (ii) accepts this Award Agreement subject to all of the terms and provisions thereof, (iii) accepts as binding, conclusive and final all decisions or interpretations of the Administrator upon any questions relating to this Award Agreement, and (iv) agrees to notify the Company upon any change in Participant’s residence address indicated below and to provide a valid email address if Participant no longer has a Company email address.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33591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335915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33591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3359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33591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335915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574675</wp:posOffset>
            </wp:positionV>
            <wp:extent cx="33591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33591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ACCURAY INCORPORATED</w:t>
      </w:r>
    </w:p>
    <w:p>
      <w:pPr>
        <w:spacing w:after="0" w:line="200" w:lineRule="exact"/>
        <w:rPr>
          <w:sz w:val="20"/>
          <w:szCs w:val="20"/>
          <w:color w:val="auto"/>
        </w:rPr>
      </w:pPr>
    </w:p>
    <w:p>
      <w:pPr>
        <w:spacing w:after="0" w:line="259" w:lineRule="exact"/>
        <w:rPr>
          <w:sz w:val="20"/>
          <w:szCs w:val="20"/>
          <w:color w:val="auto"/>
        </w:rPr>
      </w:pPr>
    </w:p>
    <w:p>
      <w:pPr>
        <w:jc w:val="center"/>
        <w:ind w:right="460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3502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33502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4460"/>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3502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33502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494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3502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3350260" cy="8255"/>
                    </a:xfrm>
                    <a:prstGeom prst="rect">
                      <a:avLst/>
                    </a:prstGeom>
                    <a:noFill/>
                  </pic:spPr>
                </pic:pic>
              </a:graphicData>
            </a:graphic>
          </wp:anchor>
        </w:drawing>
        <w:drawing>
          <wp:anchor simplePos="0" relativeHeight="251657728" behindDoc="1" locked="0" layoutInCell="0" allowOverlap="1">
            <wp:simplePos x="0" y="0"/>
            <wp:positionH relativeFrom="column">
              <wp:posOffset>-3779520</wp:posOffset>
            </wp:positionH>
            <wp:positionV relativeFrom="paragraph">
              <wp:posOffset>1024255</wp:posOffset>
            </wp:positionV>
            <wp:extent cx="71335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627" w:lineRule="exact"/>
        <w:rPr>
          <w:sz w:val="20"/>
          <w:szCs w:val="20"/>
          <w:color w:val="auto"/>
        </w:rPr>
      </w:pPr>
    </w:p>
    <w:p>
      <w:pPr>
        <w:sectPr>
          <w:pgSz w:w="11900" w:h="16838" w:orient="portrait"/>
          <w:cols w:equalWidth="0" w:num="2">
            <w:col w:w="5240" w:space="720"/>
            <w:col w:w="528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1" w:name="page32"/>
    <w:bookmarkEnd w:id="31"/>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3</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STAND-ALONE INDUCEMENT PERFORMANCE UNIT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AND CONDITIONS OF PERFORMANCE UNIT GRANT</w:t>
      </w:r>
    </w:p>
    <w:p>
      <w:pPr>
        <w:spacing w:after="0" w:line="224" w:lineRule="exact"/>
        <w:rPr>
          <w:sz w:val="20"/>
          <w:szCs w:val="20"/>
          <w:color w:val="auto"/>
        </w:rPr>
      </w:pPr>
    </w:p>
    <w:p>
      <w:pPr>
        <w:ind w:left="1280" w:hanging="632"/>
        <w:spacing w:after="0"/>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216" w:lineRule="exact"/>
        <w:rPr>
          <w:rFonts w:ascii="Times New Roman" w:cs="Times New Roman" w:eastAsia="Times New Roman" w:hAnsi="Times New Roman"/>
          <w:sz w:val="18"/>
          <w:szCs w:val="18"/>
          <w:color w:val="auto"/>
        </w:rPr>
      </w:pPr>
    </w:p>
    <w:p>
      <w:pPr>
        <w:ind w:left="2000" w:hanging="711"/>
        <w:spacing w:after="0"/>
        <w:tabs>
          <w:tab w:leader="none" w:pos="20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means the Board or any of its Committees as will be administering the Award Agreement, in accordance with</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w:t>
      </w:r>
    </w:p>
    <w:p>
      <w:pPr>
        <w:spacing w:after="0" w:line="197" w:lineRule="exact"/>
        <w:rPr>
          <w:rFonts w:ascii="Times New Roman" w:cs="Times New Roman" w:eastAsia="Times New Roman" w:hAnsi="Times New Roman"/>
          <w:sz w:val="18"/>
          <w:szCs w:val="18"/>
          <w:color w:val="auto"/>
        </w:rPr>
      </w:pPr>
    </w:p>
    <w:p>
      <w:pPr>
        <w:ind w:left="1940" w:hanging="651"/>
        <w:spacing w:after="0"/>
        <w:tabs>
          <w:tab w:leader="none" w:pos="194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any entity that, directly or indirectly, controls, is controlled by, or is under common control with, the Company.</w:t>
      </w:r>
    </w:p>
    <w:p>
      <w:pPr>
        <w:spacing w:after="0" w:line="231" w:lineRule="exact"/>
        <w:rPr>
          <w:rFonts w:ascii="Times New Roman" w:cs="Times New Roman" w:eastAsia="Times New Roman" w:hAnsi="Times New Roman"/>
          <w:sz w:val="17"/>
          <w:szCs w:val="17"/>
          <w:color w:val="auto"/>
        </w:rPr>
      </w:pPr>
    </w:p>
    <w:p>
      <w:pPr>
        <w:jc w:val="both"/>
        <w:ind w:firstLine="1289"/>
        <w:spacing w:after="0" w:line="259" w:lineRule="auto"/>
        <w:tabs>
          <w:tab w:leader="none" w:pos="193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that may apply to this Award.</w:t>
      </w:r>
    </w:p>
    <w:p>
      <w:pPr>
        <w:spacing w:after="0" w:line="175" w:lineRule="exact"/>
        <w:rPr>
          <w:rFonts w:ascii="Times New Roman" w:cs="Times New Roman" w:eastAsia="Times New Roman" w:hAnsi="Times New Roman"/>
          <w:sz w:val="18"/>
          <w:szCs w:val="18"/>
          <w:color w:val="auto"/>
        </w:rPr>
      </w:pPr>
    </w:p>
    <w:p>
      <w:pPr>
        <w:ind w:left="1940" w:hanging="651"/>
        <w:spacing w:after="0"/>
        <w:tabs>
          <w:tab w:leader="none" w:pos="19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this award of Performance Units.</w:t>
      </w:r>
    </w:p>
    <w:p>
      <w:pPr>
        <w:spacing w:after="0" w:line="220" w:lineRule="exact"/>
        <w:rPr>
          <w:rFonts w:ascii="Times New Roman" w:cs="Times New Roman" w:eastAsia="Times New Roman" w:hAnsi="Times New Roman"/>
          <w:sz w:val="18"/>
          <w:szCs w:val="18"/>
          <w:color w:val="auto"/>
        </w:rPr>
      </w:pPr>
    </w:p>
    <w:p>
      <w:pPr>
        <w:ind w:left="1940" w:hanging="651"/>
        <w:spacing w:after="0"/>
        <w:tabs>
          <w:tab w:leader="none" w:pos="19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this Stand-Alone Inducement Performance Unit Agreement evidencing the Award.</w:t>
      </w:r>
    </w:p>
    <w:p>
      <w:pPr>
        <w:spacing w:after="0" w:line="220" w:lineRule="exact"/>
        <w:rPr>
          <w:rFonts w:ascii="Times New Roman" w:cs="Times New Roman" w:eastAsia="Times New Roman" w:hAnsi="Times New Roman"/>
          <w:sz w:val="18"/>
          <w:szCs w:val="18"/>
          <w:color w:val="auto"/>
        </w:rPr>
      </w:pPr>
    </w:p>
    <w:p>
      <w:pPr>
        <w:ind w:left="1920" w:hanging="631"/>
        <w:spacing w:after="0"/>
        <w:tabs>
          <w:tab w:leader="none" w:pos="19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0" w:lineRule="exact"/>
        <w:rPr>
          <w:rFonts w:ascii="Times New Roman" w:cs="Times New Roman" w:eastAsia="Times New Roman" w:hAnsi="Times New Roman"/>
          <w:sz w:val="18"/>
          <w:szCs w:val="18"/>
          <w:color w:val="auto"/>
        </w:rPr>
      </w:pPr>
    </w:p>
    <w:p>
      <w:pPr>
        <w:ind w:left="1940" w:hanging="651"/>
        <w:spacing w:after="0"/>
        <w:tabs>
          <w:tab w:leader="none" w:pos="19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224" w:lineRule="exact"/>
        <w:rPr>
          <w:rFonts w:ascii="Times New Roman" w:cs="Times New Roman" w:eastAsia="Times New Roman" w:hAnsi="Times New Roman"/>
          <w:sz w:val="18"/>
          <w:szCs w:val="18"/>
          <w:color w:val="auto"/>
        </w:rPr>
      </w:pPr>
    </w:p>
    <w:p>
      <w:pPr>
        <w:jc w:val="both"/>
        <w:ind w:firstLine="1930"/>
        <w:spacing w:after="0" w:line="251" w:lineRule="auto"/>
        <w:tabs>
          <w:tab w:leader="none" w:pos="226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the Company which occurs on the date that any one person, or more than one person acting as a group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(i), the acquisition of additional stock by any one Person, who is considered to own more than fifty percent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163830</wp:posOffset>
            </wp:positionV>
            <wp:extent cx="71335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4</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22</w:t>
      </w:r>
    </w:p>
    <w:p>
      <w:pPr>
        <w:spacing w:after="0" w:line="226" w:lineRule="exact"/>
        <w:rPr>
          <w:sz w:val="20"/>
          <w:szCs w:val="20"/>
          <w:color w:val="auto"/>
        </w:rPr>
      </w:pPr>
    </w:p>
    <w:p>
      <w:pPr>
        <w:jc w:val="both"/>
        <w:ind w:firstLine="1930"/>
        <w:spacing w:after="0" w:line="257" w:lineRule="auto"/>
        <w:tabs>
          <w:tab w:leader="none" w:pos="238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82" w:lineRule="exact"/>
        <w:rPr>
          <w:rFonts w:ascii="Times New Roman" w:cs="Times New Roman" w:eastAsia="Times New Roman" w:hAnsi="Times New Roman"/>
          <w:sz w:val="18"/>
          <w:szCs w:val="18"/>
          <w:color w:val="auto"/>
        </w:rPr>
      </w:pPr>
    </w:p>
    <w:p>
      <w:pPr>
        <w:jc w:val="both"/>
        <w:ind w:firstLine="1930"/>
        <w:spacing w:after="0" w:line="250" w:lineRule="auto"/>
        <w:tabs>
          <w:tab w:leader="none" w:pos="245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93" w:lineRule="exact"/>
        <w:rPr>
          <w:sz w:val="20"/>
          <w:szCs w:val="20"/>
          <w:color w:val="auto"/>
        </w:rPr>
      </w:pPr>
    </w:p>
    <w:p>
      <w:pPr>
        <w:jc w:val="both"/>
        <w:ind w:firstLine="1924"/>
        <w:spacing w:after="0" w:line="277" w:lineRule="auto"/>
        <w:rPr>
          <w:sz w:val="20"/>
          <w:szCs w:val="20"/>
          <w:color w:val="auto"/>
        </w:rPr>
      </w:pPr>
      <w:r>
        <w:rPr>
          <w:rFonts w:ascii="Times New Roman" w:cs="Times New Roman" w:eastAsia="Times New Roman" w:hAnsi="Times New Roman"/>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3" w:lineRule="exact"/>
        <w:rPr>
          <w:sz w:val="20"/>
          <w:szCs w:val="20"/>
          <w:color w:val="auto"/>
        </w:rPr>
      </w:pPr>
    </w:p>
    <w:p>
      <w:pPr>
        <w:jc w:val="both"/>
        <w:ind w:firstLine="1924"/>
        <w:spacing w:after="0" w:line="277"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Section 409A.</w:t>
      </w:r>
    </w:p>
    <w:p>
      <w:pPr>
        <w:spacing w:after="0" w:line="163" w:lineRule="exact"/>
        <w:rPr>
          <w:sz w:val="20"/>
          <w:szCs w:val="20"/>
          <w:color w:val="auto"/>
        </w:rPr>
      </w:pPr>
    </w:p>
    <w:p>
      <w:pPr>
        <w:jc w:val="both"/>
        <w:ind w:firstLine="1924"/>
        <w:spacing w:after="0" w:line="262" w:lineRule="auto"/>
        <w:rPr>
          <w:sz w:val="20"/>
          <w:szCs w:val="20"/>
          <w:color w:val="auto"/>
        </w:rPr>
      </w:pPr>
      <w:r>
        <w:rPr>
          <w:rFonts w:ascii="Times New Roman" w:cs="Times New Roman" w:eastAsia="Times New Roman" w:hAnsi="Times New Roman"/>
          <w:sz w:val="18"/>
          <w:szCs w:val="18"/>
          <w:color w:val="auto"/>
        </w:rPr>
        <w:t>Further and for purposes of clarity, a transaction will not constitute a Change in Control if: (i) its primary purpose is to change the jurisdiction of the Company’s incorporation, or (ii) its primary purpose is to create a holding company that will be owned in substantially the same proportions by the persons who held the Company’s securities immediately before such transaction.</w:t>
      </w:r>
    </w:p>
    <w:p>
      <w:pPr>
        <w:spacing w:after="0" w:line="173" w:lineRule="exact"/>
        <w:rPr>
          <w:sz w:val="20"/>
          <w:szCs w:val="20"/>
          <w:color w:val="auto"/>
        </w:rPr>
      </w:pPr>
    </w:p>
    <w:p>
      <w:pPr>
        <w:jc w:val="both"/>
        <w:ind w:firstLine="1289"/>
        <w:spacing w:after="0" w:line="265" w:lineRule="auto"/>
        <w:tabs>
          <w:tab w:leader="none" w:pos="199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155575</wp:posOffset>
            </wp:positionV>
            <wp:extent cx="71335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5</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22</w:t>
      </w:r>
    </w:p>
    <w:p>
      <w:pPr>
        <w:spacing w:after="0" w:line="222" w:lineRule="exact"/>
        <w:rPr>
          <w:sz w:val="20"/>
          <w:szCs w:val="20"/>
          <w:color w:val="auto"/>
        </w:rPr>
      </w:pPr>
    </w:p>
    <w:p>
      <w:pPr>
        <w:ind w:firstLine="1289"/>
        <w:spacing w:after="0" w:line="282" w:lineRule="auto"/>
        <w:tabs>
          <w:tab w:leader="none" w:pos="195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or by a duly authorized committee of the Board, in accordance with Section 2.</w:t>
      </w:r>
    </w:p>
    <w:p>
      <w:pPr>
        <w:spacing w:after="0" w:line="154" w:lineRule="exact"/>
        <w:rPr>
          <w:rFonts w:ascii="Times New Roman" w:cs="Times New Roman" w:eastAsia="Times New Roman" w:hAnsi="Times New Roman"/>
          <w:sz w:val="18"/>
          <w:szCs w:val="18"/>
          <w:color w:val="auto"/>
        </w:rPr>
      </w:pPr>
    </w:p>
    <w:p>
      <w:pPr>
        <w:ind w:left="1940" w:hanging="651"/>
        <w:spacing w:after="0"/>
        <w:tabs>
          <w:tab w:leader="none" w:pos="1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Company.</w:t>
      </w:r>
    </w:p>
    <w:p>
      <w:pPr>
        <w:spacing w:after="0" w:line="220" w:lineRule="exact"/>
        <w:rPr>
          <w:rFonts w:ascii="Times New Roman" w:cs="Times New Roman" w:eastAsia="Times New Roman" w:hAnsi="Times New Roman"/>
          <w:sz w:val="18"/>
          <w:szCs w:val="18"/>
          <w:color w:val="auto"/>
        </w:rPr>
      </w:pPr>
    </w:p>
    <w:p>
      <w:pPr>
        <w:ind w:left="1940" w:hanging="651"/>
        <w:spacing w:after="0"/>
        <w:tabs>
          <w:tab w:leader="none" w:pos="1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Accuray Incorporated, a Delaware corporation, or any successor thereto.</w:t>
      </w:r>
    </w:p>
    <w:p>
      <w:pPr>
        <w:spacing w:after="0" w:line="220" w:lineRule="exact"/>
        <w:rPr>
          <w:rFonts w:ascii="Times New Roman" w:cs="Times New Roman" w:eastAsia="Times New Roman" w:hAnsi="Times New Roman"/>
          <w:sz w:val="18"/>
          <w:szCs w:val="18"/>
          <w:color w:val="auto"/>
        </w:rPr>
      </w:pPr>
    </w:p>
    <w:p>
      <w:pPr>
        <w:jc w:val="both"/>
        <w:ind w:firstLine="1289"/>
        <w:spacing w:after="0" w:line="256" w:lineRule="auto"/>
        <w:tabs>
          <w:tab w:leader="none" w:pos="194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any natural person, including an advisor, engaged by the Company or any Parent, Subsidiary or Affiliate of the Company to render bona fide services to such entity, provided the services (i) are not in connection with the offer or sale of securities in a capital-raising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78" w:lineRule="exact"/>
        <w:rPr>
          <w:rFonts w:ascii="Times New Roman" w:cs="Times New Roman" w:eastAsia="Times New Roman" w:hAnsi="Times New Roman"/>
          <w:sz w:val="18"/>
          <w:szCs w:val="18"/>
          <w:color w:val="auto"/>
        </w:rPr>
      </w:pPr>
    </w:p>
    <w:p>
      <w:pPr>
        <w:ind w:left="1940" w:hanging="651"/>
        <w:spacing w:after="0"/>
        <w:tabs>
          <w:tab w:leader="none" w:pos="1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 member of the Board.</w:t>
      </w:r>
    </w:p>
    <w:p>
      <w:pPr>
        <w:spacing w:after="0" w:line="220" w:lineRule="exact"/>
        <w:rPr>
          <w:rFonts w:ascii="Times New Roman" w:cs="Times New Roman" w:eastAsia="Times New Roman" w:hAnsi="Times New Roman"/>
          <w:sz w:val="18"/>
          <w:szCs w:val="18"/>
          <w:color w:val="auto"/>
        </w:rPr>
      </w:pPr>
    </w:p>
    <w:p>
      <w:pPr>
        <w:jc w:val="both"/>
        <w:ind w:firstLine="1289"/>
        <w:spacing w:after="0" w:line="265" w:lineRule="auto"/>
        <w:tabs>
          <w:tab w:leader="none" w:pos="217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means any person, including Officers and Directors, employed by the Company or any Parent, Subsidiary or Affiliate of the Company. Neither service as a Director nor payment of a director’s fee by the Company will be sufficient to constitute “employment” by the Company.</w:t>
      </w:r>
    </w:p>
    <w:p>
      <w:pPr>
        <w:spacing w:after="0" w:line="169" w:lineRule="exact"/>
        <w:rPr>
          <w:rFonts w:ascii="Times New Roman" w:cs="Times New Roman" w:eastAsia="Times New Roman" w:hAnsi="Times New Roman"/>
          <w:sz w:val="18"/>
          <w:szCs w:val="18"/>
          <w:color w:val="auto"/>
        </w:rPr>
      </w:pPr>
    </w:p>
    <w:p>
      <w:pPr>
        <w:ind w:left="2000" w:hanging="711"/>
        <w:spacing w:after="0"/>
        <w:tabs>
          <w:tab w:leader="none" w:pos="20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U.S. Securities Exchange Act of 1934, as amended, including the rules and regulations promulgated</w:t>
      </w:r>
    </w:p>
    <w:p>
      <w:pPr>
        <w:spacing w:after="0" w:line="4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thereunder.</w:t>
      </w:r>
    </w:p>
    <w:p>
      <w:pPr>
        <w:spacing w:after="0" w:line="197" w:lineRule="exact"/>
        <w:rPr>
          <w:rFonts w:ascii="Times New Roman" w:cs="Times New Roman" w:eastAsia="Times New Roman" w:hAnsi="Times New Roman"/>
          <w:sz w:val="17"/>
          <w:szCs w:val="17"/>
          <w:color w:val="auto"/>
        </w:rPr>
      </w:pPr>
    </w:p>
    <w:p>
      <w:pPr>
        <w:ind w:left="1980" w:hanging="691"/>
        <w:spacing w:after="0"/>
        <w:tabs>
          <w:tab w:leader="none" w:pos="19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means, as of any date and unless the Administrator determines otherwise, the value of a Share determined</w:t>
      </w:r>
    </w:p>
    <w:p>
      <w:pPr>
        <w:spacing w:after="0" w:line="4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as follows:</w:t>
      </w:r>
    </w:p>
    <w:p>
      <w:pPr>
        <w:spacing w:after="0" w:line="201" w:lineRule="exact"/>
        <w:rPr>
          <w:rFonts w:ascii="Times New Roman" w:cs="Times New Roman" w:eastAsia="Times New Roman" w:hAnsi="Times New Roman"/>
          <w:sz w:val="17"/>
          <w:szCs w:val="17"/>
          <w:color w:val="auto"/>
        </w:rPr>
      </w:pPr>
    </w:p>
    <w:p>
      <w:pPr>
        <w:jc w:val="both"/>
        <w:ind w:firstLine="1930"/>
        <w:spacing w:after="0" w:line="255" w:lineRule="auto"/>
        <w:tabs>
          <w:tab w:leader="none" w:pos="231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The Wall Street Journal or such other source as the Administrator deems reliable;</w:t>
      </w:r>
    </w:p>
    <w:p>
      <w:pPr>
        <w:spacing w:after="0" w:line="182" w:lineRule="exact"/>
        <w:rPr>
          <w:rFonts w:ascii="Times New Roman" w:cs="Times New Roman" w:eastAsia="Times New Roman" w:hAnsi="Times New Roman"/>
          <w:sz w:val="18"/>
          <w:szCs w:val="18"/>
          <w:color w:val="auto"/>
        </w:rPr>
      </w:pPr>
    </w:p>
    <w:p>
      <w:pPr>
        <w:jc w:val="both"/>
        <w:ind w:firstLine="1930"/>
        <w:spacing w:after="0" w:line="257" w:lineRule="auto"/>
        <w:tabs>
          <w:tab w:leader="none" w:pos="231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regularly quoted by a recognized securities dealer but selling prices are not reported, the Fair Market Value will be the mean between the high bid and low asked prices for the Common Stock on the date of determination (or, if no bids and asks were reported on that date, as applicable, on the last Trading Day such bids and asks were reported), as reported in The Wall Street Journal or such other source as the Administrator deems reliable; or</w:t>
      </w:r>
    </w:p>
    <w:p>
      <w:pPr>
        <w:spacing w:after="0" w:line="182" w:lineRule="exact"/>
        <w:rPr>
          <w:rFonts w:ascii="Times New Roman" w:cs="Times New Roman" w:eastAsia="Times New Roman" w:hAnsi="Times New Roman"/>
          <w:sz w:val="18"/>
          <w:szCs w:val="18"/>
          <w:color w:val="auto"/>
        </w:rPr>
      </w:pPr>
    </w:p>
    <w:p>
      <w:pPr>
        <w:ind w:left="2400" w:hanging="470"/>
        <w:spacing w:after="0"/>
        <w:tabs>
          <w:tab w:leader="none" w:pos="24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Common Stock, the Fair Market Value will be determined in good faith by</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71335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ind w:left="10160"/>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6</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22</w:t>
      </w:r>
    </w:p>
    <w:p>
      <w:pPr>
        <w:spacing w:after="0" w:line="2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Notwithstanding the foregoing, for purposes of determining the fair market value of any Shares subject to the PSUs for any reason,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spacing w:after="0" w:line="178" w:lineRule="exact"/>
        <w:rPr>
          <w:sz w:val="20"/>
          <w:szCs w:val="20"/>
          <w:color w:val="auto"/>
        </w:rPr>
      </w:pPr>
    </w:p>
    <w:p>
      <w:pPr>
        <w:ind w:firstLine="1289"/>
        <w:spacing w:after="0" w:line="282" w:lineRule="auto"/>
        <w:tabs>
          <w:tab w:leader="none" w:pos="1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54" w:lineRule="exact"/>
        <w:rPr>
          <w:rFonts w:ascii="Times New Roman" w:cs="Times New Roman" w:eastAsia="Times New Roman" w:hAnsi="Times New Roman"/>
          <w:sz w:val="18"/>
          <w:szCs w:val="18"/>
          <w:color w:val="auto"/>
        </w:rPr>
      </w:pPr>
    </w:p>
    <w:p>
      <w:pPr>
        <w:ind w:left="1960" w:hanging="671"/>
        <w:spacing w:after="0"/>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means a “parent corporation,” whether now or hereafter existing, as defined in Section 424(e) of the Code.</w:t>
      </w:r>
    </w:p>
    <w:p>
      <w:pPr>
        <w:spacing w:after="0" w:line="220" w:lineRule="exact"/>
        <w:rPr>
          <w:rFonts w:ascii="Times New Roman" w:cs="Times New Roman" w:eastAsia="Times New Roman" w:hAnsi="Times New Roman"/>
          <w:sz w:val="18"/>
          <w:szCs w:val="18"/>
          <w:color w:val="auto"/>
        </w:rPr>
      </w:pPr>
    </w:p>
    <w:p>
      <w:pPr>
        <w:ind w:left="1960" w:hanging="671"/>
        <w:spacing w:after="0"/>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the person named in the Notice of Grant or such person’s successor.</w:t>
      </w:r>
    </w:p>
    <w:p>
      <w:pPr>
        <w:spacing w:after="0" w:line="220" w:lineRule="exact"/>
        <w:rPr>
          <w:rFonts w:ascii="Times New Roman" w:cs="Times New Roman" w:eastAsia="Times New Roman" w:hAnsi="Times New Roman"/>
          <w:sz w:val="18"/>
          <w:szCs w:val="18"/>
          <w:color w:val="auto"/>
        </w:rPr>
      </w:pPr>
    </w:p>
    <w:p>
      <w:pPr>
        <w:jc w:val="both"/>
        <w:ind w:firstLine="1289"/>
        <w:spacing w:after="0" w:line="265" w:lineRule="auto"/>
        <w:tabs>
          <w:tab w:leader="none" w:pos="19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Unit</w:t>
      </w:r>
      <w:r>
        <w:rPr>
          <w:rFonts w:ascii="Times New Roman" w:cs="Times New Roman" w:eastAsia="Times New Roman" w:hAnsi="Times New Roman"/>
          <w:sz w:val="18"/>
          <w:szCs w:val="18"/>
          <w:color w:val="auto"/>
        </w:rPr>
        <w:t>” means a bookkeeping entry representing an amount equal to the fair market value of one Share, which may be earned in whole or in part upon attainment of performance goals or other vesting criteria as the Administrator may determine. Each Performance Unit represents an unfunded and unsecured obligation of the Company.</w:t>
      </w:r>
    </w:p>
    <w:p>
      <w:pPr>
        <w:spacing w:after="0" w:line="169" w:lineRule="exact"/>
        <w:rPr>
          <w:rFonts w:ascii="Times New Roman" w:cs="Times New Roman" w:eastAsia="Times New Roman" w:hAnsi="Times New Roman"/>
          <w:sz w:val="18"/>
          <w:szCs w:val="18"/>
          <w:color w:val="auto"/>
        </w:rPr>
      </w:pPr>
    </w:p>
    <w:p>
      <w:pPr>
        <w:ind w:firstLine="1289"/>
        <w:spacing w:after="0" w:line="282" w:lineRule="auto"/>
        <w:tabs>
          <w:tab w:leader="none" w:pos="212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means Rule 16b-3 of the Exchange Act or any successor to Rule 16b-3, as in effect when discretion is being exercised with respect to the Award Agreement.</w:t>
      </w:r>
    </w:p>
    <w:p>
      <w:pPr>
        <w:spacing w:after="0" w:line="154" w:lineRule="exact"/>
        <w:rPr>
          <w:rFonts w:ascii="Times New Roman" w:cs="Times New Roman" w:eastAsia="Times New Roman" w:hAnsi="Times New Roman"/>
          <w:sz w:val="18"/>
          <w:szCs w:val="18"/>
          <w:color w:val="auto"/>
        </w:rPr>
      </w:pPr>
    </w:p>
    <w:p>
      <w:pPr>
        <w:ind w:right="20" w:firstLine="1289"/>
        <w:spacing w:after="0" w:line="282" w:lineRule="auto"/>
        <w:tabs>
          <w:tab w:leader="none" w:pos="194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Section 409A of the Code and the U.S. Treasury Regulations and guidance thereunder, and any applicable state law equivalent, as each may be promulgated, amended or modified from time to time.</w:t>
      </w:r>
    </w:p>
    <w:p>
      <w:pPr>
        <w:spacing w:after="0" w:line="154" w:lineRule="exact"/>
        <w:rPr>
          <w:rFonts w:ascii="Times New Roman" w:cs="Times New Roman" w:eastAsia="Times New Roman" w:hAnsi="Times New Roman"/>
          <w:sz w:val="18"/>
          <w:szCs w:val="18"/>
          <w:color w:val="auto"/>
        </w:rPr>
      </w:pPr>
    </w:p>
    <w:p>
      <w:pPr>
        <w:ind w:left="1940" w:hanging="651"/>
        <w:spacing w:after="0"/>
        <w:tabs>
          <w:tab w:leader="none" w:pos="1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U.S. Securities Act of 1933, as amended, including the rules and regulations promulgated thereunder.</w:t>
      </w:r>
    </w:p>
    <w:p>
      <w:pPr>
        <w:spacing w:after="0" w:line="231" w:lineRule="exact"/>
        <w:rPr>
          <w:rFonts w:ascii="Times New Roman" w:cs="Times New Roman" w:eastAsia="Times New Roman" w:hAnsi="Times New Roman"/>
          <w:sz w:val="17"/>
          <w:szCs w:val="17"/>
          <w:color w:val="auto"/>
        </w:rPr>
      </w:pPr>
    </w:p>
    <w:p>
      <w:pPr>
        <w:ind w:left="1940" w:hanging="651"/>
        <w:spacing w:after="0"/>
        <w:tabs>
          <w:tab w:leader="none" w:pos="1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 Provider</w:t>
      </w:r>
      <w:r>
        <w:rPr>
          <w:rFonts w:ascii="Times New Roman" w:cs="Times New Roman" w:eastAsia="Times New Roman" w:hAnsi="Times New Roman"/>
          <w:sz w:val="18"/>
          <w:szCs w:val="18"/>
          <w:color w:val="auto"/>
        </w:rPr>
        <w:t>” means an Employee, Director or Consultant.</w:t>
      </w:r>
    </w:p>
    <w:p>
      <w:pPr>
        <w:spacing w:after="0" w:line="220" w:lineRule="exact"/>
        <w:rPr>
          <w:rFonts w:ascii="Times New Roman" w:cs="Times New Roman" w:eastAsia="Times New Roman" w:hAnsi="Times New Roman"/>
          <w:sz w:val="18"/>
          <w:szCs w:val="18"/>
          <w:color w:val="auto"/>
        </w:rPr>
      </w:pPr>
    </w:p>
    <w:p>
      <w:pPr>
        <w:ind w:left="1940" w:hanging="651"/>
        <w:spacing w:after="0"/>
        <w:tabs>
          <w:tab w:leader="none" w:pos="1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a share of the Common Stock, as adjusted in accordance with Section 15.</w:t>
      </w:r>
    </w:p>
    <w:p>
      <w:pPr>
        <w:spacing w:after="0" w:line="183" w:lineRule="exact"/>
        <w:rPr>
          <w:rFonts w:ascii="Times New Roman" w:cs="Times New Roman" w:eastAsia="Times New Roman" w:hAnsi="Times New Roman"/>
          <w:sz w:val="18"/>
          <w:szCs w:val="18"/>
          <w:color w:val="auto"/>
        </w:rPr>
      </w:pPr>
    </w:p>
    <w:p>
      <w:pPr>
        <w:ind w:left="1940" w:hanging="651"/>
        <w:spacing w:after="0" w:line="207" w:lineRule="exact"/>
        <w:tabs>
          <w:tab w:leader="none" w:pos="1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 “subsidiary corporation,” whether now or hereafter exist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ing, as defined in Section 424(f) of the Code.</w:t>
      </w:r>
    </w:p>
    <w:p>
      <w:pPr>
        <w:spacing w:after="0" w:line="257" w:lineRule="exact"/>
        <w:rPr>
          <w:sz w:val="20"/>
          <w:szCs w:val="20"/>
          <w:color w:val="auto"/>
        </w:rPr>
      </w:pPr>
    </w:p>
    <w:p>
      <w:pPr>
        <w:ind w:firstLine="1289"/>
        <w:spacing w:after="0" w:line="282" w:lineRule="auto"/>
        <w:tabs>
          <w:tab w:leader="none" w:pos="202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54" w:lineRule="exact"/>
        <w:rPr>
          <w:rFonts w:ascii="Times New Roman" w:cs="Times New Roman" w:eastAsia="Times New Roman" w:hAnsi="Times New Roman"/>
          <w:sz w:val="18"/>
          <w:szCs w:val="18"/>
          <w:color w:val="auto"/>
        </w:rPr>
      </w:pPr>
    </w:p>
    <w:p>
      <w:pPr>
        <w:jc w:val="both"/>
        <w:ind w:firstLine="1289"/>
        <w:spacing w:after="0" w:line="265" w:lineRule="auto"/>
        <w:tabs>
          <w:tab w:leader="none" w:pos="18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Treasury Regulations</w:t>
      </w:r>
      <w:r>
        <w:rPr>
          <w:rFonts w:ascii="Times New Roman" w:cs="Times New Roman" w:eastAsia="Times New Roman" w:hAnsi="Times New Roman"/>
          <w:sz w:val="18"/>
          <w:szCs w:val="18"/>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155575</wp:posOffset>
            </wp:positionV>
            <wp:extent cx="71335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7</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22</w:t>
      </w:r>
    </w:p>
    <w:p>
      <w:pPr>
        <w:spacing w:after="0" w:line="226" w:lineRule="exact"/>
        <w:rPr>
          <w:sz w:val="20"/>
          <w:szCs w:val="20"/>
          <w:color w:val="auto"/>
        </w:rPr>
      </w:pPr>
    </w:p>
    <w:p>
      <w:pPr>
        <w:ind w:left="1320" w:hanging="672"/>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left="1940" w:hanging="651"/>
        <w:spacing w:after="0"/>
        <w:tabs>
          <w:tab w:leader="none" w:pos="19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firstLine="1930"/>
        <w:spacing w:after="0" w:line="277" w:lineRule="auto"/>
        <w:tabs>
          <w:tab w:leader="none" w:pos="243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63" w:lineRule="exact"/>
        <w:rPr>
          <w:rFonts w:ascii="Times New Roman" w:cs="Times New Roman" w:eastAsia="Times New Roman" w:hAnsi="Times New Roman"/>
          <w:sz w:val="18"/>
          <w:szCs w:val="18"/>
          <w:color w:val="auto"/>
        </w:rPr>
      </w:pPr>
    </w:p>
    <w:p>
      <w:pPr>
        <w:ind w:firstLine="1930"/>
        <w:spacing w:after="0" w:line="277" w:lineRule="auto"/>
        <w:tabs>
          <w:tab w:leader="none" w:pos="2346"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Administration</w:t>
      </w:r>
      <w:r>
        <w:rPr>
          <w:rFonts w:ascii="Times New Roman" w:cs="Times New Roman" w:eastAsia="Times New Roman" w:hAnsi="Times New Roman"/>
          <w:sz w:val="18"/>
          <w:szCs w:val="18"/>
          <w:color w:val="auto"/>
        </w:rPr>
        <w:t>. Other than as provided above, this Award Agreement will be administered by (A) the Board or (B) a Committee, which Committee will be constituted to comply with Applicable Laws.</w:t>
      </w:r>
    </w:p>
    <w:p>
      <w:pPr>
        <w:spacing w:after="0" w:line="163" w:lineRule="exact"/>
        <w:rPr>
          <w:rFonts w:ascii="Times New Roman" w:cs="Times New Roman" w:eastAsia="Times New Roman" w:hAnsi="Times New Roman"/>
          <w:sz w:val="18"/>
          <w:szCs w:val="18"/>
          <w:color w:val="auto"/>
        </w:rPr>
      </w:pPr>
    </w:p>
    <w:p>
      <w:pPr>
        <w:jc w:val="both"/>
        <w:ind w:firstLine="1930"/>
        <w:spacing w:after="0" w:line="262" w:lineRule="auto"/>
        <w:tabs>
          <w:tab w:leader="none" w:pos="2542"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 for Day-to-Day Administration</w:t>
      </w:r>
      <w:r>
        <w:rPr>
          <w:rFonts w:ascii="Times New Roman" w:cs="Times New Roman" w:eastAsia="Times New Roman" w:hAnsi="Times New Roman"/>
          <w:sz w:val="18"/>
          <w:szCs w:val="18"/>
          <w:color w:val="auto"/>
        </w:rPr>
        <w:t>. Except to the extent prohibited by Applicable Laws, the Administrator may delegate to one or more individuals the day-to-day administration of this Award Agreement and any of the functions assigned to it in this Award Agreement. Such delegation may be revoked at any time.</w:t>
      </w:r>
    </w:p>
    <w:p>
      <w:pPr>
        <w:spacing w:after="0" w:line="177" w:lineRule="exact"/>
        <w:rPr>
          <w:rFonts w:ascii="Times New Roman" w:cs="Times New Roman" w:eastAsia="Times New Roman" w:hAnsi="Times New Roman"/>
          <w:sz w:val="18"/>
          <w:szCs w:val="18"/>
          <w:color w:val="auto"/>
        </w:rPr>
      </w:pPr>
    </w:p>
    <w:p>
      <w:pPr>
        <w:ind w:firstLine="1289"/>
        <w:spacing w:after="0" w:line="277" w:lineRule="auto"/>
        <w:tabs>
          <w:tab w:leader="none" w:pos="201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the provisions of the Award Agreement, and in the case of a Committee, subject to the specific duties delegated by the Board to such Committee, the Administrator will have the authority, in its discretion:</w:t>
      </w:r>
    </w:p>
    <w:p>
      <w:pPr>
        <w:spacing w:after="0" w:line="163" w:lineRule="exact"/>
        <w:rPr>
          <w:rFonts w:ascii="Times New Roman" w:cs="Times New Roman" w:eastAsia="Times New Roman" w:hAnsi="Times New Roman"/>
          <w:sz w:val="18"/>
          <w:szCs w:val="18"/>
          <w:color w:val="auto"/>
        </w:rPr>
      </w:pPr>
    </w:p>
    <w:p>
      <w:pPr>
        <w:ind w:left="2280" w:hanging="350"/>
        <w:spacing w:after="0"/>
        <w:tabs>
          <w:tab w:leader="none" w:pos="228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w:t>
      </w:r>
    </w:p>
    <w:p>
      <w:pPr>
        <w:spacing w:after="0" w:line="220" w:lineRule="exact"/>
        <w:rPr>
          <w:rFonts w:ascii="Times New Roman" w:cs="Times New Roman" w:eastAsia="Times New Roman" w:hAnsi="Times New Roman"/>
          <w:sz w:val="18"/>
          <w:szCs w:val="18"/>
          <w:color w:val="auto"/>
        </w:rPr>
      </w:pPr>
    </w:p>
    <w:p>
      <w:pPr>
        <w:ind w:left="2320" w:hanging="390"/>
        <w:spacing w:after="0"/>
        <w:tabs>
          <w:tab w:leader="none" w:pos="232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Award and this Award Agreement;</w:t>
      </w:r>
    </w:p>
    <w:p>
      <w:pPr>
        <w:spacing w:after="0" w:line="220" w:lineRule="exact"/>
        <w:rPr>
          <w:rFonts w:ascii="Times New Roman" w:cs="Times New Roman" w:eastAsia="Times New Roman" w:hAnsi="Times New Roman"/>
          <w:sz w:val="18"/>
          <w:szCs w:val="18"/>
          <w:color w:val="auto"/>
        </w:rPr>
      </w:pPr>
    </w:p>
    <w:p>
      <w:pPr>
        <w:ind w:firstLine="1930"/>
        <w:spacing w:after="0" w:line="238" w:lineRule="exact"/>
        <w:tabs>
          <w:tab w:leader="none" w:pos="246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Award, including easing the administration of the Award and/or qualifying for favorable tax treatment under applicable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laws, in each case as the Administrator may deem necessary or advisable.</w:t>
      </w:r>
    </w:p>
    <w:p>
      <w:pPr>
        <w:spacing w:after="0" w:line="166" w:lineRule="exact"/>
        <w:rPr>
          <w:rFonts w:ascii="Times New Roman" w:cs="Times New Roman" w:eastAsia="Times New Roman" w:hAnsi="Times New Roman"/>
          <w:sz w:val="18"/>
          <w:szCs w:val="18"/>
          <w:color w:val="auto"/>
        </w:rPr>
      </w:pPr>
    </w:p>
    <w:p>
      <w:pPr>
        <w:ind w:left="2360" w:hanging="430"/>
        <w:spacing w:after="0"/>
        <w:tabs>
          <w:tab w:leader="none" w:pos="236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the Award;</w:t>
      </w:r>
    </w:p>
    <w:p>
      <w:pPr>
        <w:spacing w:after="0" w:line="220" w:lineRule="exact"/>
        <w:rPr>
          <w:rFonts w:ascii="Times New Roman" w:cs="Times New Roman" w:eastAsia="Times New Roman" w:hAnsi="Times New Roman"/>
          <w:sz w:val="18"/>
          <w:szCs w:val="18"/>
          <w:color w:val="auto"/>
        </w:rPr>
      </w:pPr>
    </w:p>
    <w:p>
      <w:pPr>
        <w:ind w:left="2320" w:hanging="390"/>
        <w:spacing w:after="0"/>
        <w:tabs>
          <w:tab w:leader="none" w:pos="232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the Award will be settled in Shares, cash or in any combination thereof; and</w:t>
      </w:r>
    </w:p>
    <w:p>
      <w:pPr>
        <w:spacing w:after="0" w:line="220" w:lineRule="exact"/>
        <w:rPr>
          <w:rFonts w:ascii="Times New Roman" w:cs="Times New Roman" w:eastAsia="Times New Roman" w:hAnsi="Times New Roman"/>
          <w:sz w:val="18"/>
          <w:szCs w:val="18"/>
          <w:color w:val="auto"/>
        </w:rPr>
      </w:pPr>
    </w:p>
    <w:p>
      <w:pPr>
        <w:ind w:left="2360" w:hanging="430"/>
        <w:spacing w:after="0"/>
        <w:tabs>
          <w:tab w:leader="none" w:pos="236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administering the Award and the Award Agreement.</w:t>
      </w:r>
    </w:p>
    <w:p>
      <w:pPr>
        <w:spacing w:after="0" w:line="220" w:lineRule="exact"/>
        <w:rPr>
          <w:rFonts w:ascii="Times New Roman" w:cs="Times New Roman" w:eastAsia="Times New Roman" w:hAnsi="Times New Roman"/>
          <w:sz w:val="18"/>
          <w:szCs w:val="18"/>
          <w:color w:val="auto"/>
        </w:rPr>
      </w:pPr>
    </w:p>
    <w:p>
      <w:pPr>
        <w:ind w:firstLine="1289"/>
        <w:spacing w:after="0" w:line="277" w:lineRule="auto"/>
        <w:tabs>
          <w:tab w:leader="none" w:pos="199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Administrator’s Decisions</w:t>
      </w:r>
      <w:r>
        <w:rPr>
          <w:rFonts w:ascii="Times New Roman" w:cs="Times New Roman" w:eastAsia="Times New Roman" w:hAnsi="Times New Roman"/>
          <w:sz w:val="18"/>
          <w:szCs w:val="18"/>
          <w:color w:val="auto"/>
        </w:rPr>
        <w:t>. The Administrator’s decisions, determinations, and interpretations will be final and binding on Participant and will be given the maximum deference permitted by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149225</wp:posOffset>
            </wp:positionV>
            <wp:extent cx="71335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8</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22</w:t>
      </w:r>
    </w:p>
    <w:p>
      <w:pPr>
        <w:spacing w:after="0" w:line="222" w:lineRule="exact"/>
        <w:rPr>
          <w:sz w:val="20"/>
          <w:szCs w:val="20"/>
          <w:color w:val="auto"/>
        </w:rPr>
      </w:pPr>
    </w:p>
    <w:p>
      <w:pPr>
        <w:jc w:val="both"/>
        <w:ind w:firstLine="648"/>
        <w:spacing w:after="0" w:line="265" w:lineRule="auto"/>
        <w:tabs>
          <w:tab w:leader="none" w:pos="12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Performance Units</w:t>
      </w:r>
      <w:r>
        <w:rPr>
          <w:rFonts w:ascii="Times New Roman" w:cs="Times New Roman" w:eastAsia="Times New Roman" w:hAnsi="Times New Roman"/>
          <w:sz w:val="18"/>
          <w:szCs w:val="18"/>
          <w:color w:val="auto"/>
        </w:rPr>
        <w:t>. The Company hereby grants to the individual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named in the Notice of Performance Unit Grant of this Award Agreement (the “</w:t>
      </w:r>
      <w:r>
        <w:rPr>
          <w:rFonts w:ascii="Times New Roman" w:cs="Times New Roman" w:eastAsia="Times New Roman" w:hAnsi="Times New Roman"/>
          <w:sz w:val="18"/>
          <w:szCs w:val="18"/>
          <w:b w:val="1"/>
          <w:bCs w:val="1"/>
          <w:color w:val="auto"/>
        </w:rPr>
        <w:t>Notice of Grant</w:t>
      </w:r>
      <w:r>
        <w:rPr>
          <w:rFonts w:ascii="Times New Roman" w:cs="Times New Roman" w:eastAsia="Times New Roman" w:hAnsi="Times New Roman"/>
          <w:sz w:val="18"/>
          <w:szCs w:val="18"/>
          <w:color w:val="auto"/>
        </w:rPr>
        <w:t>”) an Award of Performance Units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subject to the terms and conditions of this Award Agreement. The Award is intended to qualify as an employment inducement grant under Nasdaq Listing Rule 5635(c)(4).</w:t>
      </w:r>
    </w:p>
    <w:p>
      <w:pPr>
        <w:spacing w:after="0" w:line="173" w:lineRule="exact"/>
        <w:rPr>
          <w:rFonts w:ascii="Times New Roman" w:cs="Times New Roman" w:eastAsia="Times New Roman" w:hAnsi="Times New Roman"/>
          <w:sz w:val="18"/>
          <w:szCs w:val="18"/>
          <w:color w:val="auto"/>
        </w:rPr>
      </w:pPr>
    </w:p>
    <w:p>
      <w:pPr>
        <w:jc w:val="both"/>
        <w:ind w:firstLine="648"/>
        <w:spacing w:after="0" w:line="262" w:lineRule="auto"/>
        <w:tabs>
          <w:tab w:leader="none" w:pos="13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Pay</w:t>
      </w:r>
      <w:r>
        <w:rPr>
          <w:rFonts w:ascii="Times New Roman" w:cs="Times New Roman" w:eastAsia="Times New Roman" w:hAnsi="Times New Roman"/>
          <w:sz w:val="18"/>
          <w:szCs w:val="18"/>
          <w:color w:val="auto"/>
        </w:rPr>
        <w:t>. Each PSU represents the right to receive a Share on the date it vests. Unless and until the PSUs will have vested in the manner set forth in Sections 5 or 6, Participant will have no right to payment of any such PSUs. Prior to actual payment of any vested PSUs, such PSU will represent an unsecured obligation of the Company, payable (if at all) only from the general assets of the Company.</w:t>
      </w:r>
    </w:p>
    <w:p>
      <w:pPr>
        <w:spacing w:after="0" w:line="177" w:lineRule="exact"/>
        <w:rPr>
          <w:rFonts w:ascii="Times New Roman" w:cs="Times New Roman" w:eastAsia="Times New Roman" w:hAnsi="Times New Roman"/>
          <w:sz w:val="18"/>
          <w:szCs w:val="18"/>
          <w:color w:val="auto"/>
        </w:rPr>
      </w:pPr>
    </w:p>
    <w:p>
      <w:pPr>
        <w:jc w:val="both"/>
        <w:ind w:firstLine="648"/>
        <w:spacing w:after="0" w:line="253" w:lineRule="auto"/>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provided in Section 6, and subject to Section 9, the PSUs awarded by this Award Agreement will vest in accordance with the vesting provisions set forth in the Notice of Grant. Unless specifically provided otherwise in this Award Agreement or other written agreement authorized by the Administrator between Participant and the Company or any Parent, Subsidiary or Affiliate of the Company, as applicable, governing the terms of this Award, PSUs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spacing w:after="0" w:line="186" w:lineRule="exact"/>
        <w:rPr>
          <w:rFonts w:ascii="Times New Roman" w:cs="Times New Roman" w:eastAsia="Times New Roman" w:hAnsi="Times New Roman"/>
          <w:sz w:val="18"/>
          <w:szCs w:val="18"/>
          <w:color w:val="auto"/>
        </w:rPr>
      </w:pPr>
    </w:p>
    <w:p>
      <w:pPr>
        <w:ind w:left="1280" w:hanging="632"/>
        <w:spacing w:after="0"/>
        <w:tabs>
          <w:tab w:leader="none" w:pos="1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After Vesting</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jc w:val="both"/>
        <w:ind w:firstLine="1289"/>
        <w:spacing w:after="0" w:line="251" w:lineRule="auto"/>
        <w:tabs>
          <w:tab w:leader="none" w:pos="189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Rule</w:t>
      </w:r>
      <w:r>
        <w:rPr>
          <w:rFonts w:ascii="Times New Roman" w:cs="Times New Roman" w:eastAsia="Times New Roman" w:hAnsi="Times New Roman"/>
          <w:sz w:val="18"/>
          <w:szCs w:val="18"/>
          <w:color w:val="auto"/>
        </w:rPr>
        <w:t>. Subject to Sections 6(c) and 11, any PSUs that vest will be paid to Participant (or in the event of Participant’s death, to Participant’s properly designated beneficiary or estate) in whole Shares no later than seventy-four (74) days following the vesting date applicable to such PSUs (the “</w:t>
      </w:r>
      <w:r>
        <w:rPr>
          <w:rFonts w:ascii="Times New Roman" w:cs="Times New Roman" w:eastAsia="Times New Roman" w:hAnsi="Times New Roman"/>
          <w:sz w:val="18"/>
          <w:szCs w:val="18"/>
          <w:b w:val="1"/>
          <w:bCs w:val="1"/>
          <w:color w:val="auto"/>
        </w:rPr>
        <w:t>Settlement Deadline Date</w:t>
      </w:r>
      <w:r>
        <w:rPr>
          <w:rFonts w:ascii="Times New Roman" w:cs="Times New Roman" w:eastAsia="Times New Roman" w:hAnsi="Times New Roman"/>
          <w:sz w:val="18"/>
          <w:szCs w:val="18"/>
          <w:color w:val="auto"/>
        </w:rPr>
        <w:t>”). Except as may be required by the provisions of Section 6(c), no PSU will be settled after the Settlement Deadline Date applicable to it. If any PSU has not met all the requirements for settlement under this Award Agreement in a manner that would allow it to be settled by the applicable Settlement Deadline Date (or, if applicable, such other date required by Section 6(c)), such PSU will be forfeited as of immediately following the applicable Settlement Deadline Date (or such other date required by Section 6(c), as applicable). In no event will Participant be permitted, directly or indirectly, to specify the taxable year of payment of any PSUs payable under this Award Agreement. For clarity, there may be multiple Settlement Deadline Dates, each corresponding to a particular PSU. Further for clarity, to the extent the Employment Agreement specifically provides for different payment timing upon the occurrence of specified events described therein, such payment terms under the Employment Agreement will apply (subject to any delay required by Section 16(c) of the Employment Agreement).</w:t>
      </w:r>
    </w:p>
    <w:p>
      <w:pPr>
        <w:spacing w:after="0" w:line="186" w:lineRule="exact"/>
        <w:rPr>
          <w:rFonts w:ascii="Times New Roman" w:cs="Times New Roman" w:eastAsia="Times New Roman" w:hAnsi="Times New Roman"/>
          <w:sz w:val="18"/>
          <w:szCs w:val="18"/>
          <w:color w:val="auto"/>
        </w:rPr>
      </w:pPr>
    </w:p>
    <w:p>
      <w:pPr>
        <w:jc w:val="both"/>
        <w:ind w:firstLine="1289"/>
        <w:spacing w:after="0" w:line="262" w:lineRule="auto"/>
        <w:tabs>
          <w:tab w:leader="none" w:pos="191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Discretion</w:t>
      </w:r>
      <w:r>
        <w:rPr>
          <w:rFonts w:ascii="Times New Roman" w:cs="Times New Roman" w:eastAsia="Times New Roman" w:hAnsi="Times New Roman"/>
          <w:sz w:val="18"/>
          <w:szCs w:val="18"/>
          <w:color w:val="auto"/>
        </w:rPr>
        <w:t>. The Administrator, in its discretion, may accelerate the vesting of the balance, or some lesser portion of the balance, of the unvested PSUs at any time, subject to the terms of the Award Agreement. If so accelerated, such PSUs will be considered as having vested as of the date specified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71335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9</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22</w:t>
      </w:r>
    </w:p>
    <w:p>
      <w:pPr>
        <w:spacing w:after="0" w:line="226" w:lineRule="exact"/>
        <w:rPr>
          <w:sz w:val="20"/>
          <w:szCs w:val="20"/>
          <w:color w:val="auto"/>
        </w:rPr>
      </w:pPr>
    </w:p>
    <w:p>
      <w:pPr>
        <w:ind w:left="1940" w:hanging="651"/>
        <w:spacing w:after="0"/>
        <w:tabs>
          <w:tab w:leader="none" w:pos="1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 Section 6(c) will apply to Participant to the extent Participant is a U.S. taxpayer.</w:t>
      </w:r>
    </w:p>
    <w:p>
      <w:pPr>
        <w:spacing w:after="0" w:line="220" w:lineRule="exact"/>
        <w:rPr>
          <w:rFonts w:ascii="Times New Roman" w:cs="Times New Roman" w:eastAsia="Times New Roman" w:hAnsi="Times New Roman"/>
          <w:sz w:val="18"/>
          <w:szCs w:val="18"/>
          <w:color w:val="auto"/>
        </w:rPr>
      </w:pPr>
    </w:p>
    <w:p>
      <w:pPr>
        <w:jc w:val="both"/>
        <w:ind w:firstLine="1930"/>
        <w:spacing w:after="0" w:line="262" w:lineRule="auto"/>
        <w:tabs>
          <w:tab w:leader="none" w:pos="232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Shares vesting pursuant to this Award Agreement (including any discretionary acceleration under Section 6(b)) shall in all cases be paid at a time and in a manner that is intended to be exempt from, or comply with, Section 409A. The prior sentence may be superseded in a future agreement or amendment to this Award Agreement only by direct and specific reference to such sentence.</w:t>
      </w:r>
    </w:p>
    <w:p>
      <w:pPr>
        <w:spacing w:after="0" w:line="177" w:lineRule="exact"/>
        <w:rPr>
          <w:rFonts w:ascii="Times New Roman" w:cs="Times New Roman" w:eastAsia="Times New Roman" w:hAnsi="Times New Roman"/>
          <w:sz w:val="18"/>
          <w:szCs w:val="18"/>
          <w:color w:val="auto"/>
        </w:rPr>
      </w:pPr>
    </w:p>
    <w:p>
      <w:pPr>
        <w:jc w:val="both"/>
        <w:ind w:firstLine="1930"/>
        <w:spacing w:after="0" w:line="215" w:lineRule="exact"/>
        <w:tabs>
          <w:tab w:leader="none" w:pos="238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PSUs under this Award Agreement that are considered deferred compensation within the meaning of Section 409A (“</w:t>
      </w:r>
      <w:r>
        <w:rPr>
          <w:rFonts w:ascii="Times New Roman" w:cs="Times New Roman" w:eastAsia="Times New Roman" w:hAnsi="Times New Roman"/>
          <w:sz w:val="18"/>
          <w:szCs w:val="18"/>
          <w:b w:val="1"/>
          <w:bCs w:val="1"/>
          <w:color w:val="auto"/>
        </w:rPr>
        <w:t>Deferred Payments</w:t>
      </w:r>
      <w:r>
        <w:rPr>
          <w:rFonts w:ascii="Times New Roman" w:cs="Times New Roman" w:eastAsia="Times New Roman" w:hAnsi="Times New Roman"/>
          <w:sz w:val="18"/>
          <w:szCs w:val="18"/>
          <w:color w:val="auto"/>
        </w:rPr>
        <w:t>”) that otherwise are intended to be paid, pursuant to subsection (i), (ii) or (v) of Code Section 409A(a)(2)(A), upon the occurrence of a merger of the Company with or into another corporation or other entity, a Change in Control, or Participant’s disability or termination from employment or other service (whether pursuant to the vesting criteria set forth in the Notice of Grant or a written agreement authorized by the Administrator between Participant and the Company or any of its Parents or Subsidiaries, as applicable), will not be payable upon such event unless and until the circumstances giving rise to such merger, Change in Control, disability, or termination constitutes a change in control event, disability, or separation from service, as applicable, within the meaning of Section 409A (a “</w:t>
      </w:r>
      <w:r>
        <w:rPr>
          <w:rFonts w:ascii="Times New Roman" w:cs="Times New Roman" w:eastAsia="Times New Roman" w:hAnsi="Times New Roman"/>
          <w:sz w:val="18"/>
          <w:szCs w:val="18"/>
          <w:b w:val="1"/>
          <w:bCs w:val="1"/>
          <w:color w:val="auto"/>
        </w:rPr>
        <w:t>409A-Conforming Event</w:t>
      </w:r>
      <w:r>
        <w:rPr>
          <w:rFonts w:ascii="Times New Roman" w:cs="Times New Roman" w:eastAsia="Times New Roman" w:hAnsi="Times New Roman"/>
          <w:sz w:val="18"/>
          <w:szCs w:val="18"/>
          <w:color w:val="auto"/>
        </w:rPr>
        <w:t>”), and to the extent such payment will not be subject to the additional tax imposed under Section 409A. In the event that the immediately preceding sentence prevents the payment of any Deferred Payments, then such Deferred Payments will be paid at the time and in the form that would have applied absent such event that fails to constitute a 409A-Conforming Event. For clarity, this Section 6(c) does not affect the value or dollar amount payable, or prohibit the vesting of Deferred Payments, including without limitation in connection with a merger of the Company with or into another corporation or other entity, a Change in Control, Participant’s disability or termination, or pursuant to Section 6(b) above. If the PSUs otherwise would be exempt from Section 409A pursuant to U.S.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1(b)(9), any such PSUs that vest in connection with the termination of Participant’s employment (or other service, as applicable) will not be payable until Participant has a separation from service within the meaning of Section 409A. Except as otherwise provided in a written agreement between the Company and Participant authorized by the Administrator providing for payment in compliance with U.S.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3(b) (in which case, for clarity, such provisions shall govern), PSUs that become payable by reason of the occurrence of a 409A-Conforming Event will be settled no later than seventy four (74) days following the applicable 409A-Conforming Event, subject to the following under this subsection (ii). Notwithstanding any provisions to the contrary in this Award Agreement or any other agreement (whether entered into before, on or after the Date of Grant), if any Deferred Payments become payable upon a separation from service within the meaning of Section 409A, other than due to Participant’s death, and if (x) Participant is a “specified employee” within the meaning of Section 409A at the time of such separation from service and (y) the payment of such Deferred Payments will result in the imposition of additional tax under Section 409A if paid to Participant within the six (6) month period following the separation from service, then the payment of such Deferred Payments will not be made until the date six (6) months and one (1) day following the date of Participant’s separation from service, unless Participant dies following such separation, in which case, the Deferred Payments will be paid to Participant’s estate as soon as practicable following Participant’s death. To the extent that Participant is not a “specified employee” but Participant’s separation from service occurs at a time during the year whereby the deadline date for any separation agreement and release of claims (or similar agreement or release) to become effective and irrevocable will occur in the year immediately following the year in which the separation from service occurs, then any Deferred Payments that otherwise would be payable prior to such deadline date will be paid without applying the delay set forth in the immediately preceding sentence, but will be paid in the year immediately following the year in which the separation from service occurs. Subject to compliance with the applicable requirements under Section 409A, the Administrator in its sole discretion will be permitted to make any accelerated payment of Deferred Payments pursuant to U.S.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3(j)(4).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161925</wp:posOffset>
            </wp:positionV>
            <wp:extent cx="71335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10</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22</w:t>
      </w:r>
    </w:p>
    <w:p>
      <w:pPr>
        <w:spacing w:after="0" w:line="226" w:lineRule="exact"/>
        <w:rPr>
          <w:sz w:val="20"/>
          <w:szCs w:val="20"/>
          <w:color w:val="auto"/>
        </w:rPr>
      </w:pPr>
    </w:p>
    <w:p>
      <w:pPr>
        <w:jc w:val="both"/>
        <w:ind w:firstLine="1930"/>
        <w:spacing w:after="0" w:line="216" w:lineRule="exact"/>
        <w:tabs>
          <w:tab w:leader="none" w:pos="239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 of this Award Agreement that it and all payments and benefits to U.S. taxpayers hereunder be exempt from, or comply with, the requirements of Section 409A so that none of the PSUs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U.S.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2(b)(2). To the extent necessary to comply with Section 409A, references to termination of Participant’s status as an employee, termination of employment, or similar phrases will be references to Participant’s “separation from service” within the meaning of Section 409A. In no event will the Company, any Service Recipient (as defined below) or any Parent, Subsidiary, or Affiliate of the Company have any responsibility, liability, or obligation to reimburse, indemnify, or hold harmless Participant (or any other person) for any taxes, penalties and interest that may be imposed, or other costs that may be incurred, as a result of Section 409A.</w:t>
      </w:r>
    </w:p>
    <w:p>
      <w:pPr>
        <w:spacing w:after="0" w:line="196" w:lineRule="exact"/>
        <w:rPr>
          <w:rFonts w:ascii="Times New Roman" w:cs="Times New Roman" w:eastAsia="Times New Roman" w:hAnsi="Times New Roman"/>
          <w:sz w:val="18"/>
          <w:szCs w:val="18"/>
          <w:color w:val="auto"/>
        </w:rPr>
      </w:pPr>
    </w:p>
    <w:p>
      <w:pPr>
        <w:jc w:val="both"/>
        <w:ind w:firstLine="648"/>
        <w:spacing w:after="0" w:line="255" w:lineRule="auto"/>
        <w:tabs>
          <w:tab w:leader="none" w:pos="12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With respect to this Award, until the Shares are issued (as evidenced by the appropriate entry on the books of the Company or a duly authorized transfer agent of the Company), no right to receive dividends or any other rights as a stockholder will exist with respect to the Shares subject to this Award, unless determined otherwise by the Administrator; provided, however, that any such dividends or distributions that the Administrator determines will be payable with respect to such Shares will be subject to the same vesting criteria and forfeitability provisions as the Shares subject to this Award.</w:t>
      </w:r>
    </w:p>
    <w:p>
      <w:pPr>
        <w:spacing w:after="0" w:line="182" w:lineRule="exact"/>
        <w:rPr>
          <w:rFonts w:ascii="Times New Roman" w:cs="Times New Roman" w:eastAsia="Times New Roman" w:hAnsi="Times New Roman"/>
          <w:sz w:val="18"/>
          <w:szCs w:val="18"/>
          <w:color w:val="auto"/>
        </w:rPr>
      </w:pPr>
    </w:p>
    <w:p>
      <w:pPr>
        <w:jc w:val="both"/>
        <w:ind w:firstLine="648"/>
        <w:spacing w:after="0" w:line="285" w:lineRule="auto"/>
        <w:tabs>
          <w:tab w:leader="none" w:pos="1233"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Leaves of Absence/Transfer Between Locations</w:t>
      </w:r>
      <w:r>
        <w:rPr>
          <w:rFonts w:ascii="Times New Roman" w:cs="Times New Roman" w:eastAsia="Times New Roman" w:hAnsi="Times New Roman"/>
          <w:sz w:val="17"/>
          <w:szCs w:val="17"/>
          <w:color w:val="auto"/>
        </w:rPr>
        <w:t>. Unless the Administrator provides otherwise or as otherwise required by Applicable Laws, vesting of the Award will be suspended during any unpaid leave of absence. Participant will not cease to be an Employee in the case of (a) any leave of absence approved by the Company or (b) transfers between locations of, or between, the Company or any Subsidiary, Parent or Affiliate of the Company.</w:t>
      </w:r>
    </w:p>
    <w:p>
      <w:pPr>
        <w:spacing w:after="0" w:line="158" w:lineRule="exact"/>
        <w:rPr>
          <w:rFonts w:ascii="Times New Roman" w:cs="Times New Roman" w:eastAsia="Times New Roman" w:hAnsi="Times New Roman"/>
          <w:sz w:val="17"/>
          <w:szCs w:val="17"/>
          <w:color w:val="auto"/>
        </w:rPr>
      </w:pPr>
    </w:p>
    <w:p>
      <w:pPr>
        <w:jc w:val="both"/>
        <w:ind w:firstLine="648"/>
        <w:spacing w:after="0" w:line="277" w:lineRule="auto"/>
        <w:tabs>
          <w:tab w:leader="none" w:pos="1411"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Forfeiture Upon Termination of Status as a Service Provider</w:t>
      </w:r>
      <w:r>
        <w:rPr>
          <w:rFonts w:ascii="Times New Roman" w:cs="Times New Roman" w:eastAsia="Times New Roman" w:hAnsi="Times New Roman"/>
          <w:sz w:val="17"/>
          <w:szCs w:val="17"/>
          <w:color w:val="auto"/>
        </w:rPr>
        <w:t>. Unless specifically provided otherwise in this Award Agreement or other written agreement authorized by the Administrator between Participant and the Company or any of its Subsidiaries or Parents, as applicable, governing the terms of this Award, if Participant ceases to be a Service Provider for any reason, the then-unvested PSUs awarded by this Award Agreement will thereupon be forfeited at no cost to the Company upon the date of such cessation and Participant will have no further rights to such PSUs or the Shares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71335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11</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22</w:t>
      </w:r>
    </w:p>
    <w:p>
      <w:pPr>
        <w:spacing w:after="0" w:line="226" w:lineRule="exact"/>
        <w:rPr>
          <w:sz w:val="20"/>
          <w:szCs w:val="20"/>
          <w:color w:val="auto"/>
        </w:rPr>
      </w:pPr>
    </w:p>
    <w:p>
      <w:pPr>
        <w:jc w:val="both"/>
        <w:ind w:firstLine="648"/>
        <w:spacing w:after="0" w:line="257"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Any distribution or delivery to be made to Participant under this Award Agreement, if Participant is then deceased, will be made to Participant’s designated beneficiary, or if no beneficiary survives Participant, the administrator or executor of Participant’s estate. Any such transferee must furnish the Company with (a) written notice of such transferee’s status as transferee, and (b) evidence satisfactory to the Company to establish the validity of the transfer and compliance with any laws or regulations pertaining to said transfer.</w:t>
      </w:r>
    </w:p>
    <w:p>
      <w:pPr>
        <w:spacing w:after="0" w:line="182" w:lineRule="exact"/>
        <w:rPr>
          <w:rFonts w:ascii="Times New Roman" w:cs="Times New Roman" w:eastAsia="Times New Roman" w:hAnsi="Times New Roman"/>
          <w:sz w:val="18"/>
          <w:szCs w:val="18"/>
          <w:color w:val="auto"/>
        </w:rPr>
      </w:pPr>
    </w:p>
    <w:p>
      <w:pPr>
        <w:ind w:left="1260" w:hanging="612"/>
        <w:spacing w:after="0"/>
        <w:tabs>
          <w:tab w:leader="none" w:pos="1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jc w:val="both"/>
        <w:ind w:firstLine="1289"/>
        <w:spacing w:after="0" w:line="251" w:lineRule="auto"/>
        <w:tabs>
          <w:tab w:leader="none" w:pos="204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Requirements</w:t>
      </w:r>
      <w:r>
        <w:rPr>
          <w:rFonts w:ascii="Times New Roman" w:cs="Times New Roman" w:eastAsia="Times New Roman" w:hAnsi="Times New Roman"/>
          <w:sz w:val="18"/>
          <w:szCs w:val="18"/>
          <w:color w:val="auto"/>
        </w:rPr>
        <w:t>. Prior to the delivery of any Shares or cash pursuant to the Award or such earlier time as any tax withholdings are due, the Company (or any of its Parents, Subsidiaries or other affiliates employing or retaining the services of Participant, as applicable) will have the power and the right to deduct or withhold, or require Participant to remit to the Company (or any of its Parents, Subsidiaries, or other affiliates, as applicable) or a relevant tax authority, an amount sufficient to satisfy U.S. federal, state, local, non-U.S. and other taxes (including Participant’s FICA or other social insurance contribution obligation) required to be withheld or paid with respect to the Award. The amount of the withholding obligation will be deemed to include any amount that the Administrator agrees may be withheld at the time the election is made, not to exceed the amount determined by using the maximum U.S. federal, state or local rates applicable to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86" w:lineRule="exact"/>
        <w:rPr>
          <w:rFonts w:ascii="Times New Roman" w:cs="Times New Roman" w:eastAsia="Times New Roman" w:hAnsi="Times New Roman"/>
          <w:sz w:val="18"/>
          <w:szCs w:val="18"/>
          <w:color w:val="auto"/>
        </w:rPr>
      </w:pPr>
    </w:p>
    <w:p>
      <w:pPr>
        <w:jc w:val="both"/>
        <w:ind w:firstLine="1289"/>
        <w:spacing w:after="0" w:line="249" w:lineRule="auto"/>
        <w:tabs>
          <w:tab w:leader="none" w:pos="21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Responsibility for Taxes</w:t>
      </w:r>
      <w:r>
        <w:rPr>
          <w:rFonts w:ascii="Times New Roman" w:cs="Times New Roman" w:eastAsia="Times New Roman" w:hAnsi="Times New Roman"/>
          <w:sz w:val="18"/>
          <w:szCs w:val="18"/>
          <w:color w:val="auto"/>
        </w:rPr>
        <w:t>. Participant acknowledges that, regardless of any action taken by the Company or, if different, Participant’s employer or any Parent, Subsidiary, or Affiliate of the Company to which Participant is providing services (together, the “Service Recipient(s)”), the ultimate liability for any tax and social insurance liability obligations and requirements in connection with the PSUs, including, without limitation, (i) all federal, national, state, non-U.S. and local taxes (including Participant’s U.S. Federal Insurance Contributions Act (FICA) obligations and social liability insurance obligations) that are required to be withheld by any Service Recipient or other payment of tax-related items related to Participant’s participation in this Award Agreement and legally applicable to Participant, (ii) Participant’s and, to the extent required by any Service Recipient, the Service Recipient’s fringe benefit tax liability, if any, associated with the grant, vesting, or settlement of the PSUs or sale of Shares, and (iii) any other Service Recipient taxes the responsibility for which Participant has, or has agreed to bear, with respect to the PSUs (or the vesting or settlement thereof or issuance of Shares thereunder) (collectively, the “</w:t>
      </w:r>
      <w:r>
        <w:rPr>
          <w:rFonts w:ascii="Times New Roman" w:cs="Times New Roman" w:eastAsia="Times New Roman" w:hAnsi="Times New Roman"/>
          <w:sz w:val="18"/>
          <w:szCs w:val="18"/>
          <w:b w:val="1"/>
          <w:bCs w:val="1"/>
          <w:color w:val="auto"/>
        </w:rPr>
        <w:t>Tax Obligations</w:t>
      </w:r>
      <w:r>
        <w:rPr>
          <w:rFonts w:ascii="Times New Roman" w:cs="Times New Roman" w:eastAsia="Times New Roman" w:hAnsi="Times New Roman"/>
          <w:sz w:val="18"/>
          <w:szCs w:val="18"/>
          <w:color w:val="auto"/>
        </w:rPr>
        <w:t>”), are and remain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PSUs, including, but not limited to, the grant, vesting or settlement of the PSUs, the subsequent sale of Shares acquired pursuant to such settlement and the receipt of any dividends, dividend equivalents, or other distributions, or (B) makes any commitment to and is under any obligation to structure the terms of the grant or any aspect of the PSUs to reduce or eliminate Participant’s liability for Tax Obligations or achieve any particular tax result. Further, if Participant is subject to Tax Obligations in more than one jurisdiction, Participant acknowledges that the applicable Service Recipient(s) (or former Service Recipient(s), as applicable) may be required to withhold or account for Withholding Obligations (as defined below) in more than one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170815</wp:posOffset>
            </wp:positionV>
            <wp:extent cx="71335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12</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22</w:t>
      </w:r>
    </w:p>
    <w:p>
      <w:pPr>
        <w:spacing w:after="0" w:line="226" w:lineRule="exact"/>
        <w:rPr>
          <w:sz w:val="20"/>
          <w:szCs w:val="20"/>
          <w:color w:val="auto"/>
        </w:rPr>
      </w:pPr>
    </w:p>
    <w:p>
      <w:pPr>
        <w:jc w:val="both"/>
        <w:ind w:firstLine="1289"/>
        <w:spacing w:after="0" w:line="248" w:lineRule="auto"/>
        <w:tabs>
          <w:tab w:leader="none" w:pos="212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Pursuant to such procedures as the Administrator may specify from time to time, the applicable Service Recipient(s) (or former Service Recipient(s)) will withhold the amount required to be withheld for the payment of Tax Obligations (the “</w:t>
      </w:r>
      <w:r>
        <w:rPr>
          <w:rFonts w:ascii="Times New Roman" w:cs="Times New Roman" w:eastAsia="Times New Roman" w:hAnsi="Times New Roman"/>
          <w:sz w:val="18"/>
          <w:szCs w:val="18"/>
          <w:b w:val="1"/>
          <w:bCs w:val="1"/>
          <w:color w:val="auto"/>
        </w:rPr>
        <w:t>Withholding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which, to the extent permitted under this Award Agreement, may, in the discretion of the Administrator, be in excess of the minimum statutory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amount to be withheld, upon each date with respect to which the Administrator determines Withholding Obligations are due, including but not limited to, at grant, vesting, settlement or any other date with respect to which Withholding Obligations arise. The Administrator, in its sole discretion and pursuant to such procedures as it may specify from time to time, may permit or require Participant to satisfy such Withholding Obligations, in whole or in part (without limitation), if permissible by Applicable Laws, by one or a combination of the following: (i) paying cash, (ii) having the Company withhold otherwise deliverable Shares having a fair market value equal to the minimum amount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18"/>
          <w:szCs w:val="18"/>
          <w:b w:val="1"/>
          <w:bCs w:val="1"/>
          <w:color w:val="auto"/>
        </w:rPr>
        <w:t>Net Share Withholding</w:t>
      </w:r>
      <w:r>
        <w:rPr>
          <w:rFonts w:ascii="Times New Roman" w:cs="Times New Roman" w:eastAsia="Times New Roman" w:hAnsi="Times New Roman"/>
          <w:sz w:val="18"/>
          <w:szCs w:val="18"/>
          <w:color w:val="auto"/>
        </w:rPr>
        <w:t>”), (iii) withholding the amount of such Withholding Obligations from Participant’s wages or other cash compensation paid to Participant by the applicable Service Recipient(s) (or former Service Recipient(s)), (iv) delivering to the Company Shares that Participant owns and that already have vested with a fair market value equal to the Withholding Obligations (or such greater amount if permitted by the Administrator, 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 necessary to meet the withholding requirement for such Withholding Obligations (or such greater amount as Participant may elect or the Company may require, if permitted by the Administrator and if such greater amount would not result in adverse financial accounting consequences) (“</w:t>
      </w:r>
      <w:r>
        <w:rPr>
          <w:rFonts w:ascii="Times New Roman" w:cs="Times New Roman" w:eastAsia="Times New Roman" w:hAnsi="Times New Roman"/>
          <w:sz w:val="18"/>
          <w:szCs w:val="18"/>
          <w:b w:val="1"/>
          <w:bCs w:val="1"/>
          <w:color w:val="auto"/>
        </w:rPr>
        <w:t>Sell to Cover</w:t>
      </w:r>
      <w:r>
        <w:rPr>
          <w:rFonts w:ascii="Times New Roman" w:cs="Times New Roman" w:eastAsia="Times New Roman" w:hAnsi="Times New Roman"/>
          <w:sz w:val="18"/>
          <w:szCs w:val="18"/>
          <w:color w:val="auto"/>
        </w:rPr>
        <w:t xml:space="preserve">”), or (vi) such other means as the Administrator deems appropriate. If the Withholding Obligations are satisfied by withholding in Shares, for tax purposes, Participant is deemed to have been issued the full number of Shares subject to the vested PSUs, notwithstanding that a number of the Shares are held back solely for the purpose of paying the Withholding Obligations. To the extent determined appropriate by the Administrator in its discretion, the Administrator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Participant for the value of the portion of a Share, if any, withheld in excess of the Withholding Obligations. If a Sell to Cover is the method by which Withholding Obligations are satisfied, Participant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Participant in accordance with procedures the Company may specify from time to time. Until and unless determined otherwise by the Administrator, Sell to Cover will be the method by which such Withholding Obligations are satisfied. </w:t>
      </w:r>
      <w:r>
        <w:rPr>
          <w:rFonts w:ascii="Times New Roman" w:cs="Times New Roman" w:eastAsia="Times New Roman" w:hAnsi="Times New Roman"/>
          <w:sz w:val="18"/>
          <w:szCs w:val="18"/>
          <w:b w:val="1"/>
          <w:bCs w:val="1"/>
          <w:color w:val="auto"/>
        </w:rPr>
        <w:t>For purposes of clarity and without limitation,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accepting this Award, Participant expressly consents to such Sell to Cover as the method by which Withholding Obligations are satisfied and agrees and acknowledges that Participant may not satisfy them by any means other than such Sell to Cover, unless required to do so by the Administrator or pursuant to the Administrator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express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178435</wp:posOffset>
            </wp:positionV>
            <wp:extent cx="71335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13</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22</w:t>
      </w:r>
    </w:p>
    <w:p>
      <w:pPr>
        <w:spacing w:after="0" w:line="226" w:lineRule="exact"/>
        <w:rPr>
          <w:sz w:val="20"/>
          <w:szCs w:val="20"/>
          <w:color w:val="auto"/>
        </w:rPr>
      </w:pPr>
    </w:p>
    <w:p>
      <w:pPr>
        <w:jc w:val="both"/>
        <w:ind w:firstLine="1289"/>
        <w:spacing w:after="0" w:line="255" w:lineRule="auto"/>
        <w:tabs>
          <w:tab w:leader="none" w:pos="201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Participant has reviewed with Participant’s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82" w:lineRule="exact"/>
        <w:rPr>
          <w:rFonts w:ascii="Times New Roman" w:cs="Times New Roman" w:eastAsia="Times New Roman" w:hAnsi="Times New Roman"/>
          <w:sz w:val="18"/>
          <w:szCs w:val="18"/>
          <w:color w:val="auto"/>
        </w:rPr>
      </w:pPr>
    </w:p>
    <w:p>
      <w:pPr>
        <w:jc w:val="both"/>
        <w:ind w:firstLine="1289"/>
        <w:spacing w:after="0" w:line="252" w:lineRule="auto"/>
        <w:tabs>
          <w:tab w:leader="none" w:pos="194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Deliver Shares</w:t>
      </w:r>
      <w:r>
        <w:rPr>
          <w:rFonts w:ascii="Times New Roman" w:cs="Times New Roman" w:eastAsia="Times New Roman" w:hAnsi="Times New Roman"/>
          <w:sz w:val="18"/>
          <w:szCs w:val="18"/>
          <w:color w:val="auto"/>
        </w:rPr>
        <w:t>. For clarification purposes, in no event will the Company issue Participant any Shares unless and until arrangements satisfactory to the Administrator have been made for the payment of Participant’s Withholding Obligations. If Participant fails to make satisfactory arrangements for the payment of such Withholding Obligations hereunder at the time any applicable PSUs otherwise are scheduled to vest pursuant to Sections 5 or 6 or Participant’s Withholding Obligations otherwise become due, Participant permanently will forfeit such PSUs to which Participant’s Withholding Obligation relates and any right to receive Shares thereunder and such PSUs will be returned to the Company at no cost to the Company. Participant acknowledges and agrees that the Company may permanently refuse to issue or deliver the Shares if such Withholding Obligations are not delivered at the time they are due.</w:t>
      </w:r>
    </w:p>
    <w:p>
      <w:pPr>
        <w:spacing w:after="0" w:line="188" w:lineRule="exact"/>
        <w:rPr>
          <w:rFonts w:ascii="Times New Roman" w:cs="Times New Roman" w:eastAsia="Times New Roman" w:hAnsi="Times New Roman"/>
          <w:sz w:val="18"/>
          <w:szCs w:val="18"/>
          <w:color w:val="auto"/>
        </w:rPr>
      </w:pPr>
    </w:p>
    <w:p>
      <w:pPr>
        <w:jc w:val="both"/>
        <w:ind w:firstLine="648"/>
        <w:spacing w:after="0" w:line="250" w:lineRule="auto"/>
        <w:tabs>
          <w:tab w:leader="none" w:pos="137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Events</w:t>
      </w:r>
      <w:r>
        <w:rPr>
          <w:rFonts w:ascii="Times New Roman" w:cs="Times New Roman" w:eastAsia="Times New Roman" w:hAnsi="Times New Roman"/>
          <w:sz w:val="18"/>
          <w:szCs w:val="18"/>
          <w:color w:val="auto"/>
        </w:rPr>
        <w:t>. Notwithstanding any provisions to the contrary under this Award Agreement, the Award will be subject to reduction, cancellation, forfeiture, recoupment, reimbursement or reacquisition upon the occurrence of certain specified events, in addition to any otherwise applicable vesting or performance conditions of the Award. Such events may include, without limitation, termination of Participant’s status as an employee or other service provider for cause or any specified action or inaction by Participant, whether before or after such termination of employment or other service, that would constitute cause for termination of Participant’s status as an employee or other service provider. The Award will be subject to reduction, cancellation, forfeiture, recoupment, reimbursement or reacquisition under any Company clawback policy that may be in effect at grant and any other clawback policy that the Company is required to adopt to comply with Applicable Laws, including without limitation pursuant to the listing standards of any national securities exchange or association on which the Company’s securities are listed or otherwise required by the Dodd-Frank Wall Street Reform and Consumer Protection Act (collectively, the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The Administrator may require Participant to forfeit, return or reimburse the Company for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12 specifically is mentioned and waived in a document, no recovery of compensation under a Clawback Policy or otherwise will constitute an event that triggers or contributes to any right of a Participant to resign for “good reason” or “constructive termination” (or similar term) under any agreement with the Company or any Subsidiary, Parent or Affiliate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164465</wp:posOffset>
            </wp:positionV>
            <wp:extent cx="71335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14</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22</w:t>
      </w:r>
    </w:p>
    <w:p>
      <w:pPr>
        <w:spacing w:after="0" w:line="226" w:lineRule="exact"/>
        <w:rPr>
          <w:sz w:val="20"/>
          <w:szCs w:val="20"/>
          <w:color w:val="auto"/>
        </w:rPr>
      </w:pPr>
    </w:p>
    <w:p>
      <w:pPr>
        <w:jc w:val="both"/>
        <w:ind w:firstLine="648"/>
        <w:spacing w:after="0" w:line="255" w:lineRule="auto"/>
        <w:tabs>
          <w:tab w:leader="none" w:pos="11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2" w:lineRule="exact"/>
        <w:rPr>
          <w:rFonts w:ascii="Times New Roman" w:cs="Times New Roman" w:eastAsia="Times New Roman" w:hAnsi="Times New Roman"/>
          <w:sz w:val="18"/>
          <w:szCs w:val="18"/>
          <w:color w:val="auto"/>
        </w:rPr>
      </w:pPr>
    </w:p>
    <w:p>
      <w:pPr>
        <w:jc w:val="both"/>
        <w:ind w:firstLine="648"/>
        <w:spacing w:after="0" w:line="251" w:lineRule="auto"/>
        <w:tabs>
          <w:tab w:leader="none" w:pos="173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w:t>
      </w:r>
      <w:r>
        <w:rPr>
          <w:rFonts w:ascii="Times New Roman" w:cs="Times New Roman" w:eastAsia="Times New Roman" w:hAnsi="Times New Roman"/>
          <w:sz w:val="18"/>
          <w:szCs w:val="18"/>
          <w:color w:val="auto"/>
        </w:rPr>
        <w:t>. PARTICIPANT ACKNOWLEDGES AND AGREES THAT THE VESTING OF THE PERFORMANCE UNITS PURSUANT TO THE VESTING SCHEDULE HEREOF IS EARNED ONLY BY CONTINUING AS A SERVICE PROVIDER, WHICH UNLESS PROVIDED OTHERWISE UNDER APPLICABLE LAWS IS AT THE WILL OF THE APPLICABLE SERVICE RECIPIENT AND NOT THROUGH THE ACT OF BEING HIRED, BEING GRANTED THIS PERFORMANCE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86" w:lineRule="exact"/>
        <w:rPr>
          <w:rFonts w:ascii="Times New Roman" w:cs="Times New Roman" w:eastAsia="Times New Roman" w:hAnsi="Times New Roman"/>
          <w:sz w:val="18"/>
          <w:szCs w:val="18"/>
          <w:color w:val="auto"/>
        </w:rPr>
      </w:pPr>
    </w:p>
    <w:p>
      <w:pPr>
        <w:ind w:left="1320" w:hanging="672"/>
        <w:spacing w:after="0"/>
        <w:tabs>
          <w:tab w:leader="none" w:pos="1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Dissolution or Liquidation; Merger or Change in Control</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jc w:val="both"/>
        <w:ind w:firstLine="1289"/>
        <w:spacing w:after="0" w:line="252" w:lineRule="auto"/>
        <w:tabs>
          <w:tab w:leader="none" w:pos="198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Award Agreement, will adjust the number and class of shares of stock covered by the Award. Notwithstanding the foregoing, the Company will have no obligation to effect any adjustment in a manner that may require the issuance of fractional Shares, and any fractional Shares resulting from any adjustment may be disregarded or provided for in any manner determined by the Administrator, in its sole discretion, subject to any Applicable Laws.</w:t>
      </w:r>
    </w:p>
    <w:p>
      <w:pPr>
        <w:spacing w:after="0" w:line="184" w:lineRule="exact"/>
        <w:rPr>
          <w:rFonts w:ascii="Times New Roman" w:cs="Times New Roman" w:eastAsia="Times New Roman" w:hAnsi="Times New Roman"/>
          <w:sz w:val="18"/>
          <w:szCs w:val="18"/>
          <w:color w:val="auto"/>
        </w:rPr>
      </w:pPr>
    </w:p>
    <w:p>
      <w:pPr>
        <w:jc w:val="both"/>
        <w:ind w:firstLine="1289"/>
        <w:spacing w:after="0" w:line="262" w:lineRule="auto"/>
        <w:tabs>
          <w:tab w:leader="none" w:pos="192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Administrator will notify Participant as soon as practicable prior to the effective date of such proposed transaction. Unless provided otherwise by the Administrator, to the extent it has not been previously settled, the Award will terminate immediately prior to the consummation of such proposed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71335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15</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22</w:t>
      </w:r>
    </w:p>
    <w:p>
      <w:pPr>
        <w:spacing w:after="0" w:line="226" w:lineRule="exact"/>
        <w:rPr>
          <w:sz w:val="20"/>
          <w:szCs w:val="20"/>
          <w:color w:val="auto"/>
        </w:rPr>
      </w:pPr>
    </w:p>
    <w:p>
      <w:pPr>
        <w:jc w:val="both"/>
        <w:ind w:firstLine="1289"/>
        <w:spacing w:after="0" w:line="250" w:lineRule="auto"/>
        <w:tabs>
          <w:tab w:leader="none" w:pos="20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or Change in Control</w:t>
      </w:r>
      <w:r>
        <w:rPr>
          <w:rFonts w:ascii="Times New Roman" w:cs="Times New Roman" w:eastAsia="Times New Roman" w:hAnsi="Times New Roman"/>
          <w:sz w:val="18"/>
          <w:szCs w:val="18"/>
          <w:color w:val="auto"/>
        </w:rPr>
        <w:t>. In the event of a merger of the Company with or into another corporation or other entity or a Change in Control, the Award will be treated as the Administrator determines (subject to the provisions of the following paragraph) without Participant’s consent, which may include, without limitation, that the Award will be: (i) assumed, or a substantially equivalent award(s) will be substituted, by the acquiring or succeeding entity (or an affiliate thereof) with appropriate adjustments as to the number and kind of shares; (ii) continued by the Company, subject to any adjustment pursuant to Section 15(a); (iii) upon written notice to Participant, terminate upon or immediately prior to the consummation of such merger or Change in Control; (iv) vest and become payable in whole or in part prior to or upon consummation of such merger or Change in Control, and, to the extent the Administrator determines, terminate upon or immediately prior to the effectiveness of such merger or Change in Control; (v) (A) terminated in exchange for an amount of cash and/or property, if any, equal to the amount that would have been attained upon the realization of Participant’s rights under this Award Agreement as of the date of the occurrence of the transaction (and, for purposes of clarity, if as of the date of the occurrence of the transaction the Administrator determines in good faith that no amount would have been attained upon the realization of Participant’s rights, then the Award will be terminated by the Company without payment), or (B) replaced with other rights or property selected by the Administrator in its sole discretion; or (vi) treated in any combination of the foregoing.</w:t>
      </w:r>
    </w:p>
    <w:p>
      <w:pPr>
        <w:spacing w:after="0" w:line="191" w:lineRule="exact"/>
        <w:rPr>
          <w:sz w:val="20"/>
          <w:szCs w:val="20"/>
          <w:color w:val="auto"/>
        </w:rPr>
      </w:pPr>
    </w:p>
    <w:p>
      <w:pPr>
        <w:jc w:val="both"/>
        <w:ind w:firstLine="1282"/>
        <w:spacing w:after="0" w:line="253" w:lineRule="auto"/>
        <w:rPr>
          <w:sz w:val="20"/>
          <w:szCs w:val="20"/>
          <w:color w:val="auto"/>
        </w:rPr>
      </w:pPr>
      <w:r>
        <w:rPr>
          <w:rFonts w:ascii="Times New Roman" w:cs="Times New Roman" w:eastAsia="Times New Roman" w:hAnsi="Times New Roman"/>
          <w:sz w:val="18"/>
          <w:szCs w:val="18"/>
          <w:color w:val="auto"/>
        </w:rPr>
        <w:t>In the event that the successor (or an affiliate thereof) does not assume the Award (or portion thereof) pursuant to the preceding clause (i) and as described below, or substitute for the Award (or portion thereof) pursuant to the preceding clause (i), and the Company does not continue the Award (or portion thereof) as described above, all restrictions on the PSUs under the Award (or portion thereof) not so assumed, substituted for, or continued will lapse, all performance goals or other vesting criteria will be deemed achieved at one hundred percent (100%) of target levels, and all other terms and conditions will be deemed met, in each case, unless specifically provided otherwise under this Award Agreement or other written agreement authorized by the Administrator between Participant and the Company or any of its Subsidiaries, Parents or Affiliates, as applicable.</w:t>
      </w:r>
    </w:p>
    <w:p>
      <w:pPr>
        <w:spacing w:after="0" w:line="187" w:lineRule="exact"/>
        <w:rPr>
          <w:sz w:val="20"/>
          <w:szCs w:val="20"/>
          <w:color w:val="auto"/>
        </w:rPr>
      </w:pPr>
    </w:p>
    <w:p>
      <w:pPr>
        <w:jc w:val="both"/>
        <w:ind w:firstLine="1282"/>
        <w:spacing w:after="0" w:line="252" w:lineRule="auto"/>
        <w:rPr>
          <w:sz w:val="20"/>
          <w:szCs w:val="20"/>
          <w:color w:val="auto"/>
        </w:rPr>
      </w:pPr>
      <w:r>
        <w:rPr>
          <w:rFonts w:ascii="Times New Roman" w:cs="Times New Roman" w:eastAsia="Times New Roman" w:hAnsi="Times New Roman"/>
          <w:sz w:val="18"/>
          <w:szCs w:val="18"/>
          <w:color w:val="auto"/>
        </w:rPr>
        <w:t>For the purposes of this Section 15(c), the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or its Parent, the Administrator may, with the consent of the successor, provide for the consideration to be received upon the payout of each PSU subject to the Award to be solely common stock of the successor or its Parent equal in fair market value to the per share consideration received by holders of Common Stock in the merger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163195</wp:posOffset>
            </wp:positionV>
            <wp:extent cx="71335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ind w:left="10060"/>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16</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22</w:t>
      </w:r>
    </w:p>
    <w:p>
      <w:pPr>
        <w:spacing w:after="0" w:line="226" w:lineRule="exact"/>
        <w:rPr>
          <w:sz w:val="20"/>
          <w:szCs w:val="20"/>
          <w:color w:val="auto"/>
        </w:rPr>
      </w:pPr>
    </w:p>
    <w:p>
      <w:pPr>
        <w:jc w:val="both"/>
        <w:ind w:firstLine="1282"/>
        <w:spacing w:after="0" w:line="255" w:lineRule="auto"/>
        <w:rPr>
          <w:sz w:val="20"/>
          <w:szCs w:val="20"/>
          <w:color w:val="auto"/>
        </w:rPr>
      </w:pPr>
      <w:r>
        <w:rPr>
          <w:rFonts w:ascii="Times New Roman" w:cs="Times New Roman" w:eastAsia="Times New Roman" w:hAnsi="Times New Roman"/>
          <w:sz w:val="18"/>
          <w:szCs w:val="18"/>
          <w:color w:val="auto"/>
        </w:rPr>
        <w:t>Notwithstanding anything in this Section 15(c) to the contrary, and unless otherwise provided under this Award Agreement or other written agreement authorized by the Administrator between Participant and the Company and any of its Subsidiaries, Parents or Affiliates, as applicable, the Award will not be considered assumed if the Company or its successor modifies any of the Award’s performance goals without Participant’s consent; provided, however, that a modification to such performance goals only to reflect the successor’s post-merger or post-Change in Control corporate structure will not be deemed to invalidate an otherwise valid assumption of the Award.</w:t>
      </w:r>
    </w:p>
    <w:p>
      <w:pPr>
        <w:spacing w:after="0" w:line="183" w:lineRule="exact"/>
        <w:rPr>
          <w:sz w:val="20"/>
          <w:szCs w:val="20"/>
          <w:color w:val="auto"/>
        </w:rPr>
      </w:pPr>
    </w:p>
    <w:p>
      <w:pPr>
        <w:jc w:val="both"/>
        <w:ind w:firstLine="1282"/>
        <w:spacing w:after="0" w:line="253" w:lineRule="auto"/>
        <w:rPr>
          <w:sz w:val="20"/>
          <w:szCs w:val="20"/>
          <w:color w:val="auto"/>
        </w:rPr>
      </w:pPr>
      <w:r>
        <w:rPr>
          <w:rFonts w:ascii="Times New Roman" w:cs="Times New Roman" w:eastAsia="Times New Roman" w:hAnsi="Times New Roman"/>
          <w:sz w:val="18"/>
          <w:szCs w:val="18"/>
          <w:color w:val="auto"/>
        </w:rPr>
        <w:t>Notwithstanding anything in this Section 15(c) to the contrary, and unless otherwise provided in this Award Agreement or other written agreement authorized by the Administrator between Participant and the Company or any of its Subsidiaries, Parents or Affiliates, as applicable, if a payment under this Award Agreement is subject to Section 409A and if the change in control definition contained in this Award Agreement (or other agreement related to the Award, as applicable) does not comply with the definition of “change in control” for purposes of a distribution under Section 409A, then any payment of an amount that otherwise would be accelerated under this Section will be delayed until the earliest time that such payment would be permissible under Section 409A without triggering any penalties thereunder.</w:t>
      </w:r>
    </w:p>
    <w:p>
      <w:pPr>
        <w:spacing w:after="0" w:line="187" w:lineRule="exact"/>
        <w:rPr>
          <w:sz w:val="20"/>
          <w:szCs w:val="20"/>
          <w:color w:val="auto"/>
        </w:rPr>
      </w:pPr>
    </w:p>
    <w:p>
      <w:pPr>
        <w:jc w:val="both"/>
        <w:ind w:firstLine="648"/>
        <w:spacing w:after="0" w:line="255" w:lineRule="auto"/>
        <w:tabs>
          <w:tab w:leader="none" w:pos="133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Except to the limited extent provided in Section 10,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182" w:lineRule="exact"/>
        <w:rPr>
          <w:rFonts w:ascii="Times New Roman" w:cs="Times New Roman" w:eastAsia="Times New Roman" w:hAnsi="Times New Roman"/>
          <w:sz w:val="18"/>
          <w:szCs w:val="18"/>
          <w:color w:val="auto"/>
        </w:rPr>
      </w:pPr>
    </w:p>
    <w:p>
      <w:pPr>
        <w:ind w:left="1320" w:hanging="672"/>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In accepting this Award of PSUs, Participant acknowledges, understands and agrees that:</w:t>
      </w:r>
    </w:p>
    <w:p>
      <w:pPr>
        <w:spacing w:after="0" w:line="220" w:lineRule="exact"/>
        <w:rPr>
          <w:rFonts w:ascii="Times New Roman" w:cs="Times New Roman" w:eastAsia="Times New Roman" w:hAnsi="Times New Roman"/>
          <w:sz w:val="18"/>
          <w:szCs w:val="18"/>
          <w:color w:val="auto"/>
        </w:rPr>
      </w:pPr>
    </w:p>
    <w:p>
      <w:pPr>
        <w:ind w:firstLine="1289"/>
        <w:spacing w:after="0" w:line="277" w:lineRule="auto"/>
        <w:tabs>
          <w:tab w:leader="none" w:pos="204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PSUs is voluntary and occasional and does not create any contractual or other right to receive future grants of PSUs, or benefits in lieu of PSUs, even if PSUs have been granted in the past;</w:t>
      </w:r>
    </w:p>
    <w:p>
      <w:pPr>
        <w:spacing w:after="0" w:line="163" w:lineRule="exact"/>
        <w:rPr>
          <w:rFonts w:ascii="Times New Roman" w:cs="Times New Roman" w:eastAsia="Times New Roman" w:hAnsi="Times New Roman"/>
          <w:sz w:val="18"/>
          <w:szCs w:val="18"/>
          <w:color w:val="auto"/>
        </w:rPr>
      </w:pPr>
    </w:p>
    <w:p>
      <w:pPr>
        <w:ind w:left="1940" w:hanging="651"/>
        <w:spacing w:after="0"/>
        <w:tabs>
          <w:tab w:leader="none" w:pos="19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PSUs or other grants, if any, will be at the sole discretion of the Administrator;</w:t>
      </w:r>
    </w:p>
    <w:p>
      <w:pPr>
        <w:spacing w:after="0" w:line="220" w:lineRule="exact"/>
        <w:rPr>
          <w:rFonts w:ascii="Times New Roman" w:cs="Times New Roman" w:eastAsia="Times New Roman" w:hAnsi="Times New Roman"/>
          <w:sz w:val="18"/>
          <w:szCs w:val="18"/>
          <w:color w:val="auto"/>
        </w:rPr>
      </w:pPr>
    </w:p>
    <w:p>
      <w:pPr>
        <w:ind w:left="1940" w:hanging="651"/>
        <w:spacing w:after="0"/>
        <w:tabs>
          <w:tab w:leader="none" w:pos="19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and the Shares subject to the PSUs are not intended to replace any pension rights or compensation;</w:t>
      </w:r>
    </w:p>
    <w:p>
      <w:pPr>
        <w:spacing w:after="0" w:line="220" w:lineRule="exact"/>
        <w:rPr>
          <w:rFonts w:ascii="Times New Roman" w:cs="Times New Roman" w:eastAsia="Times New Roman" w:hAnsi="Times New Roman"/>
          <w:sz w:val="18"/>
          <w:szCs w:val="18"/>
          <w:color w:val="auto"/>
        </w:rPr>
      </w:pPr>
    </w:p>
    <w:p>
      <w:pPr>
        <w:jc w:val="both"/>
        <w:ind w:firstLine="1289"/>
        <w:spacing w:after="0" w:line="262" w:lineRule="auto"/>
        <w:tabs>
          <w:tab w:leader="none" w:pos="192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and the Shares subject to the PSUs,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71335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17</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22</w:t>
      </w:r>
    </w:p>
    <w:p>
      <w:pPr>
        <w:spacing w:after="0" w:line="226" w:lineRule="exact"/>
        <w:rPr>
          <w:sz w:val="20"/>
          <w:szCs w:val="20"/>
          <w:color w:val="auto"/>
        </w:rPr>
      </w:pPr>
    </w:p>
    <w:p>
      <w:pPr>
        <w:ind w:left="1940" w:hanging="651"/>
        <w:spacing w:after="0"/>
        <w:tabs>
          <w:tab w:leader="none" w:pos="19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PSUs is unknown, indeterminable, and cannot be predicted with certainty;</w:t>
      </w:r>
    </w:p>
    <w:p>
      <w:pPr>
        <w:spacing w:after="0" w:line="220" w:lineRule="exact"/>
        <w:rPr>
          <w:rFonts w:ascii="Times New Roman" w:cs="Times New Roman" w:eastAsia="Times New Roman" w:hAnsi="Times New Roman"/>
          <w:sz w:val="18"/>
          <w:szCs w:val="18"/>
          <w:color w:val="auto"/>
        </w:rPr>
      </w:pPr>
    </w:p>
    <w:p>
      <w:pPr>
        <w:jc w:val="both"/>
        <w:ind w:firstLine="1289"/>
        <w:spacing w:after="0" w:line="251" w:lineRule="auto"/>
        <w:tabs>
          <w:tab w:leader="none" w:pos="190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PSUs, Participant’s status as a Service Provider will be considered terminated as of the date Participant is no longer actively providing services to the Company or any Parent, Subsidiary, or Affiliate of the Company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PSUs,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Award of PSUs (including whether Participant may still be considered to be providing services while on a leave of absence and consistent with local law); and</w:t>
      </w:r>
    </w:p>
    <w:p>
      <w:pPr>
        <w:spacing w:after="0" w:line="186" w:lineRule="exact"/>
        <w:rPr>
          <w:rFonts w:ascii="Times New Roman" w:cs="Times New Roman" w:eastAsia="Times New Roman" w:hAnsi="Times New Roman"/>
          <w:sz w:val="18"/>
          <w:szCs w:val="18"/>
          <w:color w:val="auto"/>
        </w:rPr>
      </w:pPr>
    </w:p>
    <w:p>
      <w:pPr>
        <w:jc w:val="both"/>
        <w:ind w:firstLine="1289"/>
        <w:spacing w:after="0" w:line="262" w:lineRule="auto"/>
        <w:tabs>
          <w:tab w:leader="none" w:pos="200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 Administrator in its discretion, the PSUs and the benefits evidenced by this Award Agreement do not create any entitlement to have the PSUs or any such benefits transferred to, or assumed by, another company nor be exchanged, cashed out or substituted for, in connection with any corporate transaction affecting the Shares.</w:t>
      </w:r>
    </w:p>
    <w:p>
      <w:pPr>
        <w:spacing w:after="0" w:line="177" w:lineRule="exact"/>
        <w:rPr>
          <w:rFonts w:ascii="Times New Roman" w:cs="Times New Roman" w:eastAsia="Times New Roman" w:hAnsi="Times New Roman"/>
          <w:sz w:val="18"/>
          <w:szCs w:val="18"/>
          <w:color w:val="auto"/>
        </w:rPr>
      </w:pPr>
    </w:p>
    <w:p>
      <w:pPr>
        <w:jc w:val="both"/>
        <w:ind w:firstLine="648"/>
        <w:spacing w:after="0" w:line="257" w:lineRule="auto"/>
        <w:tabs>
          <w:tab w:leader="none" w:pos="1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Participant’s participation in this Award Agreement, or Participant’s acquisition or sale of the Shares underlying the PSUs. Participant is hereby advised to consult with Participant’s own personal tax, legal and financial advisers regarding Participant’s participation in this Award Agreement before taking any action related to this Award Agreement.</w:t>
      </w:r>
    </w:p>
    <w:p>
      <w:pPr>
        <w:spacing w:after="0" w:line="182" w:lineRule="exact"/>
        <w:rPr>
          <w:rFonts w:ascii="Times New Roman" w:cs="Times New Roman" w:eastAsia="Times New Roman" w:hAnsi="Times New Roman"/>
          <w:sz w:val="18"/>
          <w:szCs w:val="18"/>
          <w:color w:val="auto"/>
        </w:rPr>
      </w:pPr>
    </w:p>
    <w:p>
      <w:pPr>
        <w:jc w:val="both"/>
        <w:ind w:firstLine="648"/>
        <w:spacing w:after="0" w:line="262" w:lineRule="auto"/>
        <w:tabs>
          <w:tab w:leader="none" w:pos="12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at Accuray Incorporated, Attention: Stock Administration, 1240 Deming Way, Madison, WI 53717, or at such other address as the Company may hereafter designate in writing.</w:t>
      </w:r>
    </w:p>
    <w:p>
      <w:pPr>
        <w:spacing w:after="0" w:line="177" w:lineRule="exact"/>
        <w:rPr>
          <w:rFonts w:ascii="Times New Roman" w:cs="Times New Roman" w:eastAsia="Times New Roman" w:hAnsi="Times New Roman"/>
          <w:sz w:val="18"/>
          <w:szCs w:val="18"/>
          <w:color w:val="auto"/>
        </w:rPr>
      </w:pPr>
    </w:p>
    <w:p>
      <w:pPr>
        <w:jc w:val="both"/>
        <w:ind w:firstLine="648"/>
        <w:spacing w:after="0" w:line="253"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Insider Trading Restrictions/Market Abuse Laws</w:t>
      </w:r>
      <w:r>
        <w:rPr>
          <w:rFonts w:ascii="Times New Roman" w:cs="Times New Roman" w:eastAsia="Times New Roman" w:hAnsi="Times New Roman"/>
          <w:sz w:val="18"/>
          <w:szCs w:val="18"/>
          <w:color w:val="auto"/>
        </w:rPr>
        <w:t>. In addition to all other restrictions set forth in this Award Agreement, Participant is hereby notified that Participant may be subject to insider trading restrictions or market abuse laws, which may affect Participant’s ability to acquire or sell Shares or rights to Shares under this Award Agreement during such time as Participant is considered to have “inside information” regarding the Company (as defined by Applicable Laws). Any restrictions under these laws or regulations are separate from and in addition to any restrictions that may be imposed under any applicable Company insider trading policy. Participant acknowledges and agrees that it is Participant’s responsibility to comply with any applicable restrictions and Participant is advised to speak to Participant’s personal advisor on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164465</wp:posOffset>
            </wp:positionV>
            <wp:extent cx="71335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18</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22</w:t>
      </w:r>
    </w:p>
    <w:p>
      <w:pPr>
        <w:spacing w:after="0" w:line="226" w:lineRule="exact"/>
        <w:rPr>
          <w:sz w:val="20"/>
          <w:szCs w:val="20"/>
          <w:color w:val="auto"/>
        </w:rPr>
      </w:pPr>
    </w:p>
    <w:p>
      <w:pPr>
        <w:jc w:val="both"/>
        <w:ind w:firstLine="648"/>
        <w:spacing w:after="0" w:line="257" w:lineRule="auto"/>
        <w:tabs>
          <w:tab w:leader="none" w:pos="133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Participant’s heirs, executors, administrators, successors and assigns. The rights and obligations of Participant under this Award Agreement may be assigned only with the prior written consent of the Company.</w:t>
      </w:r>
    </w:p>
    <w:p>
      <w:pPr>
        <w:spacing w:after="0" w:line="182" w:lineRule="exact"/>
        <w:rPr>
          <w:rFonts w:ascii="Times New Roman" w:cs="Times New Roman" w:eastAsia="Times New Roman" w:hAnsi="Times New Roman"/>
          <w:sz w:val="18"/>
          <w:szCs w:val="18"/>
          <w:color w:val="auto"/>
        </w:rPr>
      </w:pPr>
    </w:p>
    <w:p>
      <w:pPr>
        <w:ind w:left="1280" w:hanging="632"/>
        <w:spacing w:after="0"/>
        <w:tabs>
          <w:tab w:leader="none" w:pos="1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p>
    <w:p>
      <w:pPr>
        <w:spacing w:after="0" w:line="220" w:lineRule="exact"/>
        <w:rPr>
          <w:rFonts w:ascii="Times New Roman" w:cs="Times New Roman" w:eastAsia="Times New Roman" w:hAnsi="Times New Roman"/>
          <w:sz w:val="18"/>
          <w:szCs w:val="18"/>
          <w:color w:val="auto"/>
        </w:rPr>
      </w:pPr>
    </w:p>
    <w:p>
      <w:pPr>
        <w:jc w:val="both"/>
        <w:ind w:firstLine="1289"/>
        <w:spacing w:after="0" w:line="262" w:lineRule="auto"/>
        <w:tabs>
          <w:tab w:leader="none" w:pos="193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Shares will not be issued pursuant to the Award, including without limitation upon vesting thereof, unless the issuance and delivery of such Shares and unless the vesting of the Award will comply with Applicable Laws. If required by the Administrator, issuance will be further subject to the approval of counsel for the Company with respect to such compliance.</w:t>
      </w:r>
    </w:p>
    <w:p>
      <w:pPr>
        <w:spacing w:after="0" w:line="177" w:lineRule="exact"/>
        <w:rPr>
          <w:rFonts w:ascii="Times New Roman" w:cs="Times New Roman" w:eastAsia="Times New Roman" w:hAnsi="Times New Roman"/>
          <w:sz w:val="18"/>
          <w:szCs w:val="18"/>
          <w:color w:val="auto"/>
        </w:rPr>
      </w:pPr>
    </w:p>
    <w:p>
      <w:pPr>
        <w:jc w:val="both"/>
        <w:ind w:firstLine="1289"/>
        <w:spacing w:after="0" w:line="262" w:lineRule="auto"/>
        <w:tabs>
          <w:tab w:leader="none" w:pos="205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As a condition to the issuance and delivery of Shares pursuant to the Award, the Company may require the person to whom such Shares will be issued to represent and warrant at such time that the Shares are being acquired only for investment and without any present intention to sell or distribute such Shares if, in the opinion of counsel for the Company, such a representation is required.</w:t>
      </w:r>
    </w:p>
    <w:p>
      <w:pPr>
        <w:spacing w:after="0" w:line="177" w:lineRule="exact"/>
        <w:rPr>
          <w:rFonts w:ascii="Times New Roman" w:cs="Times New Roman" w:eastAsia="Times New Roman" w:hAnsi="Times New Roman"/>
          <w:sz w:val="18"/>
          <w:szCs w:val="18"/>
          <w:color w:val="auto"/>
        </w:rPr>
      </w:pPr>
    </w:p>
    <w:p>
      <w:pPr>
        <w:jc w:val="both"/>
        <w:ind w:firstLine="1289"/>
        <w:spacing w:after="0" w:line="250" w:lineRule="auto"/>
        <w:tabs>
          <w:tab w:leader="none" w:pos="2192"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Participant’s estate) hereunder, such issuance will not occur unless and until such listing, registration, qualification, rule compliance, clearance, consent or approval will have been completed, effected or obtained free of any conditions not acceptable to the Company. If any such listing, registration, qualification, rule compliance, clearance, consent or approval has not been completed by the applicable Settlement Deadline Date (or, if later, the settlement date required under Section 6(c)(ii), as applicable) with respect to a PSU in a manner that would allow it to be settled by the applicable Settlement Deadline Date (or, if later, the settlement date required under Section 6(c)(ii), as applicable), such PSU shall be forfeited as of immediately following the Settlement Deadline Date (or, if later, the settlement date required under Section 6(c)(ii), as applicable). Subject to the terms of this Award Agreement,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PSUs as the Administrator may establish from time to time for reasons of administrative convenience.</w:t>
      </w:r>
    </w:p>
    <w:p>
      <w:pPr>
        <w:spacing w:after="0" w:line="189" w:lineRule="exact"/>
        <w:rPr>
          <w:rFonts w:ascii="Times New Roman" w:cs="Times New Roman" w:eastAsia="Times New Roman" w:hAnsi="Times New Roman"/>
          <w:sz w:val="18"/>
          <w:szCs w:val="18"/>
          <w:color w:val="auto"/>
        </w:rPr>
      </w:pPr>
    </w:p>
    <w:p>
      <w:pPr>
        <w:jc w:val="both"/>
        <w:ind w:firstLine="1289"/>
        <w:spacing w:after="0" w:line="271" w:lineRule="auto"/>
        <w:tabs>
          <w:tab w:leader="none" w:pos="1859"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Inability to Obtain Authority</w:t>
      </w:r>
      <w:r>
        <w:rPr>
          <w:rFonts w:ascii="Times New Roman" w:cs="Times New Roman" w:eastAsia="Times New Roman" w:hAnsi="Times New Roman"/>
          <w:sz w:val="17"/>
          <w:szCs w:val="17"/>
          <w:color w:val="auto"/>
        </w:rPr>
        <w:t>. If the Company determines it to be impossible or impractical to obtain authority from any regulatory body having jurisdiction or to complete or comply with the requirements of any registration or other qualification of the Shares under any U.S. state or federal law or non-U.S.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154940</wp:posOffset>
            </wp:positionV>
            <wp:extent cx="713359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19</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22</w:t>
      </w:r>
    </w:p>
    <w:p>
      <w:pPr>
        <w:spacing w:after="0" w:line="226" w:lineRule="exact"/>
        <w:rPr>
          <w:sz w:val="20"/>
          <w:szCs w:val="20"/>
          <w:color w:val="auto"/>
        </w:rPr>
      </w:pPr>
    </w:p>
    <w:p>
      <w:pPr>
        <w:jc w:val="both"/>
        <w:ind w:firstLine="648"/>
        <w:spacing w:after="0" w:line="252" w:lineRule="auto"/>
        <w:tabs>
          <w:tab w:leader="none" w:pos="137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Administrator will have the power to interpret this Award Agreement and to adopt such rules for the administration, interpretation and application of the Award Agreement as are consistent therewith and to interpret or revoke any such rules (including, but not limited to, the determination of whether or not any PSUs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this Award Agreement. Unless the context requires otherwise and subject to the foregoing interpretation rights and powers of the Administrator in this Section 23, the term “or” as used in this Award Agreement is not exclusive.</w:t>
      </w:r>
    </w:p>
    <w:p>
      <w:pPr>
        <w:spacing w:after="0" w:line="188" w:lineRule="exact"/>
        <w:rPr>
          <w:rFonts w:ascii="Times New Roman" w:cs="Times New Roman" w:eastAsia="Times New Roman" w:hAnsi="Times New Roman"/>
          <w:sz w:val="18"/>
          <w:szCs w:val="18"/>
          <w:color w:val="auto"/>
        </w:rPr>
      </w:pPr>
    </w:p>
    <w:p>
      <w:pPr>
        <w:jc w:val="both"/>
        <w:ind w:firstLine="648"/>
        <w:spacing w:after="0" w:line="252" w:lineRule="auto"/>
        <w:tabs>
          <w:tab w:leader="none" w:pos="140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Acceptance</w:t>
      </w:r>
      <w:r>
        <w:rPr>
          <w:rFonts w:ascii="Times New Roman" w:cs="Times New Roman" w:eastAsia="Times New Roman" w:hAnsi="Times New Roman"/>
          <w:sz w:val="18"/>
          <w:szCs w:val="18"/>
          <w:color w:val="auto"/>
        </w:rPr>
        <w:t>. The Company may, in its sole discretion, decide to deliver any documents related to the PSUs (including, without limitation, prospectuses required by the U.S. Securities and Exchange Commission) by electronic means (including, without limitation, all other documents that the Company is required to deliver to its security holders, such as annual reports and proxy statements). Participant hereby consents to receive such documents by electronic delivery and agrees to participate in this Award Agreement through any on-line or electronic system established and maintained by the Company or a third party designated by the Company. Participant agrees that the Company may deliver these documents by posting them on a web site maintained by the Company or by a third party under contract with the Company. If the Company posts these documents on a web site, it will notify Participant by electronic means.</w:t>
      </w:r>
    </w:p>
    <w:p>
      <w:pPr>
        <w:spacing w:after="0" w:line="188" w:lineRule="exact"/>
        <w:rPr>
          <w:rFonts w:ascii="Times New Roman" w:cs="Times New Roman" w:eastAsia="Times New Roman" w:hAnsi="Times New Roman"/>
          <w:sz w:val="18"/>
          <w:szCs w:val="18"/>
          <w:color w:val="auto"/>
        </w:rPr>
      </w:pPr>
    </w:p>
    <w:p>
      <w:pPr>
        <w:ind w:left="1300" w:hanging="652"/>
        <w:spacing w:after="0"/>
        <w:tabs>
          <w:tab w:leader="none" w:pos="13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Captions</w:t>
      </w:r>
      <w:r>
        <w:rPr>
          <w:rFonts w:ascii="Times New Roman" w:cs="Times New Roman" w:eastAsia="Times New Roman" w:hAnsi="Times New Roman"/>
          <w:sz w:val="17"/>
          <w:szCs w:val="17"/>
          <w:color w:val="auto"/>
        </w:rPr>
        <w:t>. Captions provided herein are for convenience only and are not to serve as a basis for interpretation or construction of this Award</w:t>
      </w:r>
    </w:p>
    <w:p>
      <w:pPr>
        <w:spacing w:after="0" w:line="3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Agreement.</w:t>
      </w:r>
    </w:p>
    <w:p>
      <w:pPr>
        <w:spacing w:after="0" w:line="201" w:lineRule="exact"/>
        <w:rPr>
          <w:rFonts w:ascii="Times New Roman" w:cs="Times New Roman" w:eastAsia="Times New Roman" w:hAnsi="Times New Roman"/>
          <w:sz w:val="17"/>
          <w:szCs w:val="17"/>
          <w:color w:val="auto"/>
        </w:rPr>
      </w:pPr>
    </w:p>
    <w:p>
      <w:pPr>
        <w:jc w:val="both"/>
        <w:ind w:firstLine="648"/>
        <w:spacing w:after="0" w:line="253" w:lineRule="auto"/>
        <w:tabs>
          <w:tab w:leader="none" w:pos="12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Notwithstanding any provisions in this Award Agreement, the PSUs shall be subject to any global terms and conditions set forth in an appendix (if any) to this Award Agreement as well as any terms and conditions for any country whose laws are applicable to Participant and the PSUs (as determined by the Administrator in its sole discretion) (the “</w:t>
      </w:r>
      <w:r>
        <w:rPr>
          <w:rFonts w:ascii="Times New Roman" w:cs="Times New Roman" w:eastAsia="Times New Roman" w:hAnsi="Times New Roman"/>
          <w:sz w:val="18"/>
          <w:szCs w:val="18"/>
          <w:b w:val="1"/>
          <w:bCs w:val="1"/>
          <w:color w:val="auto"/>
        </w:rPr>
        <w:t>Country Addendum</w:t>
      </w:r>
      <w:r>
        <w:rPr>
          <w:rFonts w:ascii="Times New Roman" w:cs="Times New Roman" w:eastAsia="Times New Roman" w:hAnsi="Times New Roman"/>
          <w:sz w:val="18"/>
          <w:szCs w:val="18"/>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164465</wp:posOffset>
            </wp:positionV>
            <wp:extent cx="71335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20</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22</w:t>
      </w:r>
    </w:p>
    <w:p>
      <w:pPr>
        <w:spacing w:after="0" w:line="226" w:lineRule="exact"/>
        <w:rPr>
          <w:sz w:val="20"/>
          <w:szCs w:val="20"/>
          <w:color w:val="auto"/>
        </w:rPr>
      </w:pPr>
    </w:p>
    <w:p>
      <w:pPr>
        <w:jc w:val="both"/>
        <w:ind w:firstLine="648"/>
        <w:spacing w:after="0" w:line="251" w:lineRule="auto"/>
        <w:tabs>
          <w:tab w:leader="none" w:pos="142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Modifications</w:t>
      </w:r>
      <w:r>
        <w:rPr>
          <w:rFonts w:ascii="Times New Roman" w:cs="Times New Roman" w:eastAsia="Times New Roman" w:hAnsi="Times New Roman"/>
          <w:sz w:val="18"/>
          <w:szCs w:val="18"/>
          <w:color w:val="auto"/>
        </w:rPr>
        <w:t>. This Award Agreement (including for clarity any exhibits, appendices, and addenda attached to the Notice of Grant) constitutes the entire agreement of the parties with respect to the subject matter hereof and supersede in their entirety all prior undertakings and agreements of the Company and Participant with respect to the subject matter hereof. Participant expressly warrants that Participant is not accepting this Award Agreement in reliance on any promises, representations, or inducements other than those contained herein. Modifications to this Award Agreement can be made only by approval of the Administrator memorialized in an express written instrument executed by a duly authorized signatory of the Company. Except as provided in this paragraph, no amendment to this Award Agreement may materially impair the rights of Participant unless mutually agreed between Participant and the Administrator, which agreement must be in writing signed by Participant and a duly authorized signatory of the Company. Notwithstanding anything to the contrary in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PSUs.</w:t>
      </w:r>
    </w:p>
    <w:p>
      <w:pPr>
        <w:spacing w:after="0" w:line="186" w:lineRule="exact"/>
        <w:rPr>
          <w:rFonts w:ascii="Times New Roman" w:cs="Times New Roman" w:eastAsia="Times New Roman" w:hAnsi="Times New Roman"/>
          <w:sz w:val="18"/>
          <w:szCs w:val="18"/>
          <w:color w:val="auto"/>
        </w:rPr>
      </w:pPr>
    </w:p>
    <w:p>
      <w:pPr>
        <w:jc w:val="both"/>
        <w:ind w:firstLine="648"/>
        <w:spacing w:after="0" w:line="257"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82" w:lineRule="exact"/>
        <w:rPr>
          <w:rFonts w:ascii="Times New Roman" w:cs="Times New Roman" w:eastAsia="Times New Roman" w:hAnsi="Times New Roman"/>
          <w:sz w:val="18"/>
          <w:szCs w:val="18"/>
          <w:color w:val="auto"/>
        </w:rPr>
      </w:pPr>
    </w:p>
    <w:p>
      <w:pPr>
        <w:jc w:val="both"/>
        <w:ind w:firstLine="648"/>
        <w:spacing w:after="0" w:line="262" w:lineRule="auto"/>
        <w:tabs>
          <w:tab w:leader="none" w:pos="145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Severability</w:t>
      </w:r>
      <w:r>
        <w:rPr>
          <w:rFonts w:ascii="Times New Roman" w:cs="Times New Roman" w:eastAsia="Times New Roman" w:hAnsi="Times New Roman"/>
          <w:sz w:val="18"/>
          <w:szCs w:val="18"/>
          <w:color w:val="auto"/>
        </w:rPr>
        <w:t>. This Award Agreement and the PSUs are governed by, and construed in accordance with,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177" w:lineRule="exact"/>
        <w:rPr>
          <w:rFonts w:ascii="Times New Roman" w:cs="Times New Roman" w:eastAsia="Times New Roman" w:hAnsi="Times New Roman"/>
          <w:sz w:val="18"/>
          <w:szCs w:val="18"/>
          <w:color w:val="auto"/>
        </w:rPr>
      </w:pPr>
    </w:p>
    <w:p>
      <w:pPr>
        <w:jc w:val="both"/>
        <w:ind w:firstLine="648"/>
        <w:spacing w:after="0" w:line="257"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Terms</w:t>
      </w:r>
      <w:r>
        <w:rPr>
          <w:rFonts w:ascii="Times New Roman" w:cs="Times New Roman" w:eastAsia="Times New Roman" w:hAnsi="Times New Roman"/>
          <w:sz w:val="18"/>
          <w:szCs w:val="18"/>
          <w:color w:val="auto"/>
        </w:rPr>
        <w:t>. The terms, conditions, obligations, and requirements of this Award Agreement will apply as a condition of receiving and holding the Award without the need for any manual or other execution of this Award Agreement by Participant or the Company. Notwithstanding the foregoing, however, as a condition to holding the Award or the vesting or settlement of the Award, upon the Company’s request at any time, the Company may require Participant to manually or electronically sign this Award Agreement, if Participant has not already done so.</w:t>
      </w:r>
    </w:p>
    <w:p>
      <w:pPr>
        <w:spacing w:after="0" w:line="182" w:lineRule="exact"/>
        <w:rPr>
          <w:rFonts w:ascii="Times New Roman" w:cs="Times New Roman" w:eastAsia="Times New Roman" w:hAnsi="Times New Roman"/>
          <w:sz w:val="18"/>
          <w:szCs w:val="18"/>
          <w:color w:val="auto"/>
        </w:rPr>
      </w:pPr>
    </w:p>
    <w:p>
      <w:pPr>
        <w:ind w:left="5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359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71335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p>
      <w:pPr>
        <w:ind w:left="10060"/>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21</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22</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STAND-ALONE INDUCEMENT PERFORMANCE UNIT AGREEMENT</w:t>
      </w:r>
    </w:p>
    <w:p>
      <w:pPr>
        <w:spacing w:after="0" w:line="22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VESTING CRITERIA</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Award will vest in accordance with the following schedule:</w:t>
      </w:r>
    </w:p>
    <w:p>
      <w:pPr>
        <w:spacing w:after="0" w:line="220"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If the Compensation Committee certifies achievement of one or more of the Performance Goals (as defined below), then a number of PSUs subject to this Award Agreement will be eligible to vest as calculated below, and shall vest on the date on which the Compensation Committee certifies such achievement, subject to the Participant continuing to be a Service Provider through such date. The “</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is the period beginning on the Date of Grant and ending on the last day of the Company’s 2028 fiscal year (“</w:t>
      </w:r>
      <w:r>
        <w:rPr>
          <w:rFonts w:ascii="Times New Roman" w:cs="Times New Roman" w:eastAsia="Times New Roman" w:hAnsi="Times New Roman"/>
          <w:sz w:val="18"/>
          <w:szCs w:val="18"/>
          <w:b w:val="1"/>
          <w:bCs w:val="1"/>
          <w:color w:val="auto"/>
        </w:rPr>
        <w:t>Fiscal 28</w:t>
      </w:r>
      <w:r>
        <w:rPr>
          <w:rFonts w:ascii="Times New Roman" w:cs="Times New Roman" w:eastAsia="Times New Roman" w:hAnsi="Times New Roman"/>
          <w:sz w:val="18"/>
          <w:szCs w:val="18"/>
          <w:color w:val="auto"/>
        </w:rPr>
        <w:t>”). The Compensation Committee shall certify the achievement or non-achievement of the Performance Goals, including the level of achievement, within ninety (90) days following the last day of the Performance Period.</w:t>
      </w:r>
    </w:p>
    <w:p>
      <w:pPr>
        <w:spacing w:after="0" w:line="183"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The “Performance Goals” are the Company’s (i) product revenue for Fiscal 28, (ii) service revenue for Fiscal 28, and (ii) adjusted EBITDA for Fiscal 28 meeting or exceeding the levels as set forth in the table below.</w:t>
      </w:r>
    </w:p>
    <w:p>
      <w:pPr>
        <w:spacing w:after="0" w:line="163"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As set forth in the table below, each Performance Goal must meet its Threshold for PSUs subject to this Award Agreement to be eligible to vest for that particular Performance Goal, and incremental PSUs will be eligible to vest with respect to such Performance Goal when actual performance exceeds the Threshold. The number of PSUs eligible to vest with respect to each Performance Goal will be the product obtained by multiplying (i) the target number of PSUs subject to this Award, (ii) the Weight of such Performance Goal in the table below, and (iii) a percentage based on the level of achievement of such Performance Goal, which will be fifty percent (50%) if the Performance Goal is met at the Threshold and increase in a straight line to one hundred percent (100%) at the Target, and increase in another straight line from one hundred percent (100%) at the Target to one hundred fifty percent (150%) at the Maximum, rounding down to the nearest whole PSU.</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8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Performance Goal</w:t>
            </w:r>
          </w:p>
        </w:tc>
        <w:tc>
          <w:tcPr>
            <w:tcW w:w="4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right w:val="single" w:sz="8" w:color="auto"/>
            </w:tcBorders>
          </w:tcPr>
          <w:p>
            <w:pPr>
              <w:jc w:val="center"/>
              <w:ind w:right="411"/>
              <w:spacing w:after="0"/>
              <w:rPr>
                <w:sz w:val="20"/>
                <w:szCs w:val="20"/>
                <w:color w:val="auto"/>
              </w:rPr>
            </w:pPr>
            <w:r>
              <w:rPr>
                <w:rFonts w:ascii="Times New Roman" w:cs="Times New Roman" w:eastAsia="Times New Roman" w:hAnsi="Times New Roman"/>
                <w:sz w:val="18"/>
                <w:szCs w:val="18"/>
                <w:b w:val="1"/>
                <w:bCs w:val="1"/>
                <w:color w:val="auto"/>
                <w:w w:val="99"/>
              </w:rPr>
              <w:t>Weight</w:t>
            </w:r>
          </w:p>
        </w:tc>
        <w:tc>
          <w:tcPr>
            <w:tcW w:w="2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Maximum</w:t>
            </w:r>
          </w:p>
        </w:tc>
      </w:tr>
      <w:tr>
        <w:trPr>
          <w:trHeight w:val="190"/>
        </w:trPr>
        <w:tc>
          <w:tcPr>
            <w:tcW w:w="2860" w:type="dxa"/>
            <w:vAlign w:val="bottom"/>
            <w:tcBorders>
              <w:left w:val="single" w:sz="8" w:color="auto"/>
              <w:bottom w:val="single" w:sz="8" w:color="auto"/>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w w:val="98"/>
              </w:rPr>
              <w:t>Product Revenue</w:t>
            </w: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jc w:val="center"/>
              <w:ind w:right="411"/>
              <w:spacing w:after="0" w:line="190" w:lineRule="exact"/>
              <w:rPr>
                <w:sz w:val="20"/>
                <w:szCs w:val="20"/>
                <w:color w:val="auto"/>
              </w:rPr>
            </w:pPr>
            <w:r>
              <w:rPr>
                <w:rFonts w:ascii="Times New Roman" w:cs="Times New Roman" w:eastAsia="Times New Roman" w:hAnsi="Times New Roman"/>
                <w:sz w:val="18"/>
                <w:szCs w:val="18"/>
                <w:color w:val="auto"/>
                <w:w w:val="96"/>
              </w:rPr>
              <w:t>30%</w:t>
            </w:r>
          </w:p>
        </w:tc>
        <w:tc>
          <w:tcPr>
            <w:tcW w:w="2340" w:type="dxa"/>
            <w:vAlign w:val="bottom"/>
            <w:tcBorders>
              <w:bottom w:val="single" w:sz="8" w:color="auto"/>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color w:val="auto"/>
                <w:w w:val="97"/>
              </w:rPr>
              <w:t>$[***] million</w:t>
            </w:r>
          </w:p>
        </w:tc>
        <w:tc>
          <w:tcPr>
            <w:tcW w:w="2100" w:type="dxa"/>
            <w:vAlign w:val="bottom"/>
            <w:tcBorders>
              <w:bottom w:val="single" w:sz="8" w:color="auto"/>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 million</w:t>
            </w:r>
          </w:p>
        </w:tc>
        <w:tc>
          <w:tcPr>
            <w:tcW w:w="2180" w:type="dxa"/>
            <w:vAlign w:val="bottom"/>
            <w:tcBorders>
              <w:bottom w:val="single" w:sz="8" w:color="auto"/>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 million</w:t>
            </w:r>
          </w:p>
        </w:tc>
      </w:tr>
      <w:tr>
        <w:trPr>
          <w:trHeight w:val="207"/>
        </w:trPr>
        <w:tc>
          <w:tcPr>
            <w:tcW w:w="2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Service Revenue</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ind w:right="411"/>
              <w:spacing w:after="0"/>
              <w:rPr>
                <w:sz w:val="20"/>
                <w:szCs w:val="20"/>
                <w:color w:val="auto"/>
              </w:rPr>
            </w:pPr>
            <w:r>
              <w:rPr>
                <w:rFonts w:ascii="Times New Roman" w:cs="Times New Roman" w:eastAsia="Times New Roman" w:hAnsi="Times New Roman"/>
                <w:sz w:val="18"/>
                <w:szCs w:val="18"/>
                <w:color w:val="auto"/>
                <w:w w:val="96"/>
              </w:rPr>
              <w:t>30%</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million</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million</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million</w:t>
            </w:r>
          </w:p>
        </w:tc>
      </w:tr>
      <w:tr>
        <w:trPr>
          <w:trHeight w:val="207"/>
        </w:trPr>
        <w:tc>
          <w:tcPr>
            <w:tcW w:w="2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Adjusted EBITDA</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ind w:right="411"/>
              <w:spacing w:after="0"/>
              <w:rPr>
                <w:sz w:val="20"/>
                <w:szCs w:val="20"/>
                <w:color w:val="auto"/>
              </w:rPr>
            </w:pPr>
            <w:r>
              <w:rPr>
                <w:rFonts w:ascii="Times New Roman" w:cs="Times New Roman" w:eastAsia="Times New Roman" w:hAnsi="Times New Roman"/>
                <w:sz w:val="18"/>
                <w:szCs w:val="18"/>
                <w:color w:val="auto"/>
                <w:w w:val="96"/>
              </w:rPr>
              <w:t>40%</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million</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million</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million</w:t>
            </w:r>
          </w:p>
        </w:tc>
      </w:tr>
      <w:tr>
        <w:trPr>
          <w:trHeight w:val="185"/>
        </w:trPr>
        <w:tc>
          <w:tcPr>
            <w:tcW w:w="2860" w:type="dxa"/>
            <w:vAlign w:val="bottom"/>
            <w:tcBorders>
              <w:left w:val="single" w:sz="8" w:color="auto"/>
              <w:right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9"/>
              </w:rPr>
              <w:t>Percentage of PSUs Subject to each</w:t>
            </w:r>
          </w:p>
        </w:tc>
        <w:tc>
          <w:tcPr>
            <w:tcW w:w="440" w:type="dxa"/>
            <w:vAlign w:val="bottom"/>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2340" w:type="dxa"/>
            <w:vAlign w:val="bottom"/>
            <w:tcBorders>
              <w:right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50%</w:t>
            </w:r>
          </w:p>
        </w:tc>
        <w:tc>
          <w:tcPr>
            <w:tcW w:w="2100" w:type="dxa"/>
            <w:vAlign w:val="bottom"/>
            <w:tcBorders>
              <w:right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5"/>
              </w:rPr>
              <w:t>100%</w:t>
            </w:r>
          </w:p>
        </w:tc>
        <w:tc>
          <w:tcPr>
            <w:tcW w:w="2180" w:type="dxa"/>
            <w:vAlign w:val="bottom"/>
            <w:tcBorders>
              <w:right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150%</w:t>
            </w:r>
          </w:p>
        </w:tc>
      </w:tr>
      <w:tr>
        <w:trPr>
          <w:trHeight w:val="236"/>
        </w:trPr>
        <w:tc>
          <w:tcPr>
            <w:tcW w:w="2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Performance Goal Eligible to Vest</w:t>
            </w:r>
          </w:p>
        </w:tc>
        <w:tc>
          <w:tcPr>
            <w:tcW w:w="44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tcPr>
          <w:p>
            <w:pPr>
              <w:spacing w:after="0"/>
              <w:rPr>
                <w:sz w:val="20"/>
                <w:szCs w:val="20"/>
                <w:color w:val="auto"/>
              </w:rPr>
            </w:pPr>
          </w:p>
        </w:tc>
      </w:tr>
      <w:tr>
        <w:trPr>
          <w:trHeight w:val="267"/>
        </w:trPr>
        <w:tc>
          <w:tcPr>
            <w:tcW w:w="3300" w:type="dxa"/>
            <w:vAlign w:val="bottom"/>
            <w:tcBorders>
              <w:bottom w:val="single" w:sz="8" w:color="auto"/>
            </w:tcBorders>
            <w:gridSpan w:val="2"/>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tcPr>
          <w:p>
            <w:pPr>
              <w:spacing w:after="0"/>
              <w:rPr>
                <w:sz w:val="23"/>
                <w:szCs w:val="23"/>
                <w:color w:val="auto"/>
              </w:rPr>
            </w:pPr>
          </w:p>
        </w:tc>
      </w:tr>
      <w:tr>
        <w:trPr>
          <w:trHeight w:val="268"/>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tc>
        <w:tc>
          <w:tcPr>
            <w:tcW w:w="13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180" w:type="dxa"/>
            <w:vAlign w:val="bottom"/>
          </w:tcPr>
          <w:p>
            <w:pPr>
              <w:spacing w:after="0"/>
              <w:rPr>
                <w:sz w:val="23"/>
                <w:szCs w:val="23"/>
                <w:color w:val="auto"/>
              </w:rPr>
            </w:pPr>
          </w:p>
        </w:tc>
      </w:tr>
      <w:tr>
        <w:trPr>
          <w:trHeight w:val="567"/>
        </w:trPr>
        <w:tc>
          <w:tcPr>
            <w:tcW w:w="28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50" w:name="page51"/>
    <w:bookmarkEnd w:id="50"/>
    <w:p>
      <w:pPr>
        <w:ind w:left="10060"/>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22</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22</w:t>
      </w:r>
    </w:p>
    <w:p>
      <w:pPr>
        <w:spacing w:after="0" w:line="226" w:lineRule="exact"/>
        <w:rPr>
          <w:sz w:val="20"/>
          <w:szCs w:val="20"/>
          <w:color w:val="auto"/>
        </w:rPr>
      </w:pPr>
    </w:p>
    <w:p>
      <w:pPr>
        <w:jc w:val="both"/>
        <w:ind w:firstLine="641"/>
        <w:spacing w:after="0" w:line="251" w:lineRule="auto"/>
        <w:rPr>
          <w:sz w:val="20"/>
          <w:szCs w:val="20"/>
          <w:color w:val="auto"/>
        </w:rPr>
      </w:pPr>
      <w:r>
        <w:rPr>
          <w:rFonts w:ascii="Times New Roman" w:cs="Times New Roman" w:eastAsia="Times New Roman" w:hAnsi="Times New Roman"/>
          <w:sz w:val="18"/>
          <w:szCs w:val="18"/>
          <w:color w:val="auto"/>
        </w:rPr>
        <w:t>Any PSUs not eligible to vest following the Compensation Committee’s certification of achievement or non-achievement shall be returned to the Plan effective as of the date of the Compensation Committee’s certification. No PSUs will be earned unless Adjusted EBITDA is at least $40 million. For purposes of determining whether the Performance Goals are achieved, (i) Product Revenue and Service Revenue will be calculated based on GAAP numbers and (ii) adjusted EBITDA will be calculated by the Company in its reasonable discretion and exclude non-recurring items, unless otherwise approved by the Compensation Committee. Any products acquired (i.e., through the acquisition of another company) on or after the Date of Grant are excluded from the calculation of Product Revenue, Service Revenue, and adjusted EBITDA, unless expressly included by the Compensation Committee. Adjusted EBITDA is measured consistent with such methodology the Company uses in determining adjusted EBITDA for disclosure in the Form 8-K announcing the Company’s financial results for the applicable fiscal year; provided that the only automatic adjustments are to be for equity-based compensation and changes to the value of warrants and the Board of Directors of the Company have discretion to exclude extraordinary, non-recurring, and out of period items (both expenses/charges and income/credits).</w:t>
      </w:r>
    </w:p>
    <w:p>
      <w:pPr>
        <w:spacing w:after="0" w:line="182"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(i) in the event of a Change in Control that is consummated prior to the end of the Performance Period, then, effective as of immediately prior to the consummation of such Change in Control, the target number of PSUs subject to this Award Agreement shall be converted into service-based Restricted Stock Units and will be scheduled to vest as to all of such PSUs on the last day of the Performance Period, subject to Participant’s continuing to be a Service Provider through such date, and for clarity for purposes of Section 15.3 of the Plan, such target number of PSUs will be treated as of the consummation of the Change of Control as an Award that is subject only to service-based vesting but not subject to performance-based vesting; and (ii) in the event of a Change in Control that is consummated after the Performance Period, the Compensation Committee’s certification of the achievement or non-achievement will be completed no later than immediately prior to the consummation of such Change in Control.</w:t>
      </w:r>
    </w:p>
    <w:p>
      <w:pPr>
        <w:spacing w:after="0" w:line="189"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For clarity, if during the Performance Period, Participant incurs a termination pursuant to which Participant becomes entitled to the Enhanced Severance Benefits (as defined in the Employment Agreement) and such termination occurs within the three-month period prior to the Change in Control during the Change in Control Period (as such capitalized terms are defined in the Employment Agreement), then vesting of the PSUs will be (x) at the target number of PSUs in the circumstance described in clause (i) of the immediately preceding paragraph, or otherwise, (y) in the circumstance described in clause (ii) of the immediately preceding paragraph, as to 100% of the PSUs that have been deemed by the Compensation Committee as having achieved the applicable performance.</w:t>
      </w:r>
    </w:p>
    <w:p>
      <w:pPr>
        <w:spacing w:after="0" w:line="187"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For clarity, if Participant becomes entitled to the vesting provided in Section 5(c) of the Employment Agreement but not the Enhanced Severance Benefits (for clarity, such termination due to death or Incapacity occurs on or after January 1, 2028), and thereafter a Change in Control occurs during the Performance Period, then as of immediately prior to the Change in Control, the PSUs will vest as to the target number of PSUs and will be settled in the same calendar year as the calendar year in which the Performance Period ends.</w:t>
      </w:r>
    </w:p>
    <w:p>
      <w:pPr>
        <w:spacing w:after="0" w:line="182"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The Compensation Committee has full authority to determine whether or not (and the extent to which) the Performance Goals have been achieved, the number of PSUs under the Award (if any) that have become eligible for vesting, and the number of PSUs under this Award (if any) that will vest. The maximum number of Shares underlying the PSUs under this Award that may become eligible for vesting, and that may vest, is the Maximum Number of PSUs as set forth in the Notice of Grant.</w:t>
      </w:r>
    </w:p>
    <w:p>
      <w:pPr>
        <w:spacing w:after="0" w:line="182"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This Award Agreement and the PSUs under this Award are subject to any clawback policy, compensation recovery or similar policy that the Company may adopt from time to time in order to comply with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149225</wp:posOffset>
            </wp:positionV>
            <wp:extent cx="71335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ectPr>
          <w:pgSz w:w="11900" w:h="16838" w:orient="portrait"/>
          <w:cols w:equalWidth="0" w:num="1">
            <w:col w:w="11240"/>
          </w:cols>
          <w:pgMar w:left="320" w:top="108" w:right="339" w:bottom="1440" w:gutter="0" w:footer="0" w:header="0"/>
        </w:sectPr>
      </w:pPr>
    </w:p>
    <w:bookmarkStart w:id="51" w:name="page52"/>
    <w:bookmarkEnd w:id="51"/>
    <w:p>
      <w:pPr>
        <w:ind w:left="2280"/>
        <w:spacing w:after="0"/>
        <w:rPr>
          <w:sz w:val="20"/>
          <w:szCs w:val="20"/>
          <w:color w:val="auto"/>
        </w:rPr>
      </w:pPr>
      <w:r>
        <w:rPr>
          <w:rFonts w:ascii="Arial" w:cs="Arial" w:eastAsia="Arial" w:hAnsi="Arial"/>
          <w:sz w:val="35"/>
          <w:szCs w:val="35"/>
          <w:b w:val="1"/>
          <w:bCs w:val="1"/>
          <w:color w:val="auto"/>
        </w:rPr>
        <w:t>Calculation of Filing Fee Tables</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160"/>
        <w:spacing w:after="0"/>
        <w:rPr>
          <w:sz w:val="20"/>
          <w:szCs w:val="20"/>
          <w:color w:val="auto"/>
        </w:rPr>
      </w:pPr>
      <w:r>
        <w:rPr>
          <w:rFonts w:ascii="Arial" w:cs="Arial" w:eastAsia="Arial" w:hAnsi="Arial"/>
          <w:sz w:val="36"/>
          <w:szCs w:val="36"/>
          <w:b w:val="1"/>
          <w:bCs w:val="1"/>
          <w:color w:val="auto"/>
        </w:rPr>
        <w:t>ACCURAY INC</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Table 1: Newly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40640</wp:posOffset>
            </wp:positionV>
            <wp:extent cx="6416675" cy="63493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6416675" cy="6349365"/>
                    </a:xfrm>
                    <a:prstGeom prst="rect">
                      <a:avLst/>
                    </a:prstGeom>
                    <a:noFill/>
                  </pic:spPr>
                </pic:pic>
              </a:graphicData>
            </a:graphic>
          </wp:anchor>
        </w:drawing>
      </w:r>
    </w:p>
    <w:p>
      <w:pPr>
        <w:sectPr>
          <w:pgSz w:w="11900" w:h="16838" w:orient="portrait"/>
          <w:cols w:equalWidth="0" w:num="1">
            <w:col w:w="10020"/>
          </w:cols>
          <w:pgMar w:left="940" w:top="142" w:right="939" w:bottom="0" w:gutter="0" w:footer="0" w:header="0"/>
        </w:sectPr>
      </w:pPr>
    </w:p>
    <w:p>
      <w:pPr>
        <w:spacing w:after="0" w:line="108" w:lineRule="exact"/>
        <w:rPr>
          <w:sz w:val="20"/>
          <w:szCs w:val="20"/>
          <w:color w:val="auto"/>
        </w:rPr>
      </w:pPr>
    </w:p>
    <w:tbl>
      <w:tblPr>
        <w:tblLayout w:type="fixed"/>
        <w:tblInd w:w="180" w:type="dxa"/>
        <w:tblCellMar>
          <w:top w:w="0" w:type="dxa"/>
          <w:left w:w="0" w:type="dxa"/>
          <w:bottom w:w="0" w:type="dxa"/>
          <w:right w:w="0" w:type="dxa"/>
        </w:tblCellMar>
      </w:tblPr>
      <w:tr>
        <w:trPr>
          <w:trHeight w:val="466"/>
        </w:trPr>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2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0" w:type="dxa"/>
            <w:vAlign w:val="bottom"/>
          </w:tcPr>
          <w:p>
            <w:pPr>
              <w:spacing w:after="0"/>
              <w:rPr>
                <w:sz w:val="1"/>
                <w:szCs w:val="1"/>
                <w:color w:val="auto"/>
              </w:rPr>
            </w:pPr>
          </w:p>
        </w:tc>
      </w:tr>
      <w:tr>
        <w:trPr>
          <w:trHeight w:val="120"/>
        </w:trPr>
        <w:tc>
          <w:tcPr>
            <w:tcW w:w="96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10"/>
                <w:szCs w:val="10"/>
                <w:color w:val="auto"/>
              </w:rPr>
            </w:pPr>
          </w:p>
        </w:tc>
        <w:tc>
          <w:tcPr>
            <w:tcW w:w="1140" w:type="dxa"/>
            <w:vAlign w:val="bottom"/>
            <w:vMerge w:val="continue"/>
            <w:shd w:val="clear" w:color="auto" w:fill="9ADAF6"/>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9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18"/>
                <w:szCs w:val="18"/>
                <w:color w:val="auto"/>
              </w:rPr>
            </w:pPr>
          </w:p>
        </w:tc>
        <w:tc>
          <w:tcPr>
            <w:tcW w:w="12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Class Title</w:t>
            </w:r>
          </w:p>
        </w:tc>
        <w:tc>
          <w:tcPr>
            <w:tcW w:w="20" w:type="dxa"/>
            <w:vAlign w:val="bottom"/>
          </w:tcPr>
          <w:p>
            <w:pPr>
              <w:spacing w:after="0"/>
              <w:rPr>
                <w:sz w:val="18"/>
                <w:szCs w:val="18"/>
                <w:color w:val="auto"/>
              </w:rPr>
            </w:pPr>
          </w:p>
        </w:tc>
        <w:tc>
          <w:tcPr>
            <w:tcW w:w="12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Registered</w:t>
            </w:r>
          </w:p>
        </w:tc>
        <w:tc>
          <w:tcPr>
            <w:tcW w:w="0" w:type="dxa"/>
            <w:vAlign w:val="bottom"/>
          </w:tcPr>
          <w:p>
            <w:pPr>
              <w:spacing w:after="0"/>
              <w:rPr>
                <w:sz w:val="1"/>
                <w:szCs w:val="1"/>
                <w:color w:val="auto"/>
              </w:rPr>
            </w:pPr>
          </w:p>
        </w:tc>
      </w:tr>
      <w:tr>
        <w:trPr>
          <w:trHeight w:val="295"/>
        </w:trPr>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shd w:val="clear" w:color="auto" w:fill="9ADAF6"/>
          </w:tcPr>
          <w:p>
            <w:pPr>
              <w:spacing w:after="0"/>
              <w:rPr>
                <w:sz w:val="11"/>
                <w:szCs w:val="11"/>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Common</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Stock</w:t>
      </w:r>
    </w:p>
    <w:p>
      <w:pPr>
        <w:ind w:left="1180"/>
        <w:spacing w:after="0" w:line="238" w:lineRule="auto"/>
        <w:rPr>
          <w:sz w:val="20"/>
          <w:szCs w:val="20"/>
          <w:color w:val="auto"/>
        </w:rPr>
      </w:pPr>
      <w:r>
        <w:rPr>
          <w:rFonts w:ascii="Arial" w:cs="Arial" w:eastAsia="Arial" w:hAnsi="Arial"/>
          <w:sz w:val="21"/>
          <w:szCs w:val="21"/>
          <w:color w:val="auto"/>
        </w:rPr>
        <w:t>reserved for</w:t>
      </w:r>
    </w:p>
    <w:p>
      <w:pPr>
        <w:ind w:left="1180"/>
        <w:spacing w:after="0"/>
        <w:rPr>
          <w:sz w:val="20"/>
          <w:szCs w:val="20"/>
          <w:color w:val="auto"/>
        </w:rPr>
      </w:pPr>
      <w:r>
        <w:rPr>
          <w:rFonts w:ascii="Arial" w:cs="Arial" w:eastAsia="Arial" w:hAnsi="Arial"/>
          <w:sz w:val="21"/>
          <w:szCs w:val="21"/>
          <w:color w:val="auto"/>
        </w:rPr>
        <w:t>issuance</w:t>
      </w:r>
    </w:p>
    <w:p>
      <w:pPr>
        <w:ind w:left="1180"/>
        <w:spacing w:after="0" w:line="238" w:lineRule="auto"/>
        <w:rPr>
          <w:sz w:val="20"/>
          <w:szCs w:val="20"/>
          <w:color w:val="auto"/>
        </w:rPr>
      </w:pPr>
      <w:r>
        <w:rPr>
          <w:rFonts w:ascii="Arial" w:cs="Arial" w:eastAsia="Arial" w:hAnsi="Arial"/>
          <w:sz w:val="21"/>
          <w:szCs w:val="21"/>
          <w:color w:val="auto"/>
        </w:rPr>
        <w:t>pursuant to</w:t>
      </w:r>
    </w:p>
    <w:p>
      <w:pPr>
        <w:ind w:left="1180"/>
        <w:spacing w:after="0"/>
        <w:rPr>
          <w:sz w:val="20"/>
          <w:szCs w:val="20"/>
          <w:color w:val="auto"/>
        </w:rPr>
      </w:pPr>
      <w:r>
        <w:rPr>
          <w:rFonts w:ascii="Arial" w:cs="Arial" w:eastAsia="Arial" w:hAnsi="Arial"/>
          <w:sz w:val="21"/>
          <w:szCs w:val="21"/>
          <w:color w:val="auto"/>
        </w:rPr>
        <w:t>the Accuray</w:t>
      </w:r>
    </w:p>
    <w:p>
      <w:pPr>
        <w:ind w:left="1180"/>
        <w:spacing w:after="0" w:line="238" w:lineRule="auto"/>
        <w:rPr>
          <w:sz w:val="20"/>
          <w:szCs w:val="20"/>
          <w:color w:val="auto"/>
        </w:rPr>
      </w:pPr>
      <w:r>
        <w:rPr>
          <w:rFonts w:ascii="Arial" w:cs="Arial" w:eastAsia="Arial" w:hAnsi="Arial"/>
          <w:sz w:val="21"/>
          <w:szCs w:val="21"/>
          <w:color w:val="auto"/>
        </w:rPr>
        <w:t>Incorporated</w:t>
      </w:r>
    </w:p>
    <w:p>
      <w:pPr>
        <w:spacing w:after="0" w:line="1" w:lineRule="exact"/>
        <w:rPr>
          <w:sz w:val="20"/>
          <w:szCs w:val="20"/>
          <w:color w:val="auto"/>
        </w:rPr>
      </w:pPr>
    </w:p>
    <w:p>
      <w:pPr>
        <w:ind w:left="1180" w:right="20" w:hanging="1154"/>
        <w:spacing w:after="0" w:line="185" w:lineRule="auto"/>
        <w:tabs>
          <w:tab w:leader="none" w:pos="1160" w:val="left"/>
        </w:tabs>
        <w:rPr>
          <w:sz w:val="20"/>
          <w:szCs w:val="20"/>
          <w:color w:val="auto"/>
        </w:rPr>
      </w:pPr>
      <w:r>
        <w:rPr>
          <w:rFonts w:ascii="Arial" w:cs="Arial" w:eastAsia="Arial" w:hAnsi="Arial"/>
          <w:sz w:val="21"/>
          <w:szCs w:val="21"/>
          <w:color w:val="auto"/>
        </w:rPr>
        <w:t>1 Equity</w:t>
      </w:r>
      <w:r>
        <w:rPr>
          <w:sz w:val="20"/>
          <w:szCs w:val="20"/>
          <w:color w:val="auto"/>
        </w:rPr>
        <w:tab/>
      </w:r>
      <w:r>
        <w:rPr>
          <w:rFonts w:ascii="Arial" w:cs="Arial" w:eastAsia="Arial" w:hAnsi="Arial"/>
          <w:sz w:val="27"/>
          <w:szCs w:val="27"/>
          <w:color w:val="auto"/>
          <w:vertAlign w:val="superscript"/>
        </w:rPr>
        <w:t xml:space="preserve">Stand-Alone </w:t>
      </w:r>
      <w:r>
        <w:rPr>
          <w:rFonts w:ascii="Arial" w:cs="Arial" w:eastAsia="Arial" w:hAnsi="Arial"/>
          <w:sz w:val="27"/>
          <w:szCs w:val="27"/>
          <w:color w:val="auto"/>
        </w:rPr>
        <w:t xml:space="preserve">Other 975,000 </w:t>
      </w:r>
      <w:r>
        <w:rPr>
          <w:rFonts w:ascii="Arial" w:cs="Arial" w:eastAsia="Arial" w:hAnsi="Arial"/>
          <w:sz w:val="16"/>
          <w:szCs w:val="16"/>
          <w:color w:val="auto"/>
        </w:rPr>
        <w:t>Inducement</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Performance</w:t>
      </w:r>
    </w:p>
    <w:p>
      <w:pPr>
        <w:ind w:left="1180"/>
        <w:spacing w:after="0" w:line="238" w:lineRule="auto"/>
        <w:rPr>
          <w:sz w:val="20"/>
          <w:szCs w:val="20"/>
          <w:color w:val="auto"/>
        </w:rPr>
      </w:pPr>
      <w:r>
        <w:rPr>
          <w:rFonts w:ascii="Arial" w:cs="Arial" w:eastAsia="Arial" w:hAnsi="Arial"/>
          <w:sz w:val="21"/>
          <w:szCs w:val="21"/>
          <w:color w:val="auto"/>
        </w:rPr>
        <w:t>Unit</w:t>
      </w:r>
    </w:p>
    <w:p>
      <w:pPr>
        <w:ind w:left="1180"/>
        <w:spacing w:after="0"/>
        <w:rPr>
          <w:sz w:val="20"/>
          <w:szCs w:val="20"/>
          <w:color w:val="auto"/>
        </w:rPr>
      </w:pPr>
      <w:r>
        <w:rPr>
          <w:rFonts w:ascii="Arial" w:cs="Arial" w:eastAsia="Arial" w:hAnsi="Arial"/>
          <w:sz w:val="21"/>
          <w:szCs w:val="21"/>
          <w:color w:val="auto"/>
        </w:rPr>
        <w:t>Agreement</w:t>
      </w:r>
    </w:p>
    <w:p>
      <w:pPr>
        <w:ind w:left="1180"/>
        <w:spacing w:after="0" w:line="238" w:lineRule="auto"/>
        <w:rPr>
          <w:sz w:val="20"/>
          <w:szCs w:val="20"/>
          <w:color w:val="auto"/>
        </w:rPr>
      </w:pPr>
      <w:r>
        <w:rPr>
          <w:rFonts w:ascii="Arial" w:cs="Arial" w:eastAsia="Arial" w:hAnsi="Arial"/>
          <w:sz w:val="21"/>
          <w:szCs w:val="21"/>
          <w:color w:val="auto"/>
        </w:rPr>
        <w:t>for Sofiane</w:t>
      </w:r>
    </w:p>
    <w:p>
      <w:pPr>
        <w:ind w:left="1180"/>
        <w:spacing w:after="0"/>
        <w:rPr>
          <w:sz w:val="20"/>
          <w:szCs w:val="20"/>
          <w:color w:val="auto"/>
        </w:rPr>
      </w:pPr>
      <w:r>
        <w:rPr>
          <w:rFonts w:ascii="Arial" w:cs="Arial" w:eastAsia="Arial" w:hAnsi="Arial"/>
          <w:sz w:val="21"/>
          <w:szCs w:val="21"/>
          <w:color w:val="auto"/>
        </w:rPr>
        <w:t>Laoussadi</w:t>
      </w:r>
    </w:p>
    <w:p>
      <w:pPr>
        <w:ind w:left="1180"/>
        <w:spacing w:after="0" w:line="238" w:lineRule="auto"/>
        <w:rPr>
          <w:sz w:val="20"/>
          <w:szCs w:val="20"/>
          <w:color w:val="auto"/>
        </w:rPr>
      </w:pPr>
      <w:r>
        <w:rPr>
          <w:rFonts w:ascii="Arial" w:cs="Arial" w:eastAsia="Arial" w:hAnsi="Arial"/>
          <w:sz w:val="21"/>
          <w:szCs w:val="21"/>
          <w:color w:val="auto"/>
        </w:rPr>
        <w:t>("PSU</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Award")</w:t>
      </w:r>
    </w:p>
    <w:p>
      <w:pPr>
        <w:spacing w:after="0" w:line="32"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Common</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Stock</w:t>
      </w:r>
    </w:p>
    <w:p>
      <w:pPr>
        <w:ind w:left="1180"/>
        <w:spacing w:after="0" w:line="238" w:lineRule="auto"/>
        <w:rPr>
          <w:sz w:val="20"/>
          <w:szCs w:val="20"/>
          <w:color w:val="auto"/>
        </w:rPr>
      </w:pPr>
      <w:r>
        <w:rPr>
          <w:rFonts w:ascii="Arial" w:cs="Arial" w:eastAsia="Arial" w:hAnsi="Arial"/>
          <w:sz w:val="21"/>
          <w:szCs w:val="21"/>
          <w:color w:val="auto"/>
        </w:rPr>
        <w:t>reserved for</w:t>
      </w:r>
    </w:p>
    <w:p>
      <w:pPr>
        <w:ind w:left="1180"/>
        <w:spacing w:after="0"/>
        <w:rPr>
          <w:sz w:val="20"/>
          <w:szCs w:val="20"/>
          <w:color w:val="auto"/>
        </w:rPr>
      </w:pPr>
      <w:r>
        <w:rPr>
          <w:rFonts w:ascii="Arial" w:cs="Arial" w:eastAsia="Arial" w:hAnsi="Arial"/>
          <w:sz w:val="21"/>
          <w:szCs w:val="21"/>
          <w:color w:val="auto"/>
        </w:rPr>
        <w:t>issuance</w:t>
      </w:r>
    </w:p>
    <w:p>
      <w:pPr>
        <w:ind w:left="1180"/>
        <w:spacing w:after="0" w:line="238" w:lineRule="auto"/>
        <w:rPr>
          <w:sz w:val="20"/>
          <w:szCs w:val="20"/>
          <w:color w:val="auto"/>
        </w:rPr>
      </w:pPr>
      <w:r>
        <w:rPr>
          <w:rFonts w:ascii="Arial" w:cs="Arial" w:eastAsia="Arial" w:hAnsi="Arial"/>
          <w:sz w:val="21"/>
          <w:szCs w:val="21"/>
          <w:color w:val="auto"/>
        </w:rPr>
        <w:t>pursuant to</w:t>
      </w:r>
    </w:p>
    <w:p>
      <w:pPr>
        <w:ind w:left="1180"/>
        <w:spacing w:after="0"/>
        <w:rPr>
          <w:sz w:val="20"/>
          <w:szCs w:val="20"/>
          <w:color w:val="auto"/>
        </w:rPr>
      </w:pPr>
      <w:r>
        <w:rPr>
          <w:rFonts w:ascii="Arial" w:cs="Arial" w:eastAsia="Arial" w:hAnsi="Arial"/>
          <w:sz w:val="21"/>
          <w:szCs w:val="21"/>
          <w:color w:val="auto"/>
        </w:rPr>
        <w:t>the Accuray</w:t>
      </w:r>
    </w:p>
    <w:p>
      <w:pPr>
        <w:ind w:left="1180"/>
        <w:spacing w:after="0" w:line="238" w:lineRule="auto"/>
        <w:rPr>
          <w:sz w:val="20"/>
          <w:szCs w:val="20"/>
          <w:color w:val="auto"/>
        </w:rPr>
      </w:pPr>
      <w:r>
        <w:rPr>
          <w:rFonts w:ascii="Arial" w:cs="Arial" w:eastAsia="Arial" w:hAnsi="Arial"/>
          <w:sz w:val="21"/>
          <w:szCs w:val="21"/>
          <w:color w:val="auto"/>
        </w:rPr>
        <w:t>Incorporated</w:t>
      </w:r>
    </w:p>
    <w:p>
      <w:pPr>
        <w:spacing w:after="0" w:line="1" w:lineRule="exact"/>
        <w:rPr>
          <w:sz w:val="20"/>
          <w:szCs w:val="20"/>
          <w:color w:val="auto"/>
        </w:rPr>
      </w:pPr>
    </w:p>
    <w:p>
      <w:pPr>
        <w:ind w:left="1180" w:right="20" w:hanging="1154"/>
        <w:spacing w:after="0" w:line="185" w:lineRule="auto"/>
        <w:tabs>
          <w:tab w:leader="none" w:pos="1160" w:val="left"/>
        </w:tabs>
        <w:rPr>
          <w:sz w:val="20"/>
          <w:szCs w:val="20"/>
          <w:color w:val="auto"/>
        </w:rPr>
      </w:pPr>
      <w:r>
        <w:rPr>
          <w:rFonts w:ascii="Arial" w:cs="Arial" w:eastAsia="Arial" w:hAnsi="Arial"/>
          <w:sz w:val="21"/>
          <w:szCs w:val="21"/>
          <w:color w:val="auto"/>
        </w:rPr>
        <w:t>2 Equity</w:t>
      </w:r>
      <w:r>
        <w:rPr>
          <w:sz w:val="20"/>
          <w:szCs w:val="20"/>
          <w:color w:val="auto"/>
        </w:rPr>
        <w:tab/>
      </w:r>
      <w:r>
        <w:rPr>
          <w:rFonts w:ascii="Arial" w:cs="Arial" w:eastAsia="Arial" w:hAnsi="Arial"/>
          <w:sz w:val="27"/>
          <w:szCs w:val="27"/>
          <w:color w:val="auto"/>
          <w:vertAlign w:val="superscript"/>
        </w:rPr>
        <w:t xml:space="preserve">Stand-Alone </w:t>
      </w:r>
      <w:r>
        <w:rPr>
          <w:rFonts w:ascii="Arial" w:cs="Arial" w:eastAsia="Arial" w:hAnsi="Arial"/>
          <w:sz w:val="27"/>
          <w:szCs w:val="27"/>
          <w:color w:val="auto"/>
        </w:rPr>
        <w:t xml:space="preserve">Other 650,000 </w:t>
      </w:r>
      <w:r>
        <w:rPr>
          <w:rFonts w:ascii="Arial" w:cs="Arial" w:eastAsia="Arial" w:hAnsi="Arial"/>
          <w:sz w:val="16"/>
          <w:szCs w:val="16"/>
          <w:color w:val="auto"/>
        </w:rPr>
        <w:t>Inducement</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Restricted</w:t>
      </w:r>
    </w:p>
    <w:p>
      <w:pPr>
        <w:ind w:left="1180"/>
        <w:spacing w:after="0" w:line="238" w:lineRule="auto"/>
        <w:rPr>
          <w:sz w:val="20"/>
          <w:szCs w:val="20"/>
          <w:color w:val="auto"/>
        </w:rPr>
      </w:pPr>
      <w:r>
        <w:rPr>
          <w:rFonts w:ascii="Arial" w:cs="Arial" w:eastAsia="Arial" w:hAnsi="Arial"/>
          <w:sz w:val="21"/>
          <w:szCs w:val="21"/>
          <w:color w:val="auto"/>
        </w:rPr>
        <w:t>Stock Unit</w:t>
      </w:r>
    </w:p>
    <w:p>
      <w:pPr>
        <w:ind w:left="1180"/>
        <w:spacing w:after="0"/>
        <w:rPr>
          <w:sz w:val="20"/>
          <w:szCs w:val="20"/>
          <w:color w:val="auto"/>
        </w:rPr>
      </w:pPr>
      <w:r>
        <w:rPr>
          <w:rFonts w:ascii="Arial" w:cs="Arial" w:eastAsia="Arial" w:hAnsi="Arial"/>
          <w:sz w:val="21"/>
          <w:szCs w:val="21"/>
          <w:color w:val="auto"/>
        </w:rPr>
        <w:t>Agreement</w:t>
      </w:r>
    </w:p>
    <w:p>
      <w:pPr>
        <w:ind w:left="1180"/>
        <w:spacing w:after="0" w:line="238" w:lineRule="auto"/>
        <w:rPr>
          <w:sz w:val="20"/>
          <w:szCs w:val="20"/>
          <w:color w:val="auto"/>
        </w:rPr>
      </w:pPr>
      <w:r>
        <w:rPr>
          <w:rFonts w:ascii="Arial" w:cs="Arial" w:eastAsia="Arial" w:hAnsi="Arial"/>
          <w:sz w:val="21"/>
          <w:szCs w:val="21"/>
          <w:color w:val="auto"/>
        </w:rPr>
        <w:t>for Sofiane</w:t>
      </w:r>
    </w:p>
    <w:p>
      <w:pPr>
        <w:ind w:left="1180"/>
        <w:spacing w:after="0"/>
        <w:rPr>
          <w:sz w:val="20"/>
          <w:szCs w:val="20"/>
          <w:color w:val="auto"/>
        </w:rPr>
      </w:pPr>
      <w:r>
        <w:rPr>
          <w:rFonts w:ascii="Arial" w:cs="Arial" w:eastAsia="Arial" w:hAnsi="Arial"/>
          <w:sz w:val="21"/>
          <w:szCs w:val="21"/>
          <w:color w:val="auto"/>
        </w:rPr>
        <w:t>Laoussadi</w:t>
      </w:r>
    </w:p>
    <w:p>
      <w:pPr>
        <w:ind w:left="1180"/>
        <w:spacing w:after="0" w:line="238" w:lineRule="auto"/>
        <w:rPr>
          <w:sz w:val="20"/>
          <w:szCs w:val="20"/>
          <w:color w:val="auto"/>
        </w:rPr>
      </w:pPr>
      <w:r>
        <w:rPr>
          <w:rFonts w:ascii="Arial" w:cs="Arial" w:eastAsia="Arial" w:hAnsi="Arial"/>
          <w:sz w:val="21"/>
          <w:szCs w:val="21"/>
          <w:color w:val="auto"/>
        </w:rPr>
        <w:t>("RSU</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Award")</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3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21"/>
                <w:szCs w:val="21"/>
                <w:color w:val="auto"/>
              </w:rPr>
            </w:pPr>
          </w:p>
        </w:tc>
        <w:tc>
          <w:tcPr>
            <w:tcW w:w="14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1"/>
                <w:szCs w:val="21"/>
                <w:color w:val="auto"/>
              </w:rPr>
            </w:pPr>
          </w:p>
        </w:tc>
        <w:tc>
          <w:tcPr>
            <w:tcW w:w="92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shd w:val="clear" w:color="auto" w:fill="9ADAF6"/>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1320" w:type="dxa"/>
            <w:vAlign w:val="bottom"/>
            <w:vMerge w:val="restart"/>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10"/>
                <w:szCs w:val="10"/>
                <w:color w:val="auto"/>
              </w:rPr>
            </w:pPr>
          </w:p>
        </w:tc>
        <w:tc>
          <w:tcPr>
            <w:tcW w:w="14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460" w:type="dxa"/>
            <w:vAlign w:val="bottom"/>
            <w:vMerge w:val="restart"/>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c>
          <w:tcPr>
            <w:tcW w:w="0" w:type="dxa"/>
            <w:vAlign w:val="bottom"/>
          </w:tcPr>
          <w:p>
            <w:pPr>
              <w:spacing w:after="0"/>
              <w:rPr>
                <w:sz w:val="1"/>
                <w:szCs w:val="1"/>
                <w:color w:val="auto"/>
              </w:rPr>
            </w:pPr>
          </w:p>
        </w:tc>
      </w:tr>
      <w:tr>
        <w:trPr>
          <w:trHeight w:val="120"/>
        </w:trPr>
        <w:tc>
          <w:tcPr>
            <w:tcW w:w="13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10"/>
                <w:szCs w:val="10"/>
                <w:color w:val="auto"/>
              </w:rPr>
            </w:pPr>
          </w:p>
        </w:tc>
        <w:tc>
          <w:tcPr>
            <w:tcW w:w="92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460" w:type="dxa"/>
            <w:vAlign w:val="bottom"/>
            <w:vMerge w:val="continue"/>
            <w:shd w:val="clear" w:color="auto" w:fill="9ADAF6"/>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32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18"/>
                <w:szCs w:val="18"/>
                <w:color w:val="auto"/>
              </w:rPr>
            </w:pPr>
          </w:p>
        </w:tc>
        <w:tc>
          <w:tcPr>
            <w:tcW w:w="142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ind w:left="20"/>
              <w:spacing w:after="0" w:line="216" w:lineRule="exact"/>
              <w:rPr>
                <w:sz w:val="20"/>
                <w:szCs w:val="20"/>
                <w:color w:val="auto"/>
              </w:rPr>
            </w:pPr>
            <w:r>
              <w:rPr>
                <w:rFonts w:ascii="Arial" w:cs="Arial" w:eastAsia="Arial" w:hAnsi="Arial"/>
                <w:sz w:val="21"/>
                <w:szCs w:val="21"/>
                <w:b w:val="1"/>
                <w:bCs w:val="1"/>
                <w:color w:val="auto"/>
              </w:rPr>
              <w:t>Fee Rate</w:t>
            </w:r>
          </w:p>
        </w:tc>
        <w:tc>
          <w:tcPr>
            <w:tcW w:w="40" w:type="dxa"/>
            <w:vAlign w:val="bottom"/>
          </w:tcPr>
          <w:p>
            <w:pPr>
              <w:spacing w:after="0"/>
              <w:rPr>
                <w:sz w:val="18"/>
                <w:szCs w:val="18"/>
                <w:color w:val="auto"/>
              </w:rPr>
            </w:pPr>
          </w:p>
        </w:tc>
        <w:tc>
          <w:tcPr>
            <w:tcW w:w="14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Registration</w:t>
            </w:r>
          </w:p>
        </w:tc>
        <w:tc>
          <w:tcPr>
            <w:tcW w:w="0" w:type="dxa"/>
            <w:vAlign w:val="bottom"/>
          </w:tcPr>
          <w:p>
            <w:pPr>
              <w:spacing w:after="0"/>
              <w:rPr>
                <w:sz w:val="1"/>
                <w:szCs w:val="1"/>
                <w:color w:val="auto"/>
              </w:rPr>
            </w:pPr>
          </w:p>
        </w:tc>
      </w:tr>
      <w:tr>
        <w:trPr>
          <w:trHeight w:val="145"/>
        </w:trPr>
        <w:tc>
          <w:tcPr>
            <w:tcW w:w="13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Price Per</w:t>
            </w:r>
          </w:p>
        </w:tc>
        <w:tc>
          <w:tcPr>
            <w:tcW w:w="20" w:type="dxa"/>
            <w:vAlign w:val="bottom"/>
          </w:tcPr>
          <w:p>
            <w:pPr>
              <w:spacing w:after="0"/>
              <w:rPr>
                <w:sz w:val="12"/>
                <w:szCs w:val="12"/>
                <w:color w:val="auto"/>
              </w:rPr>
            </w:pPr>
          </w:p>
        </w:tc>
        <w:tc>
          <w:tcPr>
            <w:tcW w:w="14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2"/>
                <w:szCs w:val="12"/>
                <w:color w:val="auto"/>
              </w:rPr>
            </w:pPr>
          </w:p>
        </w:tc>
        <w:tc>
          <w:tcPr>
            <w:tcW w:w="92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20"/>
        </w:trPr>
        <w:tc>
          <w:tcPr>
            <w:tcW w:w="13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Price</w:t>
            </w:r>
          </w:p>
        </w:tc>
        <w:tc>
          <w:tcPr>
            <w:tcW w:w="20" w:type="dxa"/>
            <w:vAlign w:val="bottom"/>
          </w:tcPr>
          <w:p>
            <w:pPr>
              <w:spacing w:after="0"/>
              <w:rPr>
                <w:sz w:val="10"/>
                <w:szCs w:val="10"/>
                <w:color w:val="auto"/>
              </w:rPr>
            </w:pPr>
          </w:p>
        </w:tc>
        <w:tc>
          <w:tcPr>
            <w:tcW w:w="92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460" w:type="dxa"/>
            <w:vAlign w:val="bottom"/>
            <w:vMerge w:val="continue"/>
            <w:shd w:val="clear" w:color="auto" w:fill="9ADAF6"/>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3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15"/>
                <w:szCs w:val="15"/>
                <w:color w:val="auto"/>
              </w:rPr>
            </w:pPr>
          </w:p>
        </w:tc>
        <w:tc>
          <w:tcPr>
            <w:tcW w:w="14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shd w:val="clear" w:color="auto" w:fill="9ADAF6"/>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4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460" w:type="dxa"/>
            <w:vAlign w:val="bottom"/>
            <w:shd w:val="clear" w:color="auto" w:fill="9ADAF6"/>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00"/>
        <w:spacing w:after="0"/>
        <w:tabs>
          <w:tab w:leader="none" w:pos="1460" w:val="left"/>
          <w:tab w:leader="none" w:pos="4460" w:val="left"/>
        </w:tabs>
        <w:rPr>
          <w:sz w:val="20"/>
          <w:szCs w:val="20"/>
          <w:color w:val="auto"/>
        </w:rPr>
      </w:pPr>
      <w:r>
        <w:rPr>
          <w:rFonts w:ascii="Arial" w:cs="Arial" w:eastAsia="Arial" w:hAnsi="Arial"/>
          <w:sz w:val="21"/>
          <w:szCs w:val="21"/>
          <w:color w:val="auto"/>
        </w:rPr>
        <w:t>$ 0.13</w:t>
        <w:tab/>
        <w:t>$ 126,750.00 0.000087</w:t>
      </w:r>
      <w:r>
        <w:rPr>
          <w:sz w:val="20"/>
          <w:szCs w:val="20"/>
          <w:color w:val="auto"/>
        </w:rPr>
        <w:tab/>
      </w:r>
      <w:r>
        <w:rPr>
          <w:rFonts w:ascii="Arial" w:cs="Arial" w:eastAsia="Arial" w:hAnsi="Arial"/>
          <w:sz w:val="20"/>
          <w:szCs w:val="20"/>
          <w:color w:val="auto"/>
        </w:rPr>
        <w:t>$ 11.03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700"/>
        <w:spacing w:after="0"/>
        <w:tabs>
          <w:tab w:leader="none" w:pos="1580" w:val="left"/>
          <w:tab w:leader="none" w:pos="4560" w:val="left"/>
        </w:tabs>
        <w:rPr>
          <w:sz w:val="20"/>
          <w:szCs w:val="20"/>
          <w:color w:val="auto"/>
        </w:rPr>
      </w:pPr>
      <w:r>
        <w:rPr>
          <w:rFonts w:ascii="Arial" w:cs="Arial" w:eastAsia="Arial" w:hAnsi="Arial"/>
          <w:sz w:val="21"/>
          <w:szCs w:val="21"/>
          <w:color w:val="auto"/>
        </w:rPr>
        <w:t>$ 0.13</w:t>
        <w:tab/>
        <w:t>$ 84,500.00 0.000087</w:t>
      </w:r>
      <w:r>
        <w:rPr>
          <w:sz w:val="20"/>
          <w:szCs w:val="20"/>
          <w:color w:val="auto"/>
        </w:rPr>
        <w:tab/>
      </w:r>
      <w:r>
        <w:rPr>
          <w:rFonts w:ascii="Arial" w:cs="Arial" w:eastAsia="Arial" w:hAnsi="Arial"/>
          <w:sz w:val="21"/>
          <w:szCs w:val="21"/>
          <w:color w:val="auto"/>
        </w:rPr>
        <w:t>$ 7.35</w:t>
      </w:r>
    </w:p>
    <w:p>
      <w:pPr>
        <w:spacing w:after="0" w:line="1855" w:lineRule="exact"/>
        <w:rPr>
          <w:sz w:val="20"/>
          <w:szCs w:val="20"/>
          <w:color w:val="auto"/>
        </w:rPr>
      </w:pPr>
    </w:p>
    <w:p>
      <w:pPr>
        <w:sectPr>
          <w:pgSz w:w="11900" w:h="16838" w:orient="portrait"/>
          <w:cols w:equalWidth="0" w:num="2">
            <w:col w:w="4800" w:space="20"/>
            <w:col w:w="5200"/>
          </w:cols>
          <w:pgMar w:left="940" w:top="142" w:right="939" w:bottom="0" w:gutter="0" w:footer="0" w:header="0"/>
          <w:type w:val="continuous"/>
        </w:sectPr>
      </w:pPr>
    </w:p>
    <w:tbl>
      <w:tblPr>
        <w:tblLayout w:type="fixed"/>
        <w:tblInd w:w="2540" w:type="dxa"/>
        <w:tblCellMar>
          <w:top w:w="0" w:type="dxa"/>
          <w:left w:w="0" w:type="dxa"/>
          <w:bottom w:w="0" w:type="dxa"/>
          <w:right w:w="0" w:type="dxa"/>
        </w:tblCellMar>
      </w:tblPr>
      <w:tr>
        <w:trPr>
          <w:trHeight w:val="281"/>
        </w:trPr>
        <w:tc>
          <w:tcPr>
            <w:tcW w:w="3020" w:type="dxa"/>
            <w:vAlign w:val="bottom"/>
          </w:tcPr>
          <w:p>
            <w:pPr>
              <w:jc w:val="right"/>
              <w:ind w:right="673"/>
              <w:spacing w:after="0"/>
              <w:rPr>
                <w:sz w:val="20"/>
                <w:szCs w:val="20"/>
                <w:color w:val="auto"/>
              </w:rPr>
            </w:pPr>
            <w:r>
              <w:rPr>
                <w:rFonts w:ascii="Arial" w:cs="Arial" w:eastAsia="Arial" w:hAnsi="Arial"/>
                <w:sz w:val="21"/>
                <w:szCs w:val="21"/>
                <w:color w:val="auto"/>
              </w:rPr>
              <w:t>Total Offering Amounts:</w:t>
            </w:r>
          </w:p>
        </w:tc>
        <w:tc>
          <w:tcPr>
            <w:tcW w:w="2860" w:type="dxa"/>
            <w:vAlign w:val="bottom"/>
          </w:tcPr>
          <w:p>
            <w:pPr>
              <w:jc w:val="right"/>
              <w:ind w:right="753"/>
              <w:spacing w:after="0"/>
              <w:rPr>
                <w:sz w:val="20"/>
                <w:szCs w:val="20"/>
                <w:color w:val="auto"/>
              </w:rPr>
            </w:pPr>
            <w:r>
              <w:rPr>
                <w:rFonts w:ascii="Arial" w:cs="Arial" w:eastAsia="Arial" w:hAnsi="Arial"/>
                <w:sz w:val="21"/>
                <w:szCs w:val="21"/>
                <w:color w:val="auto"/>
              </w:rPr>
              <w:t>$ 211,250.00</w:t>
            </w:r>
          </w:p>
        </w:tc>
        <w:tc>
          <w:tcPr>
            <w:tcW w:w="1580" w:type="dxa"/>
            <w:vAlign w:val="bottom"/>
          </w:tcPr>
          <w:p>
            <w:pPr>
              <w:jc w:val="right"/>
              <w:spacing w:after="0"/>
              <w:rPr>
                <w:sz w:val="20"/>
                <w:szCs w:val="20"/>
                <w:color w:val="auto"/>
              </w:rPr>
            </w:pPr>
            <w:r>
              <w:rPr>
                <w:rFonts w:ascii="Arial" w:cs="Arial" w:eastAsia="Arial" w:hAnsi="Arial"/>
                <w:sz w:val="21"/>
                <w:szCs w:val="21"/>
                <w:color w:val="auto"/>
              </w:rPr>
              <w:t>$ 18.38</w:t>
            </w:r>
          </w:p>
        </w:tc>
      </w:tr>
      <w:tr>
        <w:trPr>
          <w:trHeight w:val="294"/>
        </w:trPr>
        <w:tc>
          <w:tcPr>
            <w:tcW w:w="3020" w:type="dxa"/>
            <w:vAlign w:val="bottom"/>
          </w:tcPr>
          <w:p>
            <w:pPr>
              <w:jc w:val="right"/>
              <w:ind w:right="673"/>
              <w:spacing w:after="0"/>
              <w:rPr>
                <w:sz w:val="20"/>
                <w:szCs w:val="20"/>
                <w:color w:val="auto"/>
              </w:rPr>
            </w:pPr>
            <w:r>
              <w:rPr>
                <w:rFonts w:ascii="Arial" w:cs="Arial" w:eastAsia="Arial" w:hAnsi="Arial"/>
                <w:sz w:val="21"/>
                <w:szCs w:val="21"/>
                <w:color w:val="auto"/>
              </w:rPr>
              <w:t>Total Fee Offsets:</w:t>
            </w:r>
          </w:p>
        </w:tc>
        <w:tc>
          <w:tcPr>
            <w:tcW w:w="28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1"/>
                <w:szCs w:val="21"/>
                <w:color w:val="auto"/>
              </w:rPr>
              <w:t>$ 0.00</w:t>
            </w:r>
          </w:p>
        </w:tc>
      </w:tr>
      <w:tr>
        <w:trPr>
          <w:trHeight w:val="294"/>
        </w:trPr>
        <w:tc>
          <w:tcPr>
            <w:tcW w:w="3020" w:type="dxa"/>
            <w:vAlign w:val="bottom"/>
          </w:tcPr>
          <w:p>
            <w:pPr>
              <w:jc w:val="right"/>
              <w:ind w:right="673"/>
              <w:spacing w:after="0"/>
              <w:rPr>
                <w:sz w:val="20"/>
                <w:szCs w:val="20"/>
                <w:color w:val="auto"/>
              </w:rPr>
            </w:pPr>
            <w:r>
              <w:rPr>
                <w:rFonts w:ascii="Arial" w:cs="Arial" w:eastAsia="Arial" w:hAnsi="Arial"/>
                <w:sz w:val="21"/>
                <w:szCs w:val="21"/>
                <w:color w:val="auto"/>
              </w:rPr>
              <w:t>Net Fee Due:</w:t>
            </w:r>
          </w:p>
        </w:tc>
        <w:tc>
          <w:tcPr>
            <w:tcW w:w="28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1"/>
                <w:szCs w:val="21"/>
                <w:color w:val="auto"/>
              </w:rPr>
              <w:t>$ 18.38</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220" w:right="40"/>
        <w:spacing w:after="0" w:line="242" w:lineRule="auto"/>
        <w:rPr>
          <w:sz w:val="20"/>
          <w:szCs w:val="20"/>
          <w:color w:val="auto"/>
        </w:rPr>
      </w:pPr>
      <w:r>
        <w:rPr>
          <w:rFonts w:ascii="Arial" w:cs="Arial" w:eastAsia="Arial" w:hAnsi="Arial"/>
          <w:sz w:val="21"/>
          <w:szCs w:val="21"/>
          <w:color w:val="auto"/>
        </w:rPr>
        <w:t>Consists of 975,000 shares of common stock, par value $0.001 per share (the "Common Stock"), of Accuray Incorporated (the "Registrant") underlying the PSU Award, representing the maximum number of shares issuable under the PSU Award (150% of the target number of 650,000 shares), which were granted to the Registrant's Senior Vice President, Global Service &amp; Solutions, as an inducement material to his acceptance of employment with the Registrant. Pursuant to Rule 416(a) of the Securities Act of 1933, as amended (the "Securities Act"), this Registration Statement shall also cover any additional shares of Common Stock which become issuable under the PSU Award that are being registered pursuant to this Registration Statement by reason of any stock dividend, stock split, recapitalization or any other similar transaction effected without the receipt of consideration which results in an increase in the number of the Registrant's outstanding shares of Common Stock. The proposed maximum offering price per share of Common Stock is estimated solely for the purpose of calculating the registration fee pursuant to Rule 457(c) and (h) under the Securities Act, based on the average of the high and low prices of the Registrant's Common Stock as reported on the Nasdaq Capital Market on October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78740</wp:posOffset>
            </wp:positionV>
            <wp:extent cx="63874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ectPr>
          <w:pgSz w:w="11900" w:h="16838" w:orient="portrait"/>
          <w:cols w:equalWidth="0" w:num="1">
            <w:col w:w="10020"/>
          </w:cols>
          <w:pgMar w:left="940" w:top="142" w:right="939" w:bottom="0" w:gutter="0" w:footer="0" w:header="0"/>
          <w:type w:val="continuous"/>
        </w:sectPr>
      </w:pPr>
    </w:p>
    <w:bookmarkStart w:id="52" w:name="page53"/>
    <w:bookmarkEnd w:id="52"/>
    <w:p>
      <w:pPr>
        <w:ind w:left="580"/>
        <w:spacing w:after="0"/>
        <w:rPr>
          <w:sz w:val="20"/>
          <w:szCs w:val="20"/>
          <w:color w:val="auto"/>
        </w:rPr>
      </w:pPr>
      <w:r>
        <w:rPr>
          <w:rFonts w:ascii="Arial" w:cs="Arial" w:eastAsia="Arial" w:hAnsi="Arial"/>
          <w:sz w:val="13"/>
          <w:szCs w:val="13"/>
          <w:color w:val="auto"/>
        </w:rPr>
        <w:t>2</w:t>
      </w:r>
    </w:p>
    <w:p>
      <w:pPr>
        <w:spacing w:after="0" w:line="77" w:lineRule="exact"/>
        <w:rPr>
          <w:sz w:val="20"/>
          <w:szCs w:val="20"/>
          <w:color w:val="auto"/>
        </w:rPr>
      </w:pPr>
    </w:p>
    <w:p>
      <w:pPr>
        <w:ind w:left="800" w:right="660"/>
        <w:spacing w:after="0" w:line="241" w:lineRule="auto"/>
        <w:rPr>
          <w:sz w:val="20"/>
          <w:szCs w:val="20"/>
          <w:color w:val="auto"/>
        </w:rPr>
      </w:pPr>
      <w:r>
        <w:rPr>
          <w:rFonts w:ascii="Arial" w:cs="Arial" w:eastAsia="Arial" w:hAnsi="Arial"/>
          <w:sz w:val="21"/>
          <w:szCs w:val="21"/>
          <w:color w:val="auto"/>
        </w:rPr>
        <w:t>Consists of 650,000 shares of the Registrant's Common Stock underlying the RSU Award, which were granted to the Registrant's Senior Vice President, Global Service &amp; Solutions, as an inducement material to his acceptance of employment with the Registrant. Pursuant to Rule 416(a) of the Securities Act, this Registration Statement shall also cover any additional shares of Common Stock which become issuable under the RSU Award that are being registered pursuant to this Registration Statement by reason of any stock dividend, stock split, recapitalization or any other similar transaction effected without the receipt of consideration which results in an increase in the number of the Registrant's outstanding shares of Common Stock. The proposed maximum offering price per share of Common Stock is estimated solely for the purpose of calculating the registration fee pursuant to Rule 457(c) and</w:t>
      </w:r>
    </w:p>
    <w:p>
      <w:pPr>
        <w:spacing w:after="0" w:line="2" w:lineRule="exact"/>
        <w:rPr>
          <w:sz w:val="20"/>
          <w:szCs w:val="20"/>
          <w:color w:val="auto"/>
        </w:rPr>
      </w:pPr>
    </w:p>
    <w:p>
      <w:pPr>
        <w:ind w:left="800" w:right="1400" w:firstLine="2"/>
        <w:spacing w:after="0" w:line="258" w:lineRule="auto"/>
        <w:tabs>
          <w:tab w:leader="none" w:pos="1121" w:val="left"/>
        </w:tabs>
        <w:numPr>
          <w:ilvl w:val="0"/>
          <w:numId w:val="53"/>
        </w:numPr>
        <w:rPr>
          <w:rFonts w:ascii="Arial" w:cs="Arial" w:eastAsia="Arial" w:hAnsi="Arial"/>
          <w:sz w:val="21"/>
          <w:szCs w:val="21"/>
          <w:color w:val="auto"/>
        </w:rPr>
      </w:pPr>
      <w:r>
        <w:rPr>
          <w:rFonts w:ascii="Arial" w:cs="Arial" w:eastAsia="Arial" w:hAnsi="Arial"/>
          <w:sz w:val="21"/>
          <w:szCs w:val="21"/>
          <w:color w:val="auto"/>
        </w:rPr>
        <w:t>under the Securities Act, based on the average of the high and low prices of the Registrant's Common Stock as reported on the Nasdaq Capital Market on October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68580</wp:posOffset>
            </wp:positionV>
            <wp:extent cx="63874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234"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1"/>
                <w:szCs w:val="21"/>
                <w:color w:val="auto"/>
              </w:rPr>
            </w:pPr>
          </w:p>
        </w:tc>
        <w:tc>
          <w:tcPr>
            <w:tcW w:w="760" w:type="dxa"/>
            <w:vAlign w:val="bottom"/>
            <w:shd w:val="clear" w:color="auto" w:fill="9ADAF6"/>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234"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lowerLetter"/>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2901D82"/>
    <w:multiLevelType w:val="hybridMultilevel"/>
    <w:lvl w:ilvl="0">
      <w:lvlJc w:val="left"/>
      <w:lvlText w:val="(%1)"/>
      <w:numFmt w:val="decimal"/>
      <w:start w:val="2"/>
    </w:lvl>
  </w:abstractNum>
  <w:abstractNum w:abstractNumId="5">
    <w:nsid w:val="3A95F874"/>
    <w:multiLevelType w:val="hybridMultilevel"/>
    <w:lvl w:ilvl="0">
      <w:lvlJc w:val="left"/>
      <w:lvlText w:val="(%1)"/>
      <w:numFmt w:val="lowerLetter"/>
      <w:start w:val="2"/>
    </w:lvl>
  </w:abstractNum>
  <w:abstractNum w:abstractNumId="6">
    <w:nsid w:val="813864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7">
    <w:nsid w:val="1E7FF521"/>
    <w:multiLevelType w:val="hybridMultilevel"/>
    <w:lvl w:ilvl="0">
      <w:lvlJc w:val="left"/>
      <w:lvlText w:val="(%1)"/>
      <w:numFmt w:val="lowerRoman"/>
      <w:start w:val="2"/>
    </w:lvl>
  </w:abstractNum>
  <w:abstractNum w:abstractNumId="8">
    <w:nsid w:val="7C3DBD3D"/>
    <w:multiLevelType w:val="hybridMultilevel"/>
    <w:lvl w:ilvl="0">
      <w:lvlJc w:val="left"/>
      <w:lvlText w:val="(%1)"/>
      <w:numFmt w:val="lowerLetter"/>
      <w:start w:val="8"/>
    </w:lvl>
  </w:abstractNum>
  <w:abstractNum w:abstractNumId="9">
    <w:nsid w:val="737B8DDC"/>
    <w:multiLevelType w:val="hybridMultilevel"/>
    <w:lvl w:ilvl="0">
      <w:lvlJc w:val="left"/>
      <w:lvlText w:val="(%1)"/>
      <w:numFmt w:val="lowerLetter"/>
      <w:start w:val="9"/>
    </w:lvl>
    <w:lvl w:ilvl="1">
      <w:lvlJc w:val="left"/>
      <w:lvlText w:val="(%2)"/>
      <w:numFmt w:val="lowerRoman"/>
      <w:start w:val="1"/>
    </w:lvl>
  </w:abstractNum>
  <w:abstractNum w:abstractNumId="10">
    <w:nsid w:val="6CEAF087"/>
    <w:multiLevelType w:val="hybridMultilevel"/>
    <w:lvl w:ilvl="0">
      <w:lvlJc w:val="left"/>
      <w:lvlText w:val="(%1)"/>
      <w:numFmt w:val="lowerLetter"/>
      <w:start w:val="17"/>
    </w:lvl>
  </w:abstractNum>
  <w:abstractNum w:abstractNumId="11">
    <w:nsid w:val="22221A70"/>
    <w:multiLevelType w:val="hybridMultilevel"/>
    <w:lvl w:ilvl="0">
      <w:lvlJc w:val="left"/>
      <w:lvlText w:val="(%1)"/>
      <w:numFmt w:val="lowerLetter"/>
      <w:start w:val="27"/>
    </w:lvl>
  </w:abstractNum>
  <w:abstractNum w:abstractNumId="12">
    <w:nsid w:val="4516DDE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3">
    <w:nsid w:val="3006C83E"/>
    <w:multiLevelType w:val="hybridMultilevel"/>
    <w:lvl w:ilvl="0">
      <w:lvlJc w:val="left"/>
      <w:lvlText w:val="%1."/>
      <w:numFmt w:val="decimal"/>
      <w:start w:val="4"/>
    </w:lvl>
    <w:lvl w:ilvl="1">
      <w:lvlJc w:val="left"/>
      <w:lvlText w:val="(%2)"/>
      <w:numFmt w:val="lowerLetter"/>
      <w:start w:val="1"/>
    </w:lvl>
  </w:abstractNum>
  <w:abstractNum w:abstractNumId="14">
    <w:nsid w:val="614FD4A1"/>
    <w:multiLevelType w:val="hybridMultilevel"/>
    <w:lvl w:ilvl="0">
      <w:lvlJc w:val="left"/>
      <w:lvlText w:val="(%1)"/>
      <w:numFmt w:val="lowerRoman"/>
      <w:start w:val="1"/>
    </w:lvl>
  </w:abstractNum>
  <w:abstractNum w:abstractNumId="15">
    <w:nsid w:val="419AC241"/>
    <w:multiLevelType w:val="hybridMultilevel"/>
    <w:lvl w:ilvl="0">
      <w:lvlJc w:val="left"/>
      <w:lvlText w:val="%1"/>
      <w:numFmt w:val="decimal"/>
      <w:start w:val="1"/>
    </w:lvl>
    <w:lvl w:ilvl="1">
      <w:lvlJc w:val="left"/>
      <w:lvlText w:val="(%2)"/>
      <w:numFmt w:val="lowerRoman"/>
      <w:start w:val="3"/>
    </w:lvl>
  </w:abstractNum>
  <w:abstractNum w:abstractNumId="16">
    <w:nsid w:val="5577F8E1"/>
    <w:multiLevelType w:val="hybridMultilevel"/>
    <w:lvl w:ilvl="0">
      <w:lvlJc w:val="left"/>
      <w:lvlText w:val="%1."/>
      <w:numFmt w:val="decimal"/>
      <w:start w:val="7"/>
    </w:lvl>
    <w:lvl w:ilvl="1">
      <w:lvlJc w:val="left"/>
      <w:lvlText w:val="%2"/>
      <w:numFmt w:val="lowerRoman"/>
      <w:start w:val="1"/>
    </w:lvl>
  </w:abstractNum>
  <w:abstractNum w:abstractNumId="17">
    <w:nsid w:val="440BADFC"/>
    <w:multiLevelType w:val="hybridMultilevel"/>
    <w:lvl w:ilvl="0">
      <w:lvlJc w:val="left"/>
      <w:lvlText w:val="%1."/>
      <w:numFmt w:val="decimal"/>
      <w:start w:val="10"/>
    </w:lvl>
    <w:lvl w:ilvl="1">
      <w:lvlJc w:val="left"/>
      <w:lvlText w:val="(%2)"/>
      <w:numFmt w:val="lowerLetter"/>
      <w:start w:val="1"/>
    </w:lvl>
  </w:abstractNum>
  <w:abstractNum w:abstractNumId="18">
    <w:nsid w:val="5072367"/>
    <w:multiLevelType w:val="hybridMultilevel"/>
    <w:lvl w:ilvl="0">
      <w:lvlJc w:val="left"/>
      <w:lvlText w:val="(%1)"/>
      <w:numFmt w:val="lowerLetter"/>
      <w:start w:val="3"/>
    </w:lvl>
  </w:abstractNum>
  <w:abstractNum w:abstractNumId="19">
    <w:nsid w:val="3804823E"/>
    <w:multiLevelType w:val="hybridMultilevel"/>
    <w:lvl w:ilvl="0">
      <w:lvlJc w:val="left"/>
      <w:lvlText w:val="%1"/>
      <w:numFmt w:val="decimal"/>
      <w:start w:val="1"/>
    </w:lvl>
    <w:lvl w:ilvl="1">
      <w:lvlJc w:val="left"/>
      <w:lvlText w:val="(%2)"/>
      <w:numFmt w:val="lowerLetter"/>
      <w:start w:val="4"/>
    </w:lvl>
  </w:abstractNum>
  <w:abstractNum w:abstractNumId="20">
    <w:nsid w:val="77465F01"/>
    <w:multiLevelType w:val="hybridMultilevel"/>
    <w:lvl w:ilvl="0">
      <w:lvlJc w:val="left"/>
      <w:lvlText w:val="%1."/>
      <w:numFmt w:val="decimal"/>
      <w:start w:val="12"/>
    </w:lvl>
    <w:lvl w:ilvl="1">
      <w:lvlJc w:val="left"/>
      <w:lvlText w:val="%2"/>
      <w:numFmt w:val="lowerLetter"/>
      <w:start w:val="1"/>
    </w:lvl>
  </w:abstractNum>
  <w:abstractNum w:abstractNumId="21">
    <w:nsid w:val="7724C67E"/>
    <w:multiLevelType w:val="hybridMultilevel"/>
    <w:lvl w:ilvl="0">
      <w:lvlJc w:val="left"/>
      <w:lvlText w:val="%1."/>
      <w:numFmt w:val="decimal"/>
      <w:start w:val="13"/>
    </w:lvl>
    <w:lvl w:ilvl="1">
      <w:lvlJc w:val="left"/>
      <w:lvlText w:val="(%2)"/>
      <w:numFmt w:val="lowerLetter"/>
      <w:start w:val="1"/>
    </w:lvl>
  </w:abstractNum>
  <w:abstractNum w:abstractNumId="22">
    <w:nsid w:val="5C482A97"/>
    <w:multiLevelType w:val="hybridMultilevel"/>
    <w:lvl w:ilvl="0">
      <w:lvlJc w:val="left"/>
      <w:lvlText w:val="(%1)"/>
      <w:numFmt w:val="lowerLetter"/>
      <w:start w:val="3"/>
    </w:lvl>
  </w:abstractNum>
  <w:abstractNum w:abstractNumId="23">
    <w:nsid w:val="2463B9EA"/>
    <w:multiLevelType w:val="hybridMultilevel"/>
    <w:lvl w:ilvl="0">
      <w:lvlJc w:val="left"/>
      <w:lvlText w:val="%1."/>
      <w:numFmt w:val="decimal"/>
      <w:start w:val="16"/>
    </w:lvl>
    <w:lvl w:ilvl="1">
      <w:lvlJc w:val="left"/>
      <w:lvlText w:val="(%2)"/>
      <w:numFmt w:val="lowerLetter"/>
      <w:start w:val="1"/>
    </w:lvl>
  </w:abstractNum>
  <w:abstractNum w:abstractNumId="24">
    <w:nsid w:val="5E884ADC"/>
    <w:multiLevelType w:val="hybridMultilevel"/>
    <w:lvl w:ilvl="0">
      <w:lvlJc w:val="left"/>
      <w:lvlText w:val="%1"/>
      <w:numFmt w:val="decimal"/>
      <w:start w:val="1"/>
    </w:lvl>
    <w:lvl w:ilvl="1">
      <w:lvlJc w:val="left"/>
      <w:lvlText w:val="(%2)"/>
      <w:numFmt w:val="lowerLetter"/>
      <w:start w:val="7"/>
    </w:lvl>
  </w:abstractNum>
  <w:abstractNum w:abstractNumId="25">
    <w:nsid w:val="51EAD36B"/>
    <w:multiLevelType w:val="hybridMultilevel"/>
    <w:lvl w:ilvl="0">
      <w:lvlJc w:val="left"/>
      <w:lvlText w:val="%1."/>
      <w:numFmt w:val="decimal"/>
      <w:start w:val="18"/>
    </w:lvl>
    <w:lvl w:ilvl="1">
      <w:lvlJc w:val="left"/>
      <w:lvlText w:val="%2"/>
      <w:numFmt w:val="lowerLetter"/>
      <w:start w:val="1"/>
    </w:lvl>
  </w:abstractNum>
  <w:abstractNum w:abstractNumId="26">
    <w:nsid w:val="2D517796"/>
    <w:multiLevelType w:val="hybridMultilevel"/>
    <w:lvl w:ilvl="0">
      <w:lvlJc w:val="left"/>
      <w:lvlText w:val="%1."/>
      <w:numFmt w:val="decimal"/>
      <w:start w:val="22"/>
    </w:lvl>
    <w:lvl w:ilvl="1">
      <w:lvlJc w:val="left"/>
      <w:lvlText w:val="(%2)"/>
      <w:numFmt w:val="lowerLetter"/>
      <w:start w:val="1"/>
    </w:lvl>
  </w:abstractNum>
  <w:abstractNum w:abstractNumId="27">
    <w:nsid w:val="580BD78F"/>
    <w:multiLevelType w:val="hybridMultilevel"/>
    <w:lvl w:ilvl="0">
      <w:lvlJc w:val="left"/>
      <w:lvlText w:val="%1."/>
      <w:numFmt w:val="decimal"/>
      <w:start w:val="23"/>
    </w:lvl>
  </w:abstractNum>
  <w:abstractNum w:abstractNumId="28">
    <w:nsid w:val="153EA438"/>
    <w:multiLevelType w:val="hybridMultilevel"/>
    <w:lvl w:ilvl="0">
      <w:lvlJc w:val="left"/>
      <w:lvlText w:val="%1."/>
      <w:numFmt w:val="decimal"/>
      <w:start w:val="28"/>
    </w:lvl>
    <w:lvl w:ilvl="1">
      <w:lvlJc w:val="left"/>
      <w:lvlText w:val="*"/>
      <w:numFmt w:val="bullet"/>
      <w:start w:val="1"/>
    </w:lvl>
  </w:abstractNum>
  <w:abstractNum w:abstractNumId="29">
    <w:nsid w:val="385558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0">
    <w:nsid w:val="70A64E2A"/>
    <w:multiLevelType w:val="hybridMultilevel"/>
    <w:lvl w:ilvl="0">
      <w:lvlJc w:val="left"/>
      <w:lvlText w:val="(%1)"/>
      <w:numFmt w:val="lowerRoman"/>
      <w:start w:val="2"/>
    </w:lvl>
  </w:abstractNum>
  <w:abstractNum w:abstractNumId="31">
    <w:nsid w:val="6A2342EC"/>
    <w:multiLevelType w:val="hybridMultilevel"/>
    <w:lvl w:ilvl="0">
      <w:lvlJc w:val="left"/>
      <w:lvlText w:val="(%1)"/>
      <w:numFmt w:val="lowerLetter"/>
      <w:start w:val="8"/>
    </w:lvl>
  </w:abstractNum>
  <w:abstractNum w:abstractNumId="32">
    <w:nsid w:val="2A487CB0"/>
    <w:multiLevelType w:val="hybridMultilevel"/>
    <w:lvl w:ilvl="0">
      <w:lvlJc w:val="left"/>
      <w:lvlText w:val="(%1)"/>
      <w:numFmt w:val="lowerLetter"/>
      <w:start w:val="9"/>
    </w:lvl>
    <w:lvl w:ilvl="1">
      <w:lvlJc w:val="left"/>
      <w:lvlText w:val="(%2)"/>
      <w:numFmt w:val="lowerRoman"/>
      <w:start w:val="1"/>
    </w:lvl>
  </w:abstractNum>
  <w:abstractNum w:abstractNumId="33">
    <w:nsid w:val="1D4ED43B"/>
    <w:multiLevelType w:val="hybridMultilevel"/>
    <w:lvl w:ilvl="0">
      <w:lvlJc w:val="left"/>
      <w:lvlText w:val="(%1)"/>
      <w:numFmt w:val="lowerLetter"/>
      <w:start w:val="17"/>
    </w:lvl>
  </w:abstractNum>
  <w:abstractNum w:abstractNumId="34">
    <w:nsid w:val="725A06FB"/>
    <w:multiLevelType w:val="hybridMultilevel"/>
    <w:lvl w:ilvl="0">
      <w:lvlJc w:val="left"/>
      <w:lvlText w:val="(%1)"/>
      <w:numFmt w:val="lowerLetter"/>
      <w:start w:val="27"/>
    </w:lvl>
  </w:abstractNum>
  <w:abstractNum w:abstractNumId="35">
    <w:nsid w:val="2CD89A3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6">
    <w:nsid w:val="57E4CCAF"/>
    <w:multiLevelType w:val="hybridMultilevel"/>
    <w:lvl w:ilvl="0">
      <w:lvlJc w:val="left"/>
      <w:lvlText w:val="%1."/>
      <w:numFmt w:val="decimal"/>
      <w:start w:val="3"/>
    </w:lvl>
    <w:lvl w:ilvl="1">
      <w:lvlJc w:val="left"/>
      <w:lvlText w:val="(%2)"/>
      <w:numFmt w:val="lowerLetter"/>
      <w:start w:val="1"/>
    </w:lvl>
  </w:abstractNum>
  <w:abstractNum w:abstractNumId="37">
    <w:nsid w:val="7A6D8D3C"/>
    <w:multiLevelType w:val="hybridMultilevel"/>
    <w:lvl w:ilvl="0">
      <w:lvlJc w:val="left"/>
      <w:lvlText w:val="(%1)"/>
      <w:numFmt w:val="lowerLetter"/>
      <w:start w:val="3"/>
    </w:lvl>
    <w:lvl w:ilvl="1">
      <w:lvlJc w:val="left"/>
      <w:lvlText w:val="(%2)"/>
      <w:numFmt w:val="lowerRoman"/>
      <w:start w:val="1"/>
    </w:lvl>
  </w:abstractNum>
  <w:abstractNum w:abstractNumId="38">
    <w:nsid w:val="4B588F54"/>
    <w:multiLevelType w:val="hybridMultilevel"/>
    <w:lvl w:ilvl="0">
      <w:lvlJc w:val="left"/>
      <w:lvlText w:val="%1"/>
      <w:numFmt w:val="decimal"/>
      <w:start w:val="1"/>
    </w:lvl>
    <w:lvl w:ilvl="1">
      <w:lvlJc w:val="left"/>
      <w:lvlText w:val="(%2)"/>
      <w:numFmt w:val="lowerRoman"/>
      <w:start w:val="3"/>
    </w:lvl>
  </w:abstractNum>
  <w:abstractNum w:abstractNumId="39">
    <w:nsid w:val="542289EC"/>
    <w:multiLevelType w:val="hybridMultilevel"/>
    <w:lvl w:ilvl="0">
      <w:lvlJc w:val="left"/>
      <w:lvlText w:val="%1."/>
      <w:numFmt w:val="decimal"/>
      <w:start w:val="7"/>
    </w:lvl>
    <w:lvl w:ilvl="1">
      <w:lvlJc w:val="left"/>
      <w:lvlText w:val="%2"/>
      <w:numFmt w:val="lowerRoman"/>
      <w:start w:val="1"/>
    </w:lvl>
  </w:abstractNum>
  <w:abstractNum w:abstractNumId="40">
    <w:nsid w:val="6DE91B18"/>
    <w:multiLevelType w:val="hybridMultilevel"/>
    <w:lvl w:ilvl="0">
      <w:lvlJc w:val="left"/>
      <w:lvlText w:val="%1."/>
      <w:numFmt w:val="decimal"/>
      <w:start w:val="10"/>
    </w:lvl>
    <w:lvl w:ilvl="1">
      <w:lvlJc w:val="left"/>
      <w:lvlText w:val="(%2)"/>
      <w:numFmt w:val="lowerLetter"/>
      <w:start w:val="1"/>
    </w:lvl>
  </w:abstractNum>
  <w:abstractNum w:abstractNumId="41">
    <w:nsid w:val="38437FDB"/>
    <w:multiLevelType w:val="hybridMultilevel"/>
    <w:lvl w:ilvl="0">
      <w:lvlJc w:val="left"/>
      <w:lvlText w:val="(%1)"/>
      <w:numFmt w:val="lowerLetter"/>
      <w:start w:val="3"/>
    </w:lvl>
  </w:abstractNum>
  <w:abstractNum w:abstractNumId="42">
    <w:nsid w:val="7644A45C"/>
    <w:multiLevelType w:val="hybridMultilevel"/>
    <w:lvl w:ilvl="0">
      <w:lvlJc w:val="left"/>
      <w:lvlText w:val="%1"/>
      <w:numFmt w:val="decimal"/>
      <w:start w:val="1"/>
    </w:lvl>
    <w:lvl w:ilvl="1">
      <w:lvlJc w:val="left"/>
      <w:lvlText w:val="(%2)"/>
      <w:numFmt w:val="lowerLetter"/>
      <w:start w:val="4"/>
    </w:lvl>
  </w:abstractNum>
  <w:abstractNum w:abstractNumId="43">
    <w:nsid w:val="32FFF902"/>
    <w:multiLevelType w:val="hybridMultilevel"/>
    <w:lvl w:ilvl="0">
      <w:lvlJc w:val="left"/>
      <w:lvlText w:val="%1."/>
      <w:numFmt w:val="decimal"/>
      <w:start w:val="12"/>
    </w:lvl>
    <w:lvl w:ilvl="1">
      <w:lvlJc w:val="left"/>
      <w:lvlText w:val="%2"/>
      <w:numFmt w:val="lowerLetter"/>
      <w:start w:val="1"/>
    </w:lvl>
  </w:abstractNum>
  <w:abstractNum w:abstractNumId="44">
    <w:nsid w:val="684A481A"/>
    <w:multiLevelType w:val="hybridMultilevel"/>
    <w:lvl w:ilvl="0">
      <w:lvlJc w:val="left"/>
      <w:lvlText w:val="%1."/>
      <w:numFmt w:val="decimal"/>
      <w:start w:val="13"/>
    </w:lvl>
    <w:lvl w:ilvl="1">
      <w:lvlJc w:val="left"/>
      <w:lvlText w:val="(%2)"/>
      <w:numFmt w:val="lowerLetter"/>
      <w:start w:val="1"/>
    </w:lvl>
  </w:abstractNum>
  <w:abstractNum w:abstractNumId="45">
    <w:nsid w:val="579478FE"/>
    <w:multiLevelType w:val="hybridMultilevel"/>
    <w:lvl w:ilvl="0">
      <w:lvlJc w:val="left"/>
      <w:lvlText w:val="(%1)"/>
      <w:numFmt w:val="lowerLetter"/>
      <w:start w:val="3"/>
    </w:lvl>
  </w:abstractNum>
  <w:abstractNum w:abstractNumId="46">
    <w:nsid w:val="749ABB43"/>
    <w:multiLevelType w:val="hybridMultilevel"/>
    <w:lvl w:ilvl="0">
      <w:lvlJc w:val="left"/>
      <w:lvlText w:val="%1."/>
      <w:numFmt w:val="decimal"/>
      <w:start w:val="16"/>
    </w:lvl>
    <w:lvl w:ilvl="1">
      <w:lvlJc w:val="left"/>
      <w:lvlText w:val="(%2)"/>
      <w:numFmt w:val="lowerLetter"/>
      <w:start w:val="1"/>
    </w:lvl>
  </w:abstractNum>
  <w:abstractNum w:abstractNumId="47">
    <w:nsid w:val="3DC240FB"/>
    <w:multiLevelType w:val="hybridMultilevel"/>
    <w:lvl w:ilvl="0">
      <w:lvlJc w:val="left"/>
      <w:lvlText w:val="%1"/>
      <w:numFmt w:val="decimal"/>
      <w:start w:val="1"/>
    </w:lvl>
    <w:lvl w:ilvl="1">
      <w:lvlJc w:val="left"/>
      <w:lvlText w:val="(%2)"/>
      <w:numFmt w:val="lowerLetter"/>
      <w:start w:val="5"/>
    </w:lvl>
  </w:abstractNum>
  <w:abstractNum w:abstractNumId="48">
    <w:nsid w:val="1BA026FA"/>
    <w:multiLevelType w:val="hybridMultilevel"/>
    <w:lvl w:ilvl="0">
      <w:lvlJc w:val="left"/>
      <w:lvlText w:val="%1."/>
      <w:numFmt w:val="decimal"/>
      <w:start w:val="18"/>
    </w:lvl>
    <w:lvl w:ilvl="1">
      <w:lvlJc w:val="left"/>
      <w:lvlText w:val="%2"/>
      <w:numFmt w:val="lowerLetter"/>
      <w:start w:val="1"/>
    </w:lvl>
  </w:abstractNum>
  <w:abstractNum w:abstractNumId="49">
    <w:nsid w:val="79A1DEAA"/>
    <w:multiLevelType w:val="hybridMultilevel"/>
    <w:lvl w:ilvl="0">
      <w:lvlJc w:val="left"/>
      <w:lvlText w:val="%1."/>
      <w:numFmt w:val="decimal"/>
      <w:start w:val="21"/>
    </w:lvl>
    <w:lvl w:ilvl="1">
      <w:lvlJc w:val="left"/>
      <w:lvlText w:val="(%2)"/>
      <w:numFmt w:val="lowerLetter"/>
      <w:start w:val="1"/>
    </w:lvl>
  </w:abstractNum>
  <w:abstractNum w:abstractNumId="50">
    <w:nsid w:val="75C6C33A"/>
    <w:multiLevelType w:val="hybridMultilevel"/>
    <w:lvl w:ilvl="0">
      <w:lvlJc w:val="left"/>
      <w:lvlText w:val="%1."/>
      <w:numFmt w:val="decimal"/>
      <w:start w:val="23"/>
    </w:lvl>
  </w:abstractNum>
  <w:abstractNum w:abstractNumId="51">
    <w:nsid w:val="12E685FB"/>
    <w:multiLevelType w:val="hybridMultilevel"/>
    <w:lvl w:ilvl="0">
      <w:lvlJc w:val="left"/>
      <w:lvlText w:val="%1."/>
      <w:numFmt w:val="decimal"/>
      <w:start w:val="27"/>
    </w:lvl>
    <w:lvl w:ilvl="1">
      <w:lvlJc w:val="left"/>
      <w:lvlText w:val="*"/>
      <w:numFmt w:val="bullet"/>
      <w:start w:val="1"/>
    </w:lvl>
  </w:abstractNum>
  <w:abstractNum w:abstractNumId="52">
    <w:nsid w:val="70C6A529"/>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3" Type="http://schemas.openxmlformats.org/officeDocument/2006/relationships/hyperlink" Target="http://www.sec.gov/ix?doc=/Archives/edgar/data/0001138723/000143774926029098/aray20260630_10k.htm" TargetMode="External"/><Relationship Id="rId14" Type="http://schemas.openxmlformats.org/officeDocument/2006/relationships/hyperlink" Target="http://www.sec.gov/ix?doc=/Archives/edgar/data/0001138723/000114036126039918/ny20080121x1_def14a.htm" TargetMode="External"/><Relationship Id="rId15" Type="http://schemas.openxmlformats.org/officeDocument/2006/relationships/hyperlink" Target="http://www.sec.gov/ix?doc=/Archives/edgar/data/0001138723/000143774926032174/aray20261005_8k.htm" TargetMode="External"/><Relationship Id="rId16" Type="http://schemas.openxmlformats.org/officeDocument/2006/relationships/hyperlink" Target="http://www.sec.gov/ix?doc=/Archives/edgar/data/0001138723/000143774926032558/aray20261013_8k.htm" TargetMode="External"/><Relationship Id="rId17" Type="http://schemas.openxmlformats.org/officeDocument/2006/relationships/hyperlink" Target="http://www.sec.gov/Archives/edgar/data/1138723/000110465907007766/a07-3619_18a12b.htm" TargetMode="External"/><Relationship Id="rId20" Type="http://schemas.openxmlformats.org/officeDocument/2006/relationships/hyperlink" Target="http://www.sec.gov/Archives/edgar/data/1138723/000104746907000633/a2175815zex-4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2026-10-30T15:08:06Z</dcterms:created>
  <dcterms:modified xsi:type="dcterms:W3CDTF">2026-10-30T15:08:06Z</dcterms:modified>
</cp:coreProperties>
</file>